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2A4D6E"/>
          <w:sz w:val="44"/>
          <w:szCs w:val="44"/>
        </w:rPr>
        <w:t xml:space="preserve">Tariff Diligence Checklist</w:t>
      </w:r>
    </w:p>
    <w:p>
      <w:pPr>
        <w:spacing w:after="320"/>
        <w:jc w:val="center"/>
      </w:pPr>
      <w:r>
        <w:rPr>
          <w:color w:val="666666"/>
          <w:sz w:val="22"/>
          <w:szCs w:val="22"/>
        </w:rPr>
        <w:t xml:space="preserve">Form FMA-016  |  2026 Edition  |  Reciprocal-Tariff Environment</w:t>
      </w:r>
    </w:p>
    <w:p>
      <w:pPr>
        <w:spacing w:after="240"/>
        <w:jc w:val="left"/>
      </w:pPr>
      <w:r>
        <w:rPr>
          <w:b w:val="false"/>
          <w:bCs w:val="false"/>
          <w:i/>
          <w:iCs/>
          <w:color w:val="222222"/>
          <w:sz w:val="22"/>
          <w:szCs w:val="22"/>
        </w:rPr>
        <w:t xml:space="preserve">This checklist walks M&amp;A buyer counsel through the twenty most important customs, tariff, and trade-controls diligence items for cross-border or import-heavy targets in the 2026 reciprocal-tariff environment. Use it alongside the standard SPA country-of-origin rep and a specified tariff indemnity escrow.</w:t>
      </w:r>
    </w:p>
    <w:p>
      <w:pPr>
        <w:pStyle w:val="Heading2"/>
        <w:spacing w:after="140" w:before="240"/>
      </w:pPr>
      <w:r>
        <w:rPr>
          <w:b/>
          <w:bCs/>
          <w:color w:val="2A4D6E"/>
          <w:sz w:val="26"/>
          <w:szCs w:val="26"/>
        </w:rPr>
        <w:t xml:space="preserve">How to use this form</w:t>
      </w:r>
    </w:p>
    <w:p>
      <w:pPr>
        <w:spacing w:after="240"/>
        <w:jc w:val="left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Walk each item with the target's trade-compliance lead or outside customs counsel. For every item marked "issue," open a separate workpaper documenting the exposure, the supporting file (binding ruling, § 482 study, CBP demand letter), and the proposed deal-architecture response (specific indemnity, escrow carve-out, price adjustment, or walk-away).</w:t>
      </w:r>
    </w:p>
    <w:p>
      <w:pPr>
        <w:pStyle w:val="Heading2"/>
        <w:spacing w:after="140" w:before="240"/>
      </w:pPr>
      <w:r>
        <w:rPr>
          <w:b/>
          <w:bCs/>
          <w:color w:val="2A4D6E"/>
          <w:sz w:val="26"/>
          <w:szCs w:val="26"/>
        </w:rPr>
        <w:t xml:space="preserve">Diligence items</w:t>
      </w:r>
    </w:p>
    <w:tbl>
      <w:tblPr>
        <w:tblW w:type="dxa" w:w="10200"/>
        <w:tblBorders>
          <w:top w:val="single" w:color="999999" w:sz="6"/>
          <w:left w:val="single" w:color="999999" w:sz="6"/>
          <w:bottom w:val="single" w:color="999999" w:sz="6"/>
          <w:right w:val="single" w:color="999999" w:sz="6"/>
          <w:insideH w:val="single" w:color="999999" w:sz="4"/>
          <w:insideV w:val="single" w:color="999999" w:sz="4"/>
        </w:tblBorders>
      </w:tblPr>
      <w:tblGrid>
        <w:gridCol w:w="700"/>
        <w:gridCol w:w="5000"/>
        <w:gridCol w:w="2500"/>
        <w:gridCol w:w="2000"/>
      </w:tblGrid>
      <w:tr>
        <w:trPr>
          <w:tblHeader/>
        </w:trPr>
        <w:tc>
          <w:tcPr>
            <w:tcW w:type="dxa" w:w="700"/>
            <w:shd w:fill="2A4D6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5000"/>
            <w:shd w:fill="2A4D6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Diligence Item</w:t>
            </w:r>
          </w:p>
        </w:tc>
        <w:tc>
          <w:tcPr>
            <w:tcW w:type="dxa" w:w="2500"/>
            <w:shd w:fill="2A4D6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Risk Category</w:t>
            </w:r>
          </w:p>
        </w:tc>
        <w:tc>
          <w:tcPr>
            <w:tcW w:type="dxa" w:w="2000"/>
            <w:shd w:fill="2A4D6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Status / Notes</w:t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Bill-of-materials country-of-origin audit (top 20 input components)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Supply chain / § 232 / § 301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HTS classification verification for all SKUs over 1% of revenue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Customs classification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First Sale pricing documentation and sell-side invoice chain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Transfer pricing / CBP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Transfer-pricing substantiation (§ 482 study, intercompany agreements)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IRC § 482 / IEEPA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CBP binding rulings held by target (CROSS database pull)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Classification certainty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6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Prior-disclosure history and open CBP audit status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Enforcement exposure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7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Open Section 1592 penalty claims and liquidated-damages demands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Pre-closing liability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8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Drawback program eligibility and unused drawback claims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Working-capital asset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9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Foreign-Trade-Zone (FTZ) status and activation agreements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Duty-deferral asset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10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Antidumping / countervailing duty (AD/CVD) order exposure by product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AD/CVD orders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11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Free-trade agreement preference claims (USMCA, CAFTA-DR, KORUS)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FTA substantiation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12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Rules-of-origin substantiation files and solicitation records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USMCA Art. 5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13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Importer-of-record setup; CBP Form 5106 accuracy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Customs party-ID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14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Bonded warehouse / Class 3 agreements and inventory reconciliation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Deferred duty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15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OFAC sanctions screening logs (parties, vessels, financial institutions)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50 U.S.C. §§ 1701-1707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16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BIS Entity List and Military End-User screening protocols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Export controls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17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Uyghur Forced Labor Prevention Act (UFLPA) supply-chain diligence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19 U.S.C. § 1307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18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Tariff-reclassification risk scoring on top SKUs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Rate volatility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19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Country-of-origin rep language in SPA; survival period review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Deal structure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20</w:t>
            </w:r>
          </w:p>
        </w:tc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Special indemnity escrow or holdback for pre-closing tariff exposure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Post-closing recovery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/>
      </w:r>
    </w:p>
    <w:p>
      <w:pPr>
        <w:pStyle w:val="Heading2"/>
        <w:spacing w:after="140" w:before="240"/>
      </w:pPr>
      <w:r>
        <w:rPr>
          <w:b/>
          <w:bCs/>
          <w:color w:val="2A4D6E"/>
          <w:sz w:val="26"/>
          <w:szCs w:val="26"/>
        </w:rPr>
        <w:t xml:space="preserve">Deal-architecture responses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Country-of-origin rep. The target represents that no imported goods originate from a country subject to additional-duty treatment under IEEPA, Section 232, or Section 301; that HTS classifications are accurate and documented; and that First Sale pricing, where used, is supported by invoice-level documentation.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Specified indemnity. Pre-closing customs exposure (duties, penalties, interest, and liquidated damages) is a specified indemnity, uncapped by the general indemnity cap, surviving six years to match the CBP statute of limitations under 19 U.S.C. § 1621.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Escrow / holdback. A tariff-specific escrow of 2-5% of purchase price, released against a CBP no-change letter or expiration of the look-back audit window, is standard in 2026 cross-border deals.</w:t>
      </w:r>
    </w:p>
    <w:p>
      <w:pPr>
        <w:spacing w:after="240"/>
        <w:jc w:val="left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RWI interaction. Confirm the RWI policy's customs exclusion language; where excluded, the specified indemnity above is the exclusive recovery vehicle. Negotiate against a blanket "customs and tariff" exclusion in favor of a tailored exclusion limited to pre-closing matters disclosed in diligence.</w:t>
      </w:r>
    </w:p>
    <w:p>
      <w:pPr>
        <w:pStyle w:val="Heading2"/>
        <w:spacing w:after="140" w:before="240"/>
      </w:pPr>
      <w:r>
        <w:rPr>
          <w:b/>
          <w:bCs/>
          <w:color w:val="2A4D6E"/>
          <w:sz w:val="26"/>
          <w:szCs w:val="26"/>
        </w:rPr>
        <w:t xml:space="preserve">Statutory and regulatory references</w:t>
      </w:r>
    </w:p>
    <w:p>
      <w:pPr>
        <w:spacing w:after="240"/>
        <w:jc w:val="left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Section 232 — 19 U.S.C. § 1862.  Section 301 — 19 U.S.C. § 2411.  IEEPA — 50 U.S.C. §§ 1701-1707.  Transfer pricing — IRC § 482; related-party inventory limitation — IRC § 1059A.  First Sale rule — 19 C.F.R. § 152.103.  Forced-labor import ban — 19 U.S.C. § 1307 (UFLPA framework).  Customs penalties — 19 U.S.C. § 1592.  CBP statute of limitations — 19 U.S.C. § 1621.</w:t>
      </w:r>
    </w:p>
    <w:p>
      <w:pPr>
        <w:spacing w:after="120"/>
        <w:jc w:val="center"/>
      </w:pPr>
      <w:r>
        <w:rPr>
          <w:b/>
          <w:bCs/>
          <w:i w:val="false"/>
          <w:iCs w:val="false"/>
          <w:color w:val="222222"/>
          <w:sz w:val="22"/>
          <w:szCs w:val="22"/>
        </w:rPr>
        <w:t xml:space="preserve">Montague Law  |  M&amp;A diligence practice  |  montague.law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Montague Law  |  montague.law  |  </w:t>
    </w:r>
    <w:r>
      <w:rPr>
        <w:i/>
        <w:iCs/>
        <w:color w:val="666666"/>
        <w:sz w:val="18"/>
        <w:szCs w:val="18"/>
      </w:rPr>
      <w:t xml:space="preserve">This form is a diligence aid, not legal advice. Adapt with counsel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2A4D6E"/>
        <w:sz w:val="18"/>
        <w:szCs w:val="18"/>
      </w:rPr>
      <w:t xml:space="preserve">Montague Law  |  M&amp;A Diligence Form FMA-016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Calibri" w:cs="Calibri" w:eastAsia="Calibri" w:hAnsi="Calibr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Tariff Diligence Checklist (FMA-016)</dc:title>
  <dc:creator>Montague Law</dc:creator>
  <cp:lastModifiedBy>Un-named</cp:lastModifiedBy>
  <cp:revision>1</cp:revision>
  <dcterms:created xsi:type="dcterms:W3CDTF">2026-10-06T23:37:42.216Z</dcterms:created>
  <dcterms:modified xsi:type="dcterms:W3CDTF">2026-10-06T23:37:42.216Z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