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color w:val="2A4D6E"/>
          <w:sz w:val="40"/>
          <w:szCs w:val="40"/>
        </w:rPr>
        <w:t xml:space="preserve">Fintech M&amp;A Regulatory Diligence Checklist</w:t>
      </w:r>
    </w:p>
    <w:p>
      <w:pPr>
        <w:spacing w:after="320"/>
        <w:jc w:val="center"/>
      </w:pPr>
      <w:r>
        <w:rPr>
          <w:color w:val="666666"/>
          <w:sz w:val="22"/>
          <w:szCs w:val="22"/>
        </w:rPr>
        <w:t xml:space="preserve">Form FMA-017  |  2026 Edition  |  Post-CFPB-Restructuring</w:t>
      </w:r>
    </w:p>
    <w:p>
      <w:pPr>
        <w:spacing w:after="240"/>
        <w:jc w:val="left"/>
      </w:pPr>
      <w:r>
        <w:rPr>
          <w:b w:val="false"/>
          <w:bCs w:val="false"/>
          <w:i/>
          <w:iCs/>
          <w:color w:val="222222"/>
          <w:sz w:val="22"/>
          <w:szCs w:val="22"/>
        </w:rPr>
        <w:t xml:space="preserve">This checklist is designed for M&amp;A buy-side regulatory diligence on fintech, payments, and consumer-finance targets in the 2026 environment, which has shifted enforcement activity from the restructured federal CFPB toward state regulators (NY DFS, CA DFPI, Texas OCCC, Florida OFR) and multistate AG coalitions. The exercise is to document each item below and open a workpaper for every "issue" response.</w:t>
      </w:r>
    </w:p>
    <w:p>
      <w:pPr>
        <w:pStyle w:val="Heading2"/>
        <w:spacing w:after="140" w:before="240"/>
      </w:pPr>
      <w:r>
        <w:rPr>
          <w:b/>
          <w:bCs/>
          <w:color w:val="2A4D6E"/>
          <w:sz w:val="26"/>
          <w:szCs w:val="26"/>
        </w:rPr>
        <w:t xml:space="preserve">How to use this form</w:t>
      </w:r>
    </w:p>
    <w:p>
      <w:pPr>
        <w:spacing w:after="240"/>
        <w:jc w:val="left"/>
      </w:pPr>
      <w:r>
        <w:rPr>
          <w:b w:val="false"/>
          <w:bCs w:val="false"/>
          <w:i w:val="false"/>
          <w:iCs w:val="false"/>
          <w:color w:val="222222"/>
          <w:sz w:val="22"/>
          <w:szCs w:val="22"/>
        </w:rPr>
        <w:t xml:space="preserve">Pair this checklist with the standard rep stack covering licensing continuity, UDAAP compliance, BSA/AML program adequacy, and consumer-complaint volume. Diligence items marked "issue" should trigger a workpaper identifying the exposure (open consent order, pending state AG investigation, licensing gap), the supporting documents, and the proposed deal-structure response.</w:t>
      </w:r>
    </w:p>
    <w:p>
      <w:pPr>
        <w:pStyle w:val="Heading2"/>
        <w:spacing w:after="140" w:before="240"/>
      </w:pPr>
      <w:r>
        <w:rPr>
          <w:b/>
          <w:bCs/>
          <w:color w:val="2A4D6E"/>
          <w:sz w:val="26"/>
          <w:szCs w:val="26"/>
        </w:rPr>
        <w:t xml:space="preserve">Diligence items</w:t>
      </w:r>
    </w:p>
    <w:tbl>
      <w:tblPr>
        <w:tblW w:type="dxa" w:w="10200"/>
        <w:tblBorders>
          <w:top w:val="single" w:color="999999" w:sz="6"/>
          <w:left w:val="single" w:color="999999" w:sz="6"/>
          <w:bottom w:val="single" w:color="999999" w:sz="6"/>
          <w:right w:val="single" w:color="999999" w:sz="6"/>
          <w:insideH w:val="single" w:color="999999" w:sz="4"/>
          <w:insideV w:val="single" w:color="999999" w:sz="4"/>
        </w:tblBorders>
      </w:tblPr>
      <w:tblGrid>
        <w:gridCol w:w="700"/>
        <w:gridCol w:w="5300"/>
        <w:gridCol w:w="2400"/>
        <w:gridCol w:w="1800"/>
      </w:tblGrid>
      <w:tr>
        <w:trPr>
          <w:tblHeader/>
        </w:trPr>
        <w:tc>
          <w:tcPr>
            <w:tcW w:type="dxa" w:w="700"/>
            <w:shd w:fill="2A4D6E" w:color="auto" w:val="clear"/>
            <w:tcMar>
              <w:top w:type="dxa" w:w="80"/>
              <w:left w:type="dxa" w:w="100"/>
              <w:bottom w:type="dxa" w:w="80"/>
              <w:right w:type="dxa" w:w="100"/>
            </w:tcMar>
          </w:tcPr>
          <w:p>
            <w:pPr>
              <w:jc w:val="center"/>
            </w:pPr>
            <w:r>
              <w:rPr>
                <w:b/>
                <w:bCs/>
                <w:color w:val="FFFFFF"/>
                <w:sz w:val="20"/>
                <w:szCs w:val="20"/>
              </w:rPr>
              <w:t xml:space="preserve">#</w:t>
            </w:r>
          </w:p>
        </w:tc>
        <w:tc>
          <w:tcPr>
            <w:tcW w:type="dxa" w:w="5300"/>
            <w:shd w:fill="2A4D6E" w:color="auto" w:val="clear"/>
            <w:tcMar>
              <w:top w:type="dxa" w:w="80"/>
              <w:left w:type="dxa" w:w="100"/>
              <w:bottom w:type="dxa" w:w="80"/>
              <w:right w:type="dxa" w:w="100"/>
            </w:tcMar>
          </w:tcPr>
          <w:p>
            <w:pPr>
              <w:jc w:val="left"/>
            </w:pPr>
            <w:r>
              <w:rPr>
                <w:b/>
                <w:bCs/>
                <w:color w:val="FFFFFF"/>
                <w:sz w:val="20"/>
                <w:szCs w:val="20"/>
              </w:rPr>
              <w:t xml:space="preserve">Diligence Item</w:t>
            </w:r>
          </w:p>
        </w:tc>
        <w:tc>
          <w:tcPr>
            <w:tcW w:type="dxa" w:w="2400"/>
            <w:shd w:fill="2A4D6E" w:color="auto" w:val="clear"/>
            <w:tcMar>
              <w:top w:type="dxa" w:w="80"/>
              <w:left w:type="dxa" w:w="100"/>
              <w:bottom w:type="dxa" w:w="80"/>
              <w:right w:type="dxa" w:w="100"/>
            </w:tcMar>
          </w:tcPr>
          <w:p>
            <w:pPr>
              <w:jc w:val="left"/>
            </w:pPr>
            <w:r>
              <w:rPr>
                <w:b/>
                <w:bCs/>
                <w:color w:val="FFFFFF"/>
                <w:sz w:val="20"/>
                <w:szCs w:val="20"/>
              </w:rPr>
              <w:t xml:space="preserve">Category</w:t>
            </w:r>
          </w:p>
        </w:tc>
        <w:tc>
          <w:tcPr>
            <w:tcW w:type="dxa" w:w="1800"/>
            <w:shd w:fill="2A4D6E" w:color="auto" w:val="clear"/>
            <w:tcMar>
              <w:top w:type="dxa" w:w="80"/>
              <w:left w:type="dxa" w:w="100"/>
              <w:bottom w:type="dxa" w:w="80"/>
              <w:right w:type="dxa" w:w="100"/>
            </w:tcMar>
          </w:tcPr>
          <w:p>
            <w:pPr>
              <w:jc w:val="left"/>
            </w:pPr>
            <w:r>
              <w:rPr>
                <w:b/>
                <w:bCs/>
                <w:color w:val="FFFFFF"/>
                <w:sz w:val="20"/>
                <w:szCs w:val="20"/>
              </w:rPr>
              <w:t xml:space="preserve">Status / Notes</w:t>
            </w:r>
          </w:p>
        </w:tc>
      </w:tr>
      <w:tr>
        <w:tc>
          <w:tcPr>
            <w:tcW w:type="dxa" w:w="700"/>
            <w:tcMar>
              <w:top w:type="dxa" w:w="80"/>
              <w:left w:type="dxa" w:w="100"/>
              <w:bottom w:type="dxa" w:w="80"/>
              <w:right w:type="dxa" w:w="100"/>
            </w:tcMar>
          </w:tcPr>
          <w:p>
            <w:pPr>
              <w:jc w:val="center"/>
            </w:pPr>
            <w:r>
              <w:rPr>
                <w:b w:val="false"/>
                <w:bCs w:val="false"/>
                <w:color w:val="222222"/>
                <w:sz w:val="20"/>
                <w:szCs w:val="20"/>
              </w:rPr>
              <w:t xml:space="preserve">1</w:t>
            </w:r>
          </w:p>
        </w:tc>
        <w:tc>
          <w:tcPr>
            <w:tcW w:type="dxa" w:w="5300"/>
            <w:tcMar>
              <w:top w:type="dxa" w:w="80"/>
              <w:left w:type="dxa" w:w="100"/>
              <w:bottom w:type="dxa" w:w="80"/>
              <w:right w:type="dxa" w:w="100"/>
            </w:tcMar>
          </w:tcPr>
          <w:p>
            <w:pPr>
              <w:jc w:val="left"/>
            </w:pPr>
            <w:r>
              <w:rPr>
                <w:b w:val="false"/>
                <w:bCs w:val="false"/>
                <w:color w:val="222222"/>
                <w:sz w:val="20"/>
                <w:szCs w:val="20"/>
              </w:rPr>
              <w:t xml:space="preserve">State money-transmitter license (MTL) stack by jurisdiction, with renewal calendar</w:t>
            </w:r>
          </w:p>
        </w:tc>
        <w:tc>
          <w:tcPr>
            <w:tcW w:type="dxa" w:w="2400"/>
            <w:tcMar>
              <w:top w:type="dxa" w:w="80"/>
              <w:left w:type="dxa" w:w="100"/>
              <w:bottom w:type="dxa" w:w="80"/>
              <w:right w:type="dxa" w:w="100"/>
            </w:tcMar>
          </w:tcPr>
          <w:p>
            <w:pPr>
              <w:jc w:val="left"/>
            </w:pPr>
            <w:r>
              <w:rPr>
                <w:b w:val="false"/>
                <w:bCs w:val="false"/>
                <w:color w:val="222222"/>
                <w:sz w:val="20"/>
                <w:szCs w:val="20"/>
              </w:rPr>
              <w:t xml:space="preserve">Licensing</w:t>
            </w:r>
          </w:p>
        </w:tc>
        <w:tc>
          <w:tcPr>
            <w:tcW w:type="dxa" w:w="1800"/>
            <w:tcMar>
              <w:top w:type="dxa" w:w="80"/>
              <w:left w:type="dxa" w:w="100"/>
              <w:bottom w:type="dxa" w:w="80"/>
              <w:right w:type="dxa" w:w="100"/>
            </w:tcMar>
          </w:tcPr>
          <w:p>
            <w:pPr>
              <w:jc w:val="left"/>
            </w:pPr>
            <w:r>
              <w:rPr>
                <w:b w:val="false"/>
                <w:bCs w:val="false"/>
                <w:color w:val="222222"/>
                <w:sz w:val="20"/>
                <w:szCs w:val="20"/>
              </w:rPr>
              <w:t xml:space="preserve"/>
            </w:r>
          </w:p>
        </w:tc>
      </w:tr>
      <w:tr>
        <w:tc>
          <w:tcPr>
            <w:tcW w:type="dxa" w:w="700"/>
            <w:tcMar>
              <w:top w:type="dxa" w:w="80"/>
              <w:left w:type="dxa" w:w="100"/>
              <w:bottom w:type="dxa" w:w="80"/>
              <w:right w:type="dxa" w:w="100"/>
            </w:tcMar>
          </w:tcPr>
          <w:p>
            <w:pPr>
              <w:jc w:val="center"/>
            </w:pPr>
            <w:r>
              <w:rPr>
                <w:b w:val="false"/>
                <w:bCs w:val="false"/>
                <w:color w:val="222222"/>
                <w:sz w:val="20"/>
                <w:szCs w:val="20"/>
              </w:rPr>
              <w:t xml:space="preserve">2</w:t>
            </w:r>
          </w:p>
        </w:tc>
        <w:tc>
          <w:tcPr>
            <w:tcW w:type="dxa" w:w="5300"/>
            <w:tcMar>
              <w:top w:type="dxa" w:w="80"/>
              <w:left w:type="dxa" w:w="100"/>
              <w:bottom w:type="dxa" w:w="80"/>
              <w:right w:type="dxa" w:w="100"/>
            </w:tcMar>
          </w:tcPr>
          <w:p>
            <w:pPr>
              <w:jc w:val="left"/>
            </w:pPr>
            <w:r>
              <w:rPr>
                <w:b w:val="false"/>
                <w:bCs w:val="false"/>
                <w:color w:val="222222"/>
                <w:sz w:val="20"/>
                <w:szCs w:val="20"/>
              </w:rPr>
              <w:t xml:space="preserve">NY DFS BitLicense status and most recent exam cycle findings</w:t>
            </w:r>
          </w:p>
        </w:tc>
        <w:tc>
          <w:tcPr>
            <w:tcW w:type="dxa" w:w="2400"/>
            <w:tcMar>
              <w:top w:type="dxa" w:w="80"/>
              <w:left w:type="dxa" w:w="100"/>
              <w:bottom w:type="dxa" w:w="80"/>
              <w:right w:type="dxa" w:w="100"/>
            </w:tcMar>
          </w:tcPr>
          <w:p>
            <w:pPr>
              <w:jc w:val="left"/>
            </w:pPr>
            <w:r>
              <w:rPr>
                <w:b w:val="false"/>
                <w:bCs w:val="false"/>
                <w:color w:val="222222"/>
                <w:sz w:val="20"/>
                <w:szCs w:val="20"/>
              </w:rPr>
              <w:t xml:space="preserve">Licensing (NY)</w:t>
            </w:r>
          </w:p>
        </w:tc>
        <w:tc>
          <w:tcPr>
            <w:tcW w:type="dxa" w:w="1800"/>
            <w:tcMar>
              <w:top w:type="dxa" w:w="80"/>
              <w:left w:type="dxa" w:w="100"/>
              <w:bottom w:type="dxa" w:w="80"/>
              <w:right w:type="dxa" w:w="100"/>
            </w:tcMar>
          </w:tcPr>
          <w:p>
            <w:pPr>
              <w:jc w:val="left"/>
            </w:pPr>
            <w:r>
              <w:rPr>
                <w:b w:val="false"/>
                <w:bCs w:val="false"/>
                <w:color w:val="222222"/>
                <w:sz w:val="20"/>
                <w:szCs w:val="20"/>
              </w:rPr>
              <w:t xml:space="preserve"/>
            </w:r>
          </w:p>
        </w:tc>
      </w:tr>
      <w:tr>
        <w:tc>
          <w:tcPr>
            <w:tcW w:type="dxa" w:w="700"/>
            <w:tcMar>
              <w:top w:type="dxa" w:w="80"/>
              <w:left w:type="dxa" w:w="100"/>
              <w:bottom w:type="dxa" w:w="80"/>
              <w:right w:type="dxa" w:w="100"/>
            </w:tcMar>
          </w:tcPr>
          <w:p>
            <w:pPr>
              <w:jc w:val="center"/>
            </w:pPr>
            <w:r>
              <w:rPr>
                <w:b w:val="false"/>
                <w:bCs w:val="false"/>
                <w:color w:val="222222"/>
                <w:sz w:val="20"/>
                <w:szCs w:val="20"/>
              </w:rPr>
              <w:t xml:space="preserve">3</w:t>
            </w:r>
          </w:p>
        </w:tc>
        <w:tc>
          <w:tcPr>
            <w:tcW w:type="dxa" w:w="5300"/>
            <w:tcMar>
              <w:top w:type="dxa" w:w="80"/>
              <w:left w:type="dxa" w:w="100"/>
              <w:bottom w:type="dxa" w:w="80"/>
              <w:right w:type="dxa" w:w="100"/>
            </w:tcMar>
          </w:tcPr>
          <w:p>
            <w:pPr>
              <w:jc w:val="left"/>
            </w:pPr>
            <w:r>
              <w:rPr>
                <w:b w:val="false"/>
                <w:bCs w:val="false"/>
                <w:color w:val="222222"/>
                <w:sz w:val="20"/>
                <w:szCs w:val="20"/>
              </w:rPr>
              <w:t xml:space="preserve">State lender licenses (consumer, commercial, mortgage) and sales-finance licenses</w:t>
            </w:r>
          </w:p>
        </w:tc>
        <w:tc>
          <w:tcPr>
            <w:tcW w:type="dxa" w:w="2400"/>
            <w:tcMar>
              <w:top w:type="dxa" w:w="80"/>
              <w:left w:type="dxa" w:w="100"/>
              <w:bottom w:type="dxa" w:w="80"/>
              <w:right w:type="dxa" w:w="100"/>
            </w:tcMar>
          </w:tcPr>
          <w:p>
            <w:pPr>
              <w:jc w:val="left"/>
            </w:pPr>
            <w:r>
              <w:rPr>
                <w:b w:val="false"/>
                <w:bCs w:val="false"/>
                <w:color w:val="222222"/>
                <w:sz w:val="20"/>
                <w:szCs w:val="20"/>
              </w:rPr>
              <w:t xml:space="preserve">Licensing</w:t>
            </w:r>
          </w:p>
        </w:tc>
        <w:tc>
          <w:tcPr>
            <w:tcW w:type="dxa" w:w="1800"/>
            <w:tcMar>
              <w:top w:type="dxa" w:w="80"/>
              <w:left w:type="dxa" w:w="100"/>
              <w:bottom w:type="dxa" w:w="80"/>
              <w:right w:type="dxa" w:w="100"/>
            </w:tcMar>
          </w:tcPr>
          <w:p>
            <w:pPr>
              <w:jc w:val="left"/>
            </w:pPr>
            <w:r>
              <w:rPr>
                <w:b w:val="false"/>
                <w:bCs w:val="false"/>
                <w:color w:val="222222"/>
                <w:sz w:val="20"/>
                <w:szCs w:val="20"/>
              </w:rPr>
              <w:t xml:space="preserve"/>
            </w:r>
          </w:p>
        </w:tc>
      </w:tr>
      <w:tr>
        <w:tc>
          <w:tcPr>
            <w:tcW w:type="dxa" w:w="700"/>
            <w:tcMar>
              <w:top w:type="dxa" w:w="80"/>
              <w:left w:type="dxa" w:w="100"/>
              <w:bottom w:type="dxa" w:w="80"/>
              <w:right w:type="dxa" w:w="100"/>
            </w:tcMar>
          </w:tcPr>
          <w:p>
            <w:pPr>
              <w:jc w:val="center"/>
            </w:pPr>
            <w:r>
              <w:rPr>
                <w:b w:val="false"/>
                <w:bCs w:val="false"/>
                <w:color w:val="222222"/>
                <w:sz w:val="20"/>
                <w:szCs w:val="20"/>
              </w:rPr>
              <w:t xml:space="preserve">4</w:t>
            </w:r>
          </w:p>
        </w:tc>
        <w:tc>
          <w:tcPr>
            <w:tcW w:type="dxa" w:w="5300"/>
            <w:tcMar>
              <w:top w:type="dxa" w:w="80"/>
              <w:left w:type="dxa" w:w="100"/>
              <w:bottom w:type="dxa" w:w="80"/>
              <w:right w:type="dxa" w:w="100"/>
            </w:tcMar>
          </w:tcPr>
          <w:p>
            <w:pPr>
              <w:jc w:val="left"/>
            </w:pPr>
            <w:r>
              <w:rPr>
                <w:b w:val="false"/>
                <w:bCs w:val="false"/>
                <w:color w:val="222222"/>
                <w:sz w:val="20"/>
                <w:szCs w:val="20"/>
              </w:rPr>
              <w:t xml:space="preserve">Florida OFR Chapter 560 money-services license and most recent exam report</w:t>
            </w:r>
          </w:p>
        </w:tc>
        <w:tc>
          <w:tcPr>
            <w:tcW w:type="dxa" w:w="2400"/>
            <w:tcMar>
              <w:top w:type="dxa" w:w="80"/>
              <w:left w:type="dxa" w:w="100"/>
              <w:bottom w:type="dxa" w:w="80"/>
              <w:right w:type="dxa" w:w="100"/>
            </w:tcMar>
          </w:tcPr>
          <w:p>
            <w:pPr>
              <w:jc w:val="left"/>
            </w:pPr>
            <w:r>
              <w:rPr>
                <w:b w:val="false"/>
                <w:bCs w:val="false"/>
                <w:color w:val="222222"/>
                <w:sz w:val="20"/>
                <w:szCs w:val="20"/>
              </w:rPr>
              <w:t xml:space="preserve">Licensing (FL)</w:t>
            </w:r>
          </w:p>
        </w:tc>
        <w:tc>
          <w:tcPr>
            <w:tcW w:type="dxa" w:w="1800"/>
            <w:tcMar>
              <w:top w:type="dxa" w:w="80"/>
              <w:left w:type="dxa" w:w="100"/>
              <w:bottom w:type="dxa" w:w="80"/>
              <w:right w:type="dxa" w:w="100"/>
            </w:tcMar>
          </w:tcPr>
          <w:p>
            <w:pPr>
              <w:jc w:val="left"/>
            </w:pPr>
            <w:r>
              <w:rPr>
                <w:b w:val="false"/>
                <w:bCs w:val="false"/>
                <w:color w:val="222222"/>
                <w:sz w:val="20"/>
                <w:szCs w:val="20"/>
              </w:rPr>
              <w:t xml:space="preserve"/>
            </w:r>
          </w:p>
        </w:tc>
      </w:tr>
      <w:tr>
        <w:tc>
          <w:tcPr>
            <w:tcW w:type="dxa" w:w="700"/>
            <w:tcMar>
              <w:top w:type="dxa" w:w="80"/>
              <w:left w:type="dxa" w:w="100"/>
              <w:bottom w:type="dxa" w:w="80"/>
              <w:right w:type="dxa" w:w="100"/>
            </w:tcMar>
          </w:tcPr>
          <w:p>
            <w:pPr>
              <w:jc w:val="center"/>
            </w:pPr>
            <w:r>
              <w:rPr>
                <w:b w:val="false"/>
                <w:bCs w:val="false"/>
                <w:color w:val="222222"/>
                <w:sz w:val="20"/>
                <w:szCs w:val="20"/>
              </w:rPr>
              <w:t xml:space="preserve">5</w:t>
            </w:r>
          </w:p>
        </w:tc>
        <w:tc>
          <w:tcPr>
            <w:tcW w:type="dxa" w:w="5300"/>
            <w:tcMar>
              <w:top w:type="dxa" w:w="80"/>
              <w:left w:type="dxa" w:w="100"/>
              <w:bottom w:type="dxa" w:w="80"/>
              <w:right w:type="dxa" w:w="100"/>
            </w:tcMar>
          </w:tcPr>
          <w:p>
            <w:pPr>
              <w:jc w:val="left"/>
            </w:pPr>
            <w:r>
              <w:rPr>
                <w:b w:val="false"/>
                <w:bCs w:val="false"/>
                <w:color w:val="222222"/>
                <w:sz w:val="20"/>
                <w:szCs w:val="20"/>
              </w:rPr>
              <w:t xml:space="preserve">California DFPI registrations (CFL, DBO, DFAL) and consent orders</w:t>
            </w:r>
          </w:p>
        </w:tc>
        <w:tc>
          <w:tcPr>
            <w:tcW w:type="dxa" w:w="2400"/>
            <w:tcMar>
              <w:top w:type="dxa" w:w="80"/>
              <w:left w:type="dxa" w:w="100"/>
              <w:bottom w:type="dxa" w:w="80"/>
              <w:right w:type="dxa" w:w="100"/>
            </w:tcMar>
          </w:tcPr>
          <w:p>
            <w:pPr>
              <w:jc w:val="left"/>
            </w:pPr>
            <w:r>
              <w:rPr>
                <w:b w:val="false"/>
                <w:bCs w:val="false"/>
                <w:color w:val="222222"/>
                <w:sz w:val="20"/>
                <w:szCs w:val="20"/>
              </w:rPr>
              <w:t xml:space="preserve">Licensing (CA)</w:t>
            </w:r>
          </w:p>
        </w:tc>
        <w:tc>
          <w:tcPr>
            <w:tcW w:type="dxa" w:w="1800"/>
            <w:tcMar>
              <w:top w:type="dxa" w:w="80"/>
              <w:left w:type="dxa" w:w="100"/>
              <w:bottom w:type="dxa" w:w="80"/>
              <w:right w:type="dxa" w:w="100"/>
            </w:tcMar>
          </w:tcPr>
          <w:p>
            <w:pPr>
              <w:jc w:val="left"/>
            </w:pPr>
            <w:r>
              <w:rPr>
                <w:b w:val="false"/>
                <w:bCs w:val="false"/>
                <w:color w:val="222222"/>
                <w:sz w:val="20"/>
                <w:szCs w:val="20"/>
              </w:rPr>
              <w:t xml:space="preserve"/>
            </w:r>
          </w:p>
        </w:tc>
      </w:tr>
      <w:tr>
        <w:tc>
          <w:tcPr>
            <w:tcW w:type="dxa" w:w="700"/>
            <w:tcMar>
              <w:top w:type="dxa" w:w="80"/>
              <w:left w:type="dxa" w:w="100"/>
              <w:bottom w:type="dxa" w:w="80"/>
              <w:right w:type="dxa" w:w="100"/>
            </w:tcMar>
          </w:tcPr>
          <w:p>
            <w:pPr>
              <w:jc w:val="center"/>
            </w:pPr>
            <w:r>
              <w:rPr>
                <w:b w:val="false"/>
                <w:bCs w:val="false"/>
                <w:color w:val="222222"/>
                <w:sz w:val="20"/>
                <w:szCs w:val="20"/>
              </w:rPr>
              <w:t xml:space="preserve">6</w:t>
            </w:r>
          </w:p>
        </w:tc>
        <w:tc>
          <w:tcPr>
            <w:tcW w:type="dxa" w:w="5300"/>
            <w:tcMar>
              <w:top w:type="dxa" w:w="80"/>
              <w:left w:type="dxa" w:w="100"/>
              <w:bottom w:type="dxa" w:w="80"/>
              <w:right w:type="dxa" w:w="100"/>
            </w:tcMar>
          </w:tcPr>
          <w:p>
            <w:pPr>
              <w:jc w:val="left"/>
            </w:pPr>
            <w:r>
              <w:rPr>
                <w:b w:val="false"/>
                <w:bCs w:val="false"/>
                <w:color w:val="222222"/>
                <w:sz w:val="20"/>
                <w:szCs w:val="20"/>
              </w:rPr>
              <w:t xml:space="preserve">Texas OCCC licenses and open examinations</w:t>
            </w:r>
          </w:p>
        </w:tc>
        <w:tc>
          <w:tcPr>
            <w:tcW w:type="dxa" w:w="2400"/>
            <w:tcMar>
              <w:top w:type="dxa" w:w="80"/>
              <w:left w:type="dxa" w:w="100"/>
              <w:bottom w:type="dxa" w:w="80"/>
              <w:right w:type="dxa" w:w="100"/>
            </w:tcMar>
          </w:tcPr>
          <w:p>
            <w:pPr>
              <w:jc w:val="left"/>
            </w:pPr>
            <w:r>
              <w:rPr>
                <w:b w:val="false"/>
                <w:bCs w:val="false"/>
                <w:color w:val="222222"/>
                <w:sz w:val="20"/>
                <w:szCs w:val="20"/>
              </w:rPr>
              <w:t xml:space="preserve">Licensing (TX)</w:t>
            </w:r>
          </w:p>
        </w:tc>
        <w:tc>
          <w:tcPr>
            <w:tcW w:type="dxa" w:w="1800"/>
            <w:tcMar>
              <w:top w:type="dxa" w:w="80"/>
              <w:left w:type="dxa" w:w="100"/>
              <w:bottom w:type="dxa" w:w="80"/>
              <w:right w:type="dxa" w:w="100"/>
            </w:tcMar>
          </w:tcPr>
          <w:p>
            <w:pPr>
              <w:jc w:val="left"/>
            </w:pPr>
            <w:r>
              <w:rPr>
                <w:b w:val="false"/>
                <w:bCs w:val="false"/>
                <w:color w:val="222222"/>
                <w:sz w:val="20"/>
                <w:szCs w:val="20"/>
              </w:rPr>
              <w:t xml:space="preserve"/>
            </w:r>
          </w:p>
        </w:tc>
      </w:tr>
      <w:tr>
        <w:tc>
          <w:tcPr>
            <w:tcW w:type="dxa" w:w="700"/>
            <w:tcMar>
              <w:top w:type="dxa" w:w="80"/>
              <w:left w:type="dxa" w:w="100"/>
              <w:bottom w:type="dxa" w:w="80"/>
              <w:right w:type="dxa" w:w="100"/>
            </w:tcMar>
          </w:tcPr>
          <w:p>
            <w:pPr>
              <w:jc w:val="center"/>
            </w:pPr>
            <w:r>
              <w:rPr>
                <w:b w:val="false"/>
                <w:bCs w:val="false"/>
                <w:color w:val="222222"/>
                <w:sz w:val="20"/>
                <w:szCs w:val="20"/>
              </w:rPr>
              <w:t xml:space="preserve">7</w:t>
            </w:r>
          </w:p>
        </w:tc>
        <w:tc>
          <w:tcPr>
            <w:tcW w:type="dxa" w:w="5300"/>
            <w:tcMar>
              <w:top w:type="dxa" w:w="80"/>
              <w:left w:type="dxa" w:w="100"/>
              <w:bottom w:type="dxa" w:w="80"/>
              <w:right w:type="dxa" w:w="100"/>
            </w:tcMar>
          </w:tcPr>
          <w:p>
            <w:pPr>
              <w:jc w:val="left"/>
            </w:pPr>
            <w:r>
              <w:rPr>
                <w:b w:val="false"/>
                <w:bCs w:val="false"/>
                <w:color w:val="222222"/>
                <w:sz w:val="20"/>
                <w:szCs w:val="20"/>
              </w:rPr>
              <w:t xml:space="preserve">BSA/AML program documentation (written policy, risk assessment, independent audit)</w:t>
            </w:r>
          </w:p>
        </w:tc>
        <w:tc>
          <w:tcPr>
            <w:tcW w:type="dxa" w:w="2400"/>
            <w:tcMar>
              <w:top w:type="dxa" w:w="80"/>
              <w:left w:type="dxa" w:w="100"/>
              <w:bottom w:type="dxa" w:w="80"/>
              <w:right w:type="dxa" w:w="100"/>
            </w:tcMar>
          </w:tcPr>
          <w:p>
            <w:pPr>
              <w:jc w:val="left"/>
            </w:pPr>
            <w:r>
              <w:rPr>
                <w:b w:val="false"/>
                <w:bCs w:val="false"/>
                <w:color w:val="222222"/>
                <w:sz w:val="20"/>
                <w:szCs w:val="20"/>
              </w:rPr>
              <w:t xml:space="preserve">BSA/AML</w:t>
            </w:r>
          </w:p>
        </w:tc>
        <w:tc>
          <w:tcPr>
            <w:tcW w:type="dxa" w:w="1800"/>
            <w:tcMar>
              <w:top w:type="dxa" w:w="80"/>
              <w:left w:type="dxa" w:w="100"/>
              <w:bottom w:type="dxa" w:w="80"/>
              <w:right w:type="dxa" w:w="100"/>
            </w:tcMar>
          </w:tcPr>
          <w:p>
            <w:pPr>
              <w:jc w:val="left"/>
            </w:pPr>
            <w:r>
              <w:rPr>
                <w:b w:val="false"/>
                <w:bCs w:val="false"/>
                <w:color w:val="222222"/>
                <w:sz w:val="20"/>
                <w:szCs w:val="20"/>
              </w:rPr>
              <w:t xml:space="preserve"/>
            </w:r>
          </w:p>
        </w:tc>
      </w:tr>
      <w:tr>
        <w:tc>
          <w:tcPr>
            <w:tcW w:type="dxa" w:w="700"/>
            <w:tcMar>
              <w:top w:type="dxa" w:w="80"/>
              <w:left w:type="dxa" w:w="100"/>
              <w:bottom w:type="dxa" w:w="80"/>
              <w:right w:type="dxa" w:w="100"/>
            </w:tcMar>
          </w:tcPr>
          <w:p>
            <w:pPr>
              <w:jc w:val="center"/>
            </w:pPr>
            <w:r>
              <w:rPr>
                <w:b w:val="false"/>
                <w:bCs w:val="false"/>
                <w:color w:val="222222"/>
                <w:sz w:val="20"/>
                <w:szCs w:val="20"/>
              </w:rPr>
              <w:t xml:space="preserve">8</w:t>
            </w:r>
          </w:p>
        </w:tc>
        <w:tc>
          <w:tcPr>
            <w:tcW w:type="dxa" w:w="5300"/>
            <w:tcMar>
              <w:top w:type="dxa" w:w="80"/>
              <w:left w:type="dxa" w:w="100"/>
              <w:bottom w:type="dxa" w:w="80"/>
              <w:right w:type="dxa" w:w="100"/>
            </w:tcMar>
          </w:tcPr>
          <w:p>
            <w:pPr>
              <w:jc w:val="left"/>
            </w:pPr>
            <w:r>
              <w:rPr>
                <w:b w:val="false"/>
                <w:bCs w:val="false"/>
                <w:color w:val="222222"/>
                <w:sz w:val="20"/>
                <w:szCs w:val="20"/>
              </w:rPr>
              <w:t xml:space="preserve">Customer Identification Program (CIP) and CDD/EDD files</w:t>
            </w:r>
          </w:p>
        </w:tc>
        <w:tc>
          <w:tcPr>
            <w:tcW w:type="dxa" w:w="2400"/>
            <w:tcMar>
              <w:top w:type="dxa" w:w="80"/>
              <w:left w:type="dxa" w:w="100"/>
              <w:bottom w:type="dxa" w:w="80"/>
              <w:right w:type="dxa" w:w="100"/>
            </w:tcMar>
          </w:tcPr>
          <w:p>
            <w:pPr>
              <w:jc w:val="left"/>
            </w:pPr>
            <w:r>
              <w:rPr>
                <w:b w:val="false"/>
                <w:bCs w:val="false"/>
                <w:color w:val="222222"/>
                <w:sz w:val="20"/>
                <w:szCs w:val="20"/>
              </w:rPr>
              <w:t xml:space="preserve">BSA/AML</w:t>
            </w:r>
          </w:p>
        </w:tc>
        <w:tc>
          <w:tcPr>
            <w:tcW w:type="dxa" w:w="1800"/>
            <w:tcMar>
              <w:top w:type="dxa" w:w="80"/>
              <w:left w:type="dxa" w:w="100"/>
              <w:bottom w:type="dxa" w:w="80"/>
              <w:right w:type="dxa" w:w="100"/>
            </w:tcMar>
          </w:tcPr>
          <w:p>
            <w:pPr>
              <w:jc w:val="left"/>
            </w:pPr>
            <w:r>
              <w:rPr>
                <w:b w:val="false"/>
                <w:bCs w:val="false"/>
                <w:color w:val="222222"/>
                <w:sz w:val="20"/>
                <w:szCs w:val="20"/>
              </w:rPr>
              <w:t xml:space="preserve"/>
            </w:r>
          </w:p>
        </w:tc>
      </w:tr>
      <w:tr>
        <w:tc>
          <w:tcPr>
            <w:tcW w:type="dxa" w:w="700"/>
            <w:tcMar>
              <w:top w:type="dxa" w:w="80"/>
              <w:left w:type="dxa" w:w="100"/>
              <w:bottom w:type="dxa" w:w="80"/>
              <w:right w:type="dxa" w:w="100"/>
            </w:tcMar>
          </w:tcPr>
          <w:p>
            <w:pPr>
              <w:jc w:val="center"/>
            </w:pPr>
            <w:r>
              <w:rPr>
                <w:b w:val="false"/>
                <w:bCs w:val="false"/>
                <w:color w:val="222222"/>
                <w:sz w:val="20"/>
                <w:szCs w:val="20"/>
              </w:rPr>
              <w:t xml:space="preserve">9</w:t>
            </w:r>
          </w:p>
        </w:tc>
        <w:tc>
          <w:tcPr>
            <w:tcW w:type="dxa" w:w="5300"/>
            <w:tcMar>
              <w:top w:type="dxa" w:w="80"/>
              <w:left w:type="dxa" w:w="100"/>
              <w:bottom w:type="dxa" w:w="80"/>
              <w:right w:type="dxa" w:w="100"/>
            </w:tcMar>
          </w:tcPr>
          <w:p>
            <w:pPr>
              <w:jc w:val="left"/>
            </w:pPr>
            <w:r>
              <w:rPr>
                <w:b w:val="false"/>
                <w:bCs w:val="false"/>
                <w:color w:val="222222"/>
                <w:sz w:val="20"/>
                <w:szCs w:val="20"/>
              </w:rPr>
              <w:t xml:space="preserve">SAR filing history (volume, categories, timeliness)</w:t>
            </w:r>
          </w:p>
        </w:tc>
        <w:tc>
          <w:tcPr>
            <w:tcW w:type="dxa" w:w="2400"/>
            <w:tcMar>
              <w:top w:type="dxa" w:w="80"/>
              <w:left w:type="dxa" w:w="100"/>
              <w:bottom w:type="dxa" w:w="80"/>
              <w:right w:type="dxa" w:w="100"/>
            </w:tcMar>
          </w:tcPr>
          <w:p>
            <w:pPr>
              <w:jc w:val="left"/>
            </w:pPr>
            <w:r>
              <w:rPr>
                <w:b w:val="false"/>
                <w:bCs w:val="false"/>
                <w:color w:val="222222"/>
                <w:sz w:val="20"/>
                <w:szCs w:val="20"/>
              </w:rPr>
              <w:t xml:space="preserve">BSA/AML</w:t>
            </w:r>
          </w:p>
        </w:tc>
        <w:tc>
          <w:tcPr>
            <w:tcW w:type="dxa" w:w="1800"/>
            <w:tcMar>
              <w:top w:type="dxa" w:w="80"/>
              <w:left w:type="dxa" w:w="100"/>
              <w:bottom w:type="dxa" w:w="80"/>
              <w:right w:type="dxa" w:w="100"/>
            </w:tcMar>
          </w:tcPr>
          <w:p>
            <w:pPr>
              <w:jc w:val="left"/>
            </w:pPr>
            <w:r>
              <w:rPr>
                <w:b w:val="false"/>
                <w:bCs w:val="false"/>
                <w:color w:val="222222"/>
                <w:sz w:val="20"/>
                <w:szCs w:val="20"/>
              </w:rPr>
              <w:t xml:space="preserve"/>
            </w:r>
          </w:p>
        </w:tc>
      </w:tr>
      <w:tr>
        <w:tc>
          <w:tcPr>
            <w:tcW w:type="dxa" w:w="700"/>
            <w:tcMar>
              <w:top w:type="dxa" w:w="80"/>
              <w:left w:type="dxa" w:w="100"/>
              <w:bottom w:type="dxa" w:w="80"/>
              <w:right w:type="dxa" w:w="100"/>
            </w:tcMar>
          </w:tcPr>
          <w:p>
            <w:pPr>
              <w:jc w:val="center"/>
            </w:pPr>
            <w:r>
              <w:rPr>
                <w:b w:val="false"/>
                <w:bCs w:val="false"/>
                <w:color w:val="222222"/>
                <w:sz w:val="20"/>
                <w:szCs w:val="20"/>
              </w:rPr>
              <w:t xml:space="preserve">10</w:t>
            </w:r>
          </w:p>
        </w:tc>
        <w:tc>
          <w:tcPr>
            <w:tcW w:type="dxa" w:w="5300"/>
            <w:tcMar>
              <w:top w:type="dxa" w:w="80"/>
              <w:left w:type="dxa" w:w="100"/>
              <w:bottom w:type="dxa" w:w="80"/>
              <w:right w:type="dxa" w:w="100"/>
            </w:tcMar>
          </w:tcPr>
          <w:p>
            <w:pPr>
              <w:jc w:val="left"/>
            </w:pPr>
            <w:r>
              <w:rPr>
                <w:b w:val="false"/>
                <w:bCs w:val="false"/>
                <w:color w:val="222222"/>
                <w:sz w:val="20"/>
                <w:szCs w:val="20"/>
              </w:rPr>
              <w:t xml:space="preserve">OFAC sanctions-screening logs and false-positive rate</w:t>
            </w:r>
          </w:p>
        </w:tc>
        <w:tc>
          <w:tcPr>
            <w:tcW w:type="dxa" w:w="2400"/>
            <w:tcMar>
              <w:top w:type="dxa" w:w="80"/>
              <w:left w:type="dxa" w:w="100"/>
              <w:bottom w:type="dxa" w:w="80"/>
              <w:right w:type="dxa" w:w="100"/>
            </w:tcMar>
          </w:tcPr>
          <w:p>
            <w:pPr>
              <w:jc w:val="left"/>
            </w:pPr>
            <w:r>
              <w:rPr>
                <w:b w:val="false"/>
                <w:bCs w:val="false"/>
                <w:color w:val="222222"/>
                <w:sz w:val="20"/>
                <w:szCs w:val="20"/>
              </w:rPr>
              <w:t xml:space="preserve">Sanctions</w:t>
            </w:r>
          </w:p>
        </w:tc>
        <w:tc>
          <w:tcPr>
            <w:tcW w:type="dxa" w:w="1800"/>
            <w:tcMar>
              <w:top w:type="dxa" w:w="80"/>
              <w:left w:type="dxa" w:w="100"/>
              <w:bottom w:type="dxa" w:w="80"/>
              <w:right w:type="dxa" w:w="100"/>
            </w:tcMar>
          </w:tcPr>
          <w:p>
            <w:pPr>
              <w:jc w:val="left"/>
            </w:pPr>
            <w:r>
              <w:rPr>
                <w:b w:val="false"/>
                <w:bCs w:val="false"/>
                <w:color w:val="222222"/>
                <w:sz w:val="20"/>
                <w:szCs w:val="20"/>
              </w:rPr>
              <w:t xml:space="preserve"/>
            </w:r>
          </w:p>
        </w:tc>
      </w:tr>
      <w:tr>
        <w:tc>
          <w:tcPr>
            <w:tcW w:type="dxa" w:w="700"/>
            <w:tcMar>
              <w:top w:type="dxa" w:w="80"/>
              <w:left w:type="dxa" w:w="100"/>
              <w:bottom w:type="dxa" w:w="80"/>
              <w:right w:type="dxa" w:w="100"/>
            </w:tcMar>
          </w:tcPr>
          <w:p>
            <w:pPr>
              <w:jc w:val="center"/>
            </w:pPr>
            <w:r>
              <w:rPr>
                <w:b w:val="false"/>
                <w:bCs w:val="false"/>
                <w:color w:val="222222"/>
                <w:sz w:val="20"/>
                <w:szCs w:val="20"/>
              </w:rPr>
              <w:t xml:space="preserve">11</w:t>
            </w:r>
          </w:p>
        </w:tc>
        <w:tc>
          <w:tcPr>
            <w:tcW w:type="dxa" w:w="5300"/>
            <w:tcMar>
              <w:top w:type="dxa" w:w="80"/>
              <w:left w:type="dxa" w:w="100"/>
              <w:bottom w:type="dxa" w:w="80"/>
              <w:right w:type="dxa" w:w="100"/>
            </w:tcMar>
          </w:tcPr>
          <w:p>
            <w:pPr>
              <w:jc w:val="left"/>
            </w:pPr>
            <w:r>
              <w:rPr>
                <w:b w:val="false"/>
                <w:bCs w:val="false"/>
                <w:color w:val="222222"/>
                <w:sz w:val="20"/>
                <w:szCs w:val="20"/>
              </w:rPr>
              <w:t xml:space="preserve">State AG enforcement history (last 7 years, including subpoenas and CIDs)</w:t>
            </w:r>
          </w:p>
        </w:tc>
        <w:tc>
          <w:tcPr>
            <w:tcW w:type="dxa" w:w="2400"/>
            <w:tcMar>
              <w:top w:type="dxa" w:w="80"/>
              <w:left w:type="dxa" w:w="100"/>
              <w:bottom w:type="dxa" w:w="80"/>
              <w:right w:type="dxa" w:w="100"/>
            </w:tcMar>
          </w:tcPr>
          <w:p>
            <w:pPr>
              <w:jc w:val="left"/>
            </w:pPr>
            <w:r>
              <w:rPr>
                <w:b w:val="false"/>
                <w:bCs w:val="false"/>
                <w:color w:val="222222"/>
                <w:sz w:val="20"/>
                <w:szCs w:val="20"/>
              </w:rPr>
              <w:t xml:space="preserve">Enforcement history</w:t>
            </w:r>
          </w:p>
        </w:tc>
        <w:tc>
          <w:tcPr>
            <w:tcW w:type="dxa" w:w="1800"/>
            <w:tcMar>
              <w:top w:type="dxa" w:w="80"/>
              <w:left w:type="dxa" w:w="100"/>
              <w:bottom w:type="dxa" w:w="80"/>
              <w:right w:type="dxa" w:w="100"/>
            </w:tcMar>
          </w:tcPr>
          <w:p>
            <w:pPr>
              <w:jc w:val="left"/>
            </w:pPr>
            <w:r>
              <w:rPr>
                <w:b w:val="false"/>
                <w:bCs w:val="false"/>
                <w:color w:val="222222"/>
                <w:sz w:val="20"/>
                <w:szCs w:val="20"/>
              </w:rPr>
              <w:t xml:space="preserve"/>
            </w:r>
          </w:p>
        </w:tc>
      </w:tr>
      <w:tr>
        <w:tc>
          <w:tcPr>
            <w:tcW w:type="dxa" w:w="700"/>
            <w:tcMar>
              <w:top w:type="dxa" w:w="80"/>
              <w:left w:type="dxa" w:w="100"/>
              <w:bottom w:type="dxa" w:w="80"/>
              <w:right w:type="dxa" w:w="100"/>
            </w:tcMar>
          </w:tcPr>
          <w:p>
            <w:pPr>
              <w:jc w:val="center"/>
            </w:pPr>
            <w:r>
              <w:rPr>
                <w:b w:val="false"/>
                <w:bCs w:val="false"/>
                <w:color w:val="222222"/>
                <w:sz w:val="20"/>
                <w:szCs w:val="20"/>
              </w:rPr>
              <w:t xml:space="preserve">12</w:t>
            </w:r>
          </w:p>
        </w:tc>
        <w:tc>
          <w:tcPr>
            <w:tcW w:type="dxa" w:w="5300"/>
            <w:tcMar>
              <w:top w:type="dxa" w:w="80"/>
              <w:left w:type="dxa" w:w="100"/>
              <w:bottom w:type="dxa" w:w="80"/>
              <w:right w:type="dxa" w:w="100"/>
            </w:tcMar>
          </w:tcPr>
          <w:p>
            <w:pPr>
              <w:jc w:val="left"/>
            </w:pPr>
            <w:r>
              <w:rPr>
                <w:b w:val="false"/>
                <w:bCs w:val="false"/>
                <w:color w:val="222222"/>
                <w:sz w:val="20"/>
                <w:szCs w:val="20"/>
              </w:rPr>
              <w:t xml:space="preserve">State regulatory exam reports, MOUs, and consent orders (last 7 years)</w:t>
            </w:r>
          </w:p>
        </w:tc>
        <w:tc>
          <w:tcPr>
            <w:tcW w:type="dxa" w:w="2400"/>
            <w:tcMar>
              <w:top w:type="dxa" w:w="80"/>
              <w:left w:type="dxa" w:w="100"/>
              <w:bottom w:type="dxa" w:w="80"/>
              <w:right w:type="dxa" w:w="100"/>
            </w:tcMar>
          </w:tcPr>
          <w:p>
            <w:pPr>
              <w:jc w:val="left"/>
            </w:pPr>
            <w:r>
              <w:rPr>
                <w:b w:val="false"/>
                <w:bCs w:val="false"/>
                <w:color w:val="222222"/>
                <w:sz w:val="20"/>
                <w:szCs w:val="20"/>
              </w:rPr>
              <w:t xml:space="preserve">Exam history</w:t>
            </w:r>
          </w:p>
        </w:tc>
        <w:tc>
          <w:tcPr>
            <w:tcW w:type="dxa" w:w="1800"/>
            <w:tcMar>
              <w:top w:type="dxa" w:w="80"/>
              <w:left w:type="dxa" w:w="100"/>
              <w:bottom w:type="dxa" w:w="80"/>
              <w:right w:type="dxa" w:w="100"/>
            </w:tcMar>
          </w:tcPr>
          <w:p>
            <w:pPr>
              <w:jc w:val="left"/>
            </w:pPr>
            <w:r>
              <w:rPr>
                <w:b w:val="false"/>
                <w:bCs w:val="false"/>
                <w:color w:val="222222"/>
                <w:sz w:val="20"/>
                <w:szCs w:val="20"/>
              </w:rPr>
              <w:t xml:space="preserve"/>
            </w:r>
          </w:p>
        </w:tc>
      </w:tr>
      <w:tr>
        <w:tc>
          <w:tcPr>
            <w:tcW w:type="dxa" w:w="700"/>
            <w:tcMar>
              <w:top w:type="dxa" w:w="80"/>
              <w:left w:type="dxa" w:w="100"/>
              <w:bottom w:type="dxa" w:w="80"/>
              <w:right w:type="dxa" w:w="100"/>
            </w:tcMar>
          </w:tcPr>
          <w:p>
            <w:pPr>
              <w:jc w:val="center"/>
            </w:pPr>
            <w:r>
              <w:rPr>
                <w:b w:val="false"/>
                <w:bCs w:val="false"/>
                <w:color w:val="222222"/>
                <w:sz w:val="20"/>
                <w:szCs w:val="20"/>
              </w:rPr>
              <w:t xml:space="preserve">13</w:t>
            </w:r>
          </w:p>
        </w:tc>
        <w:tc>
          <w:tcPr>
            <w:tcW w:type="dxa" w:w="5300"/>
            <w:tcMar>
              <w:top w:type="dxa" w:w="80"/>
              <w:left w:type="dxa" w:w="100"/>
              <w:bottom w:type="dxa" w:w="80"/>
              <w:right w:type="dxa" w:w="100"/>
            </w:tcMar>
          </w:tcPr>
          <w:p>
            <w:pPr>
              <w:jc w:val="left"/>
            </w:pPr>
            <w:r>
              <w:rPr>
                <w:b w:val="false"/>
                <w:bCs w:val="false"/>
                <w:color w:val="222222"/>
                <w:sz w:val="20"/>
                <w:szCs w:val="20"/>
              </w:rPr>
              <w:t xml:space="preserve">UDAAP litigation history (federal, state analog: FL FDUTPA, CA UCL § 17200)</w:t>
            </w:r>
          </w:p>
        </w:tc>
        <w:tc>
          <w:tcPr>
            <w:tcW w:type="dxa" w:w="2400"/>
            <w:tcMar>
              <w:top w:type="dxa" w:w="80"/>
              <w:left w:type="dxa" w:w="100"/>
              <w:bottom w:type="dxa" w:w="80"/>
              <w:right w:type="dxa" w:w="100"/>
            </w:tcMar>
          </w:tcPr>
          <w:p>
            <w:pPr>
              <w:jc w:val="left"/>
            </w:pPr>
            <w:r>
              <w:rPr>
                <w:b w:val="false"/>
                <w:bCs w:val="false"/>
                <w:color w:val="222222"/>
                <w:sz w:val="20"/>
                <w:szCs w:val="20"/>
              </w:rPr>
              <w:t xml:space="preserve">UDAAP</w:t>
            </w:r>
          </w:p>
        </w:tc>
        <w:tc>
          <w:tcPr>
            <w:tcW w:type="dxa" w:w="1800"/>
            <w:tcMar>
              <w:top w:type="dxa" w:w="80"/>
              <w:left w:type="dxa" w:w="100"/>
              <w:bottom w:type="dxa" w:w="80"/>
              <w:right w:type="dxa" w:w="100"/>
            </w:tcMar>
          </w:tcPr>
          <w:p>
            <w:pPr>
              <w:jc w:val="left"/>
            </w:pPr>
            <w:r>
              <w:rPr>
                <w:b w:val="false"/>
                <w:bCs w:val="false"/>
                <w:color w:val="222222"/>
                <w:sz w:val="20"/>
                <w:szCs w:val="20"/>
              </w:rPr>
              <w:t xml:space="preserve"/>
            </w:r>
          </w:p>
        </w:tc>
      </w:tr>
      <w:tr>
        <w:tc>
          <w:tcPr>
            <w:tcW w:type="dxa" w:w="700"/>
            <w:tcMar>
              <w:top w:type="dxa" w:w="80"/>
              <w:left w:type="dxa" w:w="100"/>
              <w:bottom w:type="dxa" w:w="80"/>
              <w:right w:type="dxa" w:w="100"/>
            </w:tcMar>
          </w:tcPr>
          <w:p>
            <w:pPr>
              <w:jc w:val="center"/>
            </w:pPr>
            <w:r>
              <w:rPr>
                <w:b w:val="false"/>
                <w:bCs w:val="false"/>
                <w:color w:val="222222"/>
                <w:sz w:val="20"/>
                <w:szCs w:val="20"/>
              </w:rPr>
              <w:t xml:space="preserve">14</w:t>
            </w:r>
          </w:p>
        </w:tc>
        <w:tc>
          <w:tcPr>
            <w:tcW w:type="dxa" w:w="5300"/>
            <w:tcMar>
              <w:top w:type="dxa" w:w="80"/>
              <w:left w:type="dxa" w:w="100"/>
              <w:bottom w:type="dxa" w:w="80"/>
              <w:right w:type="dxa" w:w="100"/>
            </w:tcMar>
          </w:tcPr>
          <w:p>
            <w:pPr>
              <w:jc w:val="left"/>
            </w:pPr>
            <w:r>
              <w:rPr>
                <w:b w:val="false"/>
                <w:bCs w:val="false"/>
                <w:color w:val="222222"/>
                <w:sz w:val="20"/>
                <w:szCs w:val="20"/>
              </w:rPr>
              <w:t xml:space="preserve">Consumer complaint data (CFPB portal, state portals, BBB)</w:t>
            </w:r>
          </w:p>
        </w:tc>
        <w:tc>
          <w:tcPr>
            <w:tcW w:type="dxa" w:w="2400"/>
            <w:tcMar>
              <w:top w:type="dxa" w:w="80"/>
              <w:left w:type="dxa" w:w="100"/>
              <w:bottom w:type="dxa" w:w="80"/>
              <w:right w:type="dxa" w:w="100"/>
            </w:tcMar>
          </w:tcPr>
          <w:p>
            <w:pPr>
              <w:jc w:val="left"/>
            </w:pPr>
            <w:r>
              <w:rPr>
                <w:b w:val="false"/>
                <w:bCs w:val="false"/>
                <w:color w:val="222222"/>
                <w:sz w:val="20"/>
                <w:szCs w:val="20"/>
              </w:rPr>
              <w:t xml:space="preserve">Consumer complaints</w:t>
            </w:r>
          </w:p>
        </w:tc>
        <w:tc>
          <w:tcPr>
            <w:tcW w:type="dxa" w:w="1800"/>
            <w:tcMar>
              <w:top w:type="dxa" w:w="80"/>
              <w:left w:type="dxa" w:w="100"/>
              <w:bottom w:type="dxa" w:w="80"/>
              <w:right w:type="dxa" w:w="100"/>
            </w:tcMar>
          </w:tcPr>
          <w:p>
            <w:pPr>
              <w:jc w:val="left"/>
            </w:pPr>
            <w:r>
              <w:rPr>
                <w:b w:val="false"/>
                <w:bCs w:val="false"/>
                <w:color w:val="222222"/>
                <w:sz w:val="20"/>
                <w:szCs w:val="20"/>
              </w:rPr>
              <w:t xml:space="preserve"/>
            </w:r>
          </w:p>
        </w:tc>
      </w:tr>
      <w:tr>
        <w:tc>
          <w:tcPr>
            <w:tcW w:type="dxa" w:w="700"/>
            <w:tcMar>
              <w:top w:type="dxa" w:w="80"/>
              <w:left w:type="dxa" w:w="100"/>
              <w:bottom w:type="dxa" w:w="80"/>
              <w:right w:type="dxa" w:w="100"/>
            </w:tcMar>
          </w:tcPr>
          <w:p>
            <w:pPr>
              <w:jc w:val="center"/>
            </w:pPr>
            <w:r>
              <w:rPr>
                <w:b w:val="false"/>
                <w:bCs w:val="false"/>
                <w:color w:val="222222"/>
                <w:sz w:val="20"/>
                <w:szCs w:val="20"/>
              </w:rPr>
              <w:t xml:space="preserve">15</w:t>
            </w:r>
          </w:p>
        </w:tc>
        <w:tc>
          <w:tcPr>
            <w:tcW w:type="dxa" w:w="5300"/>
            <w:tcMar>
              <w:top w:type="dxa" w:w="80"/>
              <w:left w:type="dxa" w:w="100"/>
              <w:bottom w:type="dxa" w:w="80"/>
              <w:right w:type="dxa" w:w="100"/>
            </w:tcMar>
          </w:tcPr>
          <w:p>
            <w:pPr>
              <w:jc w:val="left"/>
            </w:pPr>
            <w:r>
              <w:rPr>
                <w:b w:val="false"/>
                <w:bCs w:val="false"/>
                <w:color w:val="222222"/>
                <w:sz w:val="20"/>
                <w:szCs w:val="20"/>
              </w:rPr>
              <w:t xml:space="preserve">Section 1033 open-banking data-access posture and data-partner agreements</w:t>
            </w:r>
          </w:p>
        </w:tc>
        <w:tc>
          <w:tcPr>
            <w:tcW w:type="dxa" w:w="2400"/>
            <w:tcMar>
              <w:top w:type="dxa" w:w="80"/>
              <w:left w:type="dxa" w:w="100"/>
              <w:bottom w:type="dxa" w:w="80"/>
              <w:right w:type="dxa" w:w="100"/>
            </w:tcMar>
          </w:tcPr>
          <w:p>
            <w:pPr>
              <w:jc w:val="left"/>
            </w:pPr>
            <w:r>
              <w:rPr>
                <w:b w:val="false"/>
                <w:bCs w:val="false"/>
                <w:color w:val="222222"/>
                <w:sz w:val="20"/>
                <w:szCs w:val="20"/>
              </w:rPr>
              <w:t xml:space="preserve">Data access</w:t>
            </w:r>
          </w:p>
        </w:tc>
        <w:tc>
          <w:tcPr>
            <w:tcW w:type="dxa" w:w="1800"/>
            <w:tcMar>
              <w:top w:type="dxa" w:w="80"/>
              <w:left w:type="dxa" w:w="100"/>
              <w:bottom w:type="dxa" w:w="80"/>
              <w:right w:type="dxa" w:w="100"/>
            </w:tcMar>
          </w:tcPr>
          <w:p>
            <w:pPr>
              <w:jc w:val="left"/>
            </w:pPr>
            <w:r>
              <w:rPr>
                <w:b w:val="false"/>
                <w:bCs w:val="false"/>
                <w:color w:val="222222"/>
                <w:sz w:val="20"/>
                <w:szCs w:val="20"/>
              </w:rPr>
              <w:t xml:space="preserve"/>
            </w:r>
          </w:p>
        </w:tc>
      </w:tr>
      <w:tr>
        <w:tc>
          <w:tcPr>
            <w:tcW w:type="dxa" w:w="700"/>
            <w:tcMar>
              <w:top w:type="dxa" w:w="80"/>
              <w:left w:type="dxa" w:w="100"/>
              <w:bottom w:type="dxa" w:w="80"/>
              <w:right w:type="dxa" w:w="100"/>
            </w:tcMar>
          </w:tcPr>
          <w:p>
            <w:pPr>
              <w:jc w:val="center"/>
            </w:pPr>
            <w:r>
              <w:rPr>
                <w:b w:val="false"/>
                <w:bCs w:val="false"/>
                <w:color w:val="222222"/>
                <w:sz w:val="20"/>
                <w:szCs w:val="20"/>
              </w:rPr>
              <w:t xml:space="preserve">16</w:t>
            </w:r>
          </w:p>
        </w:tc>
        <w:tc>
          <w:tcPr>
            <w:tcW w:type="dxa" w:w="5300"/>
            <w:tcMar>
              <w:top w:type="dxa" w:w="80"/>
              <w:left w:type="dxa" w:w="100"/>
              <w:bottom w:type="dxa" w:w="80"/>
              <w:right w:type="dxa" w:w="100"/>
            </w:tcMar>
          </w:tcPr>
          <w:p>
            <w:pPr>
              <w:jc w:val="left"/>
            </w:pPr>
            <w:r>
              <w:rPr>
                <w:b w:val="false"/>
                <w:bCs w:val="false"/>
                <w:color w:val="222222"/>
                <w:sz w:val="20"/>
                <w:szCs w:val="20"/>
              </w:rPr>
              <w:t xml:space="preserve">Consumer-arbitration-agreement review and class-action-waiver enforceability</w:t>
            </w:r>
          </w:p>
        </w:tc>
        <w:tc>
          <w:tcPr>
            <w:tcW w:type="dxa" w:w="2400"/>
            <w:tcMar>
              <w:top w:type="dxa" w:w="80"/>
              <w:left w:type="dxa" w:w="100"/>
              <w:bottom w:type="dxa" w:w="80"/>
              <w:right w:type="dxa" w:w="100"/>
            </w:tcMar>
          </w:tcPr>
          <w:p>
            <w:pPr>
              <w:jc w:val="left"/>
            </w:pPr>
            <w:r>
              <w:rPr>
                <w:b w:val="false"/>
                <w:bCs w:val="false"/>
                <w:color w:val="222222"/>
                <w:sz w:val="20"/>
                <w:szCs w:val="20"/>
              </w:rPr>
              <w:t xml:space="preserve">Dispute resolution</w:t>
            </w:r>
          </w:p>
        </w:tc>
        <w:tc>
          <w:tcPr>
            <w:tcW w:type="dxa" w:w="1800"/>
            <w:tcMar>
              <w:top w:type="dxa" w:w="80"/>
              <w:left w:type="dxa" w:w="100"/>
              <w:bottom w:type="dxa" w:w="80"/>
              <w:right w:type="dxa" w:w="100"/>
            </w:tcMar>
          </w:tcPr>
          <w:p>
            <w:pPr>
              <w:jc w:val="left"/>
            </w:pPr>
            <w:r>
              <w:rPr>
                <w:b w:val="false"/>
                <w:bCs w:val="false"/>
                <w:color w:val="222222"/>
                <w:sz w:val="20"/>
                <w:szCs w:val="20"/>
              </w:rPr>
              <w:t xml:space="preserve"/>
            </w:r>
          </w:p>
        </w:tc>
      </w:tr>
      <w:tr>
        <w:tc>
          <w:tcPr>
            <w:tcW w:type="dxa" w:w="700"/>
            <w:tcMar>
              <w:top w:type="dxa" w:w="80"/>
              <w:left w:type="dxa" w:w="100"/>
              <w:bottom w:type="dxa" w:w="80"/>
              <w:right w:type="dxa" w:w="100"/>
            </w:tcMar>
          </w:tcPr>
          <w:p>
            <w:pPr>
              <w:jc w:val="center"/>
            </w:pPr>
            <w:r>
              <w:rPr>
                <w:b w:val="false"/>
                <w:bCs w:val="false"/>
                <w:color w:val="222222"/>
                <w:sz w:val="20"/>
                <w:szCs w:val="20"/>
              </w:rPr>
              <w:t xml:space="preserve">17</w:t>
            </w:r>
          </w:p>
        </w:tc>
        <w:tc>
          <w:tcPr>
            <w:tcW w:type="dxa" w:w="5300"/>
            <w:tcMar>
              <w:top w:type="dxa" w:w="80"/>
              <w:left w:type="dxa" w:w="100"/>
              <w:bottom w:type="dxa" w:w="80"/>
              <w:right w:type="dxa" w:w="100"/>
            </w:tcMar>
          </w:tcPr>
          <w:p>
            <w:pPr>
              <w:jc w:val="left"/>
            </w:pPr>
            <w:r>
              <w:rPr>
                <w:b w:val="false"/>
                <w:bCs w:val="false"/>
                <w:color w:val="222222"/>
                <w:sz w:val="20"/>
                <w:szCs w:val="20"/>
              </w:rPr>
              <w:t xml:space="preserve">Class-action history (TCPA, FCRA, FDCPA, state analogues)</w:t>
            </w:r>
          </w:p>
        </w:tc>
        <w:tc>
          <w:tcPr>
            <w:tcW w:type="dxa" w:w="2400"/>
            <w:tcMar>
              <w:top w:type="dxa" w:w="80"/>
              <w:left w:type="dxa" w:w="100"/>
              <w:bottom w:type="dxa" w:w="80"/>
              <w:right w:type="dxa" w:w="100"/>
            </w:tcMar>
          </w:tcPr>
          <w:p>
            <w:pPr>
              <w:jc w:val="left"/>
            </w:pPr>
            <w:r>
              <w:rPr>
                <w:b w:val="false"/>
                <w:bCs w:val="false"/>
                <w:color w:val="222222"/>
                <w:sz w:val="20"/>
                <w:szCs w:val="20"/>
              </w:rPr>
              <w:t xml:space="preserve">Litigation</w:t>
            </w:r>
          </w:p>
        </w:tc>
        <w:tc>
          <w:tcPr>
            <w:tcW w:type="dxa" w:w="1800"/>
            <w:tcMar>
              <w:top w:type="dxa" w:w="80"/>
              <w:left w:type="dxa" w:w="100"/>
              <w:bottom w:type="dxa" w:w="80"/>
              <w:right w:type="dxa" w:w="100"/>
            </w:tcMar>
          </w:tcPr>
          <w:p>
            <w:pPr>
              <w:jc w:val="left"/>
            </w:pPr>
            <w:r>
              <w:rPr>
                <w:b w:val="false"/>
                <w:bCs w:val="false"/>
                <w:color w:val="222222"/>
                <w:sz w:val="20"/>
                <w:szCs w:val="20"/>
              </w:rPr>
              <w:t xml:space="preserve"/>
            </w:r>
          </w:p>
        </w:tc>
      </w:tr>
      <w:tr>
        <w:tc>
          <w:tcPr>
            <w:tcW w:type="dxa" w:w="700"/>
            <w:tcMar>
              <w:top w:type="dxa" w:w="80"/>
              <w:left w:type="dxa" w:w="100"/>
              <w:bottom w:type="dxa" w:w="80"/>
              <w:right w:type="dxa" w:w="100"/>
            </w:tcMar>
          </w:tcPr>
          <w:p>
            <w:pPr>
              <w:jc w:val="center"/>
            </w:pPr>
            <w:r>
              <w:rPr>
                <w:b w:val="false"/>
                <w:bCs w:val="false"/>
                <w:color w:val="222222"/>
                <w:sz w:val="20"/>
                <w:szCs w:val="20"/>
              </w:rPr>
              <w:t xml:space="preserve">18</w:t>
            </w:r>
          </w:p>
        </w:tc>
        <w:tc>
          <w:tcPr>
            <w:tcW w:type="dxa" w:w="5300"/>
            <w:tcMar>
              <w:top w:type="dxa" w:w="80"/>
              <w:left w:type="dxa" w:w="100"/>
              <w:bottom w:type="dxa" w:w="80"/>
              <w:right w:type="dxa" w:w="100"/>
            </w:tcMar>
          </w:tcPr>
          <w:p>
            <w:pPr>
              <w:jc w:val="left"/>
            </w:pPr>
            <w:r>
              <w:rPr>
                <w:b w:val="false"/>
                <w:bCs w:val="false"/>
                <w:color w:val="222222"/>
                <w:sz w:val="20"/>
                <w:szCs w:val="20"/>
              </w:rPr>
              <w:t xml:space="preserve">State AG subpoena history and multistate coalition exposure</w:t>
            </w:r>
          </w:p>
        </w:tc>
        <w:tc>
          <w:tcPr>
            <w:tcW w:type="dxa" w:w="2400"/>
            <w:tcMar>
              <w:top w:type="dxa" w:w="80"/>
              <w:left w:type="dxa" w:w="100"/>
              <w:bottom w:type="dxa" w:w="80"/>
              <w:right w:type="dxa" w:w="100"/>
            </w:tcMar>
          </w:tcPr>
          <w:p>
            <w:pPr>
              <w:jc w:val="left"/>
            </w:pPr>
            <w:r>
              <w:rPr>
                <w:b w:val="false"/>
                <w:bCs w:val="false"/>
                <w:color w:val="222222"/>
                <w:sz w:val="20"/>
                <w:szCs w:val="20"/>
              </w:rPr>
              <w:t xml:space="preserve">AG enforcement</w:t>
            </w:r>
          </w:p>
        </w:tc>
        <w:tc>
          <w:tcPr>
            <w:tcW w:type="dxa" w:w="1800"/>
            <w:tcMar>
              <w:top w:type="dxa" w:w="80"/>
              <w:left w:type="dxa" w:w="100"/>
              <w:bottom w:type="dxa" w:w="80"/>
              <w:right w:type="dxa" w:w="100"/>
            </w:tcMar>
          </w:tcPr>
          <w:p>
            <w:pPr>
              <w:jc w:val="left"/>
            </w:pPr>
            <w:r>
              <w:rPr>
                <w:b w:val="false"/>
                <w:bCs w:val="false"/>
                <w:color w:val="222222"/>
                <w:sz w:val="20"/>
                <w:szCs w:val="20"/>
              </w:rPr>
              <w:t xml:space="preserve"/>
            </w:r>
          </w:p>
        </w:tc>
      </w:tr>
      <w:tr>
        <w:tc>
          <w:tcPr>
            <w:tcW w:type="dxa" w:w="700"/>
            <w:tcMar>
              <w:top w:type="dxa" w:w="80"/>
              <w:left w:type="dxa" w:w="100"/>
              <w:bottom w:type="dxa" w:w="80"/>
              <w:right w:type="dxa" w:w="100"/>
            </w:tcMar>
          </w:tcPr>
          <w:p>
            <w:pPr>
              <w:jc w:val="center"/>
            </w:pPr>
            <w:r>
              <w:rPr>
                <w:b w:val="false"/>
                <w:bCs w:val="false"/>
                <w:color w:val="222222"/>
                <w:sz w:val="20"/>
                <w:szCs w:val="20"/>
              </w:rPr>
              <w:t xml:space="preserve">19</w:t>
            </w:r>
          </w:p>
        </w:tc>
        <w:tc>
          <w:tcPr>
            <w:tcW w:type="dxa" w:w="5300"/>
            <w:tcMar>
              <w:top w:type="dxa" w:w="80"/>
              <w:left w:type="dxa" w:w="100"/>
              <w:bottom w:type="dxa" w:w="80"/>
              <w:right w:type="dxa" w:w="100"/>
            </w:tcMar>
          </w:tcPr>
          <w:p>
            <w:pPr>
              <w:jc w:val="left"/>
            </w:pPr>
            <w:r>
              <w:rPr>
                <w:b w:val="false"/>
                <w:bCs w:val="false"/>
                <w:color w:val="222222"/>
                <w:sz w:val="20"/>
                <w:szCs w:val="20"/>
              </w:rPr>
              <w:t xml:space="preserve">Residual federal supervisor exposure (OCC, FDIC, Federal Reserve, FTC)</w:t>
            </w:r>
          </w:p>
        </w:tc>
        <w:tc>
          <w:tcPr>
            <w:tcW w:type="dxa" w:w="2400"/>
            <w:tcMar>
              <w:top w:type="dxa" w:w="80"/>
              <w:left w:type="dxa" w:w="100"/>
              <w:bottom w:type="dxa" w:w="80"/>
              <w:right w:type="dxa" w:w="100"/>
            </w:tcMar>
          </w:tcPr>
          <w:p>
            <w:pPr>
              <w:jc w:val="left"/>
            </w:pPr>
            <w:r>
              <w:rPr>
                <w:b w:val="false"/>
                <w:bCs w:val="false"/>
                <w:color w:val="222222"/>
                <w:sz w:val="20"/>
                <w:szCs w:val="20"/>
              </w:rPr>
              <w:t xml:space="preserve">Federal exposure</w:t>
            </w:r>
          </w:p>
        </w:tc>
        <w:tc>
          <w:tcPr>
            <w:tcW w:type="dxa" w:w="1800"/>
            <w:tcMar>
              <w:top w:type="dxa" w:w="80"/>
              <w:left w:type="dxa" w:w="100"/>
              <w:bottom w:type="dxa" w:w="80"/>
              <w:right w:type="dxa" w:w="100"/>
            </w:tcMar>
          </w:tcPr>
          <w:p>
            <w:pPr>
              <w:jc w:val="left"/>
            </w:pPr>
            <w:r>
              <w:rPr>
                <w:b w:val="false"/>
                <w:bCs w:val="false"/>
                <w:color w:val="222222"/>
                <w:sz w:val="20"/>
                <w:szCs w:val="20"/>
              </w:rPr>
              <w:t xml:space="preserve"/>
            </w:r>
          </w:p>
        </w:tc>
      </w:tr>
      <w:tr>
        <w:tc>
          <w:tcPr>
            <w:tcW w:type="dxa" w:w="700"/>
            <w:tcMar>
              <w:top w:type="dxa" w:w="80"/>
              <w:left w:type="dxa" w:w="100"/>
              <w:bottom w:type="dxa" w:w="80"/>
              <w:right w:type="dxa" w:w="100"/>
            </w:tcMar>
          </w:tcPr>
          <w:p>
            <w:pPr>
              <w:jc w:val="center"/>
            </w:pPr>
            <w:r>
              <w:rPr>
                <w:b w:val="false"/>
                <w:bCs w:val="false"/>
                <w:color w:val="222222"/>
                <w:sz w:val="20"/>
                <w:szCs w:val="20"/>
              </w:rPr>
              <w:t xml:space="preserve">20</w:t>
            </w:r>
          </w:p>
        </w:tc>
        <w:tc>
          <w:tcPr>
            <w:tcW w:type="dxa" w:w="5300"/>
            <w:tcMar>
              <w:top w:type="dxa" w:w="80"/>
              <w:left w:type="dxa" w:w="100"/>
              <w:bottom w:type="dxa" w:w="80"/>
              <w:right w:type="dxa" w:w="100"/>
            </w:tcMar>
          </w:tcPr>
          <w:p>
            <w:pPr>
              <w:jc w:val="left"/>
            </w:pPr>
            <w:r>
              <w:rPr>
                <w:b w:val="false"/>
                <w:bCs w:val="false"/>
                <w:color w:val="222222"/>
                <w:sz w:val="20"/>
                <w:szCs w:val="20"/>
              </w:rPr>
              <w:t xml:space="preserve">Fair-lending / ECOA model documentation and HMDA data (if lender)</w:t>
            </w:r>
          </w:p>
        </w:tc>
        <w:tc>
          <w:tcPr>
            <w:tcW w:type="dxa" w:w="2400"/>
            <w:tcMar>
              <w:top w:type="dxa" w:w="80"/>
              <w:left w:type="dxa" w:w="100"/>
              <w:bottom w:type="dxa" w:w="80"/>
              <w:right w:type="dxa" w:w="100"/>
            </w:tcMar>
          </w:tcPr>
          <w:p>
            <w:pPr>
              <w:jc w:val="left"/>
            </w:pPr>
            <w:r>
              <w:rPr>
                <w:b w:val="false"/>
                <w:bCs w:val="false"/>
                <w:color w:val="222222"/>
                <w:sz w:val="20"/>
                <w:szCs w:val="20"/>
              </w:rPr>
              <w:t xml:space="preserve">Fair lending</w:t>
            </w:r>
          </w:p>
        </w:tc>
        <w:tc>
          <w:tcPr>
            <w:tcW w:type="dxa" w:w="1800"/>
            <w:tcMar>
              <w:top w:type="dxa" w:w="80"/>
              <w:left w:type="dxa" w:w="100"/>
              <w:bottom w:type="dxa" w:w="80"/>
              <w:right w:type="dxa" w:w="100"/>
            </w:tcMar>
          </w:tcPr>
          <w:p>
            <w:pPr>
              <w:jc w:val="left"/>
            </w:pPr>
            <w:r>
              <w:rPr>
                <w:b w:val="false"/>
                <w:bCs w:val="false"/>
                <w:color w:val="222222"/>
                <w:sz w:val="20"/>
                <w:szCs w:val="20"/>
              </w:rPr>
              <w:t xml:space="preserve"/>
            </w:r>
          </w:p>
        </w:tc>
      </w:tr>
      <w:tr>
        <w:tc>
          <w:tcPr>
            <w:tcW w:type="dxa" w:w="700"/>
            <w:tcMar>
              <w:top w:type="dxa" w:w="80"/>
              <w:left w:type="dxa" w:w="100"/>
              <w:bottom w:type="dxa" w:w="80"/>
              <w:right w:type="dxa" w:w="100"/>
            </w:tcMar>
          </w:tcPr>
          <w:p>
            <w:pPr>
              <w:jc w:val="center"/>
            </w:pPr>
            <w:r>
              <w:rPr>
                <w:b w:val="false"/>
                <w:bCs w:val="false"/>
                <w:color w:val="222222"/>
                <w:sz w:val="20"/>
                <w:szCs w:val="20"/>
              </w:rPr>
              <w:t xml:space="preserve">21</w:t>
            </w:r>
          </w:p>
        </w:tc>
        <w:tc>
          <w:tcPr>
            <w:tcW w:type="dxa" w:w="5300"/>
            <w:tcMar>
              <w:top w:type="dxa" w:w="80"/>
              <w:left w:type="dxa" w:w="100"/>
              <w:bottom w:type="dxa" w:w="80"/>
              <w:right w:type="dxa" w:w="100"/>
            </w:tcMar>
          </w:tcPr>
          <w:p>
            <w:pPr>
              <w:jc w:val="left"/>
            </w:pPr>
            <w:r>
              <w:rPr>
                <w:b w:val="false"/>
                <w:bCs w:val="false"/>
                <w:color w:val="222222"/>
                <w:sz w:val="20"/>
                <w:szCs w:val="20"/>
              </w:rPr>
              <w:t xml:space="preserve">Vendor-management program, including bank-partner oversight</w:t>
            </w:r>
          </w:p>
        </w:tc>
        <w:tc>
          <w:tcPr>
            <w:tcW w:type="dxa" w:w="2400"/>
            <w:tcMar>
              <w:top w:type="dxa" w:w="80"/>
              <w:left w:type="dxa" w:w="100"/>
              <w:bottom w:type="dxa" w:w="80"/>
              <w:right w:type="dxa" w:w="100"/>
            </w:tcMar>
          </w:tcPr>
          <w:p>
            <w:pPr>
              <w:jc w:val="left"/>
            </w:pPr>
            <w:r>
              <w:rPr>
                <w:b w:val="false"/>
                <w:bCs w:val="false"/>
                <w:color w:val="222222"/>
                <w:sz w:val="20"/>
                <w:szCs w:val="20"/>
              </w:rPr>
              <w:t xml:space="preserve">Third-party risk</w:t>
            </w:r>
          </w:p>
        </w:tc>
        <w:tc>
          <w:tcPr>
            <w:tcW w:type="dxa" w:w="1800"/>
            <w:tcMar>
              <w:top w:type="dxa" w:w="80"/>
              <w:left w:type="dxa" w:w="100"/>
              <w:bottom w:type="dxa" w:w="80"/>
              <w:right w:type="dxa" w:w="100"/>
            </w:tcMar>
          </w:tcPr>
          <w:p>
            <w:pPr>
              <w:jc w:val="left"/>
            </w:pPr>
            <w:r>
              <w:rPr>
                <w:b w:val="false"/>
                <w:bCs w:val="false"/>
                <w:color w:val="222222"/>
                <w:sz w:val="20"/>
                <w:szCs w:val="20"/>
              </w:rPr>
              <w:t xml:space="preserve"/>
            </w:r>
          </w:p>
        </w:tc>
      </w:tr>
      <w:tr>
        <w:tc>
          <w:tcPr>
            <w:tcW w:type="dxa" w:w="700"/>
            <w:tcMar>
              <w:top w:type="dxa" w:w="80"/>
              <w:left w:type="dxa" w:w="100"/>
              <w:bottom w:type="dxa" w:w="80"/>
              <w:right w:type="dxa" w:w="100"/>
            </w:tcMar>
          </w:tcPr>
          <w:p>
            <w:pPr>
              <w:jc w:val="center"/>
            </w:pPr>
            <w:r>
              <w:rPr>
                <w:b w:val="false"/>
                <w:bCs w:val="false"/>
                <w:color w:val="222222"/>
                <w:sz w:val="20"/>
                <w:szCs w:val="20"/>
              </w:rPr>
              <w:t xml:space="preserve">22</w:t>
            </w:r>
          </w:p>
        </w:tc>
        <w:tc>
          <w:tcPr>
            <w:tcW w:type="dxa" w:w="5300"/>
            <w:tcMar>
              <w:top w:type="dxa" w:w="80"/>
              <w:left w:type="dxa" w:w="100"/>
              <w:bottom w:type="dxa" w:w="80"/>
              <w:right w:type="dxa" w:w="100"/>
            </w:tcMar>
          </w:tcPr>
          <w:p>
            <w:pPr>
              <w:jc w:val="left"/>
            </w:pPr>
            <w:r>
              <w:rPr>
                <w:b w:val="false"/>
                <w:bCs w:val="false"/>
                <w:color w:val="222222"/>
                <w:sz w:val="20"/>
                <w:szCs w:val="20"/>
              </w:rPr>
              <w:t xml:space="preserve">Consumer-disclosure library (TILA, Reg E, Reg Z, state analogues)</w:t>
            </w:r>
          </w:p>
        </w:tc>
        <w:tc>
          <w:tcPr>
            <w:tcW w:type="dxa" w:w="2400"/>
            <w:tcMar>
              <w:top w:type="dxa" w:w="80"/>
              <w:left w:type="dxa" w:w="100"/>
              <w:bottom w:type="dxa" w:w="80"/>
              <w:right w:type="dxa" w:w="100"/>
            </w:tcMar>
          </w:tcPr>
          <w:p>
            <w:pPr>
              <w:jc w:val="left"/>
            </w:pPr>
            <w:r>
              <w:rPr>
                <w:b w:val="false"/>
                <w:bCs w:val="false"/>
                <w:color w:val="222222"/>
                <w:sz w:val="20"/>
                <w:szCs w:val="20"/>
              </w:rPr>
              <w:t xml:space="preserve">Disclosures</w:t>
            </w:r>
          </w:p>
        </w:tc>
        <w:tc>
          <w:tcPr>
            <w:tcW w:type="dxa" w:w="1800"/>
            <w:tcMar>
              <w:top w:type="dxa" w:w="80"/>
              <w:left w:type="dxa" w:w="100"/>
              <w:bottom w:type="dxa" w:w="80"/>
              <w:right w:type="dxa" w:w="100"/>
            </w:tcMar>
          </w:tcPr>
          <w:p>
            <w:pPr>
              <w:jc w:val="left"/>
            </w:pPr>
            <w:r>
              <w:rPr>
                <w:b w:val="false"/>
                <w:bCs w:val="false"/>
                <w:color w:val="222222"/>
                <w:sz w:val="20"/>
                <w:szCs w:val="20"/>
              </w:rPr>
              <w:t xml:space="preserve"/>
            </w:r>
          </w:p>
        </w:tc>
      </w:tr>
    </w:tbl>
    <w:p>
      <w:pPr>
        <w:spacing w:after="120"/>
        <w:jc w:val="left"/>
      </w:pPr>
      <w:r>
        <w:rPr>
          <w:b w:val="false"/>
          <w:bCs w:val="false"/>
          <w:i w:val="false"/>
          <w:iCs w:val="false"/>
          <w:color w:val="222222"/>
          <w:sz w:val="22"/>
          <w:szCs w:val="22"/>
        </w:rPr>
        <w:t xml:space="preserve"/>
      </w:r>
    </w:p>
    <w:p>
      <w:pPr>
        <w:pStyle w:val="Heading2"/>
        <w:spacing w:after="140" w:before="240"/>
      </w:pPr>
      <w:r>
        <w:rPr>
          <w:b/>
          <w:bCs/>
          <w:color w:val="2A4D6E"/>
          <w:sz w:val="26"/>
          <w:szCs w:val="26"/>
        </w:rPr>
        <w:t xml:space="preserve">Deal-architecture responses</w:t>
      </w:r>
    </w:p>
    <w:p>
      <w:pPr>
        <w:spacing w:after="160"/>
        <w:jc w:val="left"/>
      </w:pPr>
      <w:r>
        <w:rPr>
          <w:b w:val="false"/>
          <w:bCs w:val="false"/>
          <w:i w:val="false"/>
          <w:iCs w:val="false"/>
          <w:color w:val="222222"/>
          <w:sz w:val="22"/>
          <w:szCs w:val="22"/>
        </w:rPr>
        <w:t xml:space="preserve">Compliance rep. The target represents compliance with applicable federal and state consumer-financial laws (expressly including state UDAAP analogues such as FL FDUTPA § 501.201 and CA UCL § 17200), with a knowledge-group definition that includes the chief compliance officer, BSA officer, general counsel, and state-licensing coordinator.</w:t>
      </w:r>
    </w:p>
    <w:p>
      <w:pPr>
        <w:spacing w:after="160"/>
        <w:jc w:val="left"/>
      </w:pPr>
      <w:r>
        <w:rPr>
          <w:b w:val="false"/>
          <w:bCs w:val="false"/>
          <w:i w:val="false"/>
          <w:iCs w:val="false"/>
          <w:color w:val="222222"/>
          <w:sz w:val="22"/>
          <w:szCs w:val="22"/>
        </w:rPr>
        <w:t xml:space="preserve">Specified indemnity. Known state AG investigations, open consent orders, and licensing lapses are moved out of the general indemnity bucket into a specified indemnity, uncapped by the general cap, with a six-year survival period to match the federal five-year consumer-protection limitations window plus a one-year buffer.</w:t>
      </w:r>
    </w:p>
    <w:p>
      <w:pPr>
        <w:spacing w:after="160"/>
        <w:jc w:val="left"/>
      </w:pPr>
      <w:r>
        <w:rPr>
          <w:b w:val="false"/>
          <w:bCs w:val="false"/>
          <w:i w:val="false"/>
          <w:iCs w:val="false"/>
          <w:color w:val="222222"/>
          <w:sz w:val="22"/>
          <w:szCs w:val="22"/>
        </w:rPr>
        <w:t xml:space="preserve">MAC trigger. A regulatory-MAC definition specifically includes a new state AG enforcement action commenced between signing and closing, allowing the buyer to walk from the LOI without a termination fee.</w:t>
      </w:r>
    </w:p>
    <w:p>
      <w:pPr>
        <w:spacing w:after="240"/>
        <w:jc w:val="left"/>
      </w:pPr>
      <w:r>
        <w:rPr>
          <w:b w:val="false"/>
          <w:bCs w:val="false"/>
          <w:i w:val="false"/>
          <w:iCs w:val="false"/>
          <w:color w:val="222222"/>
          <w:sz w:val="22"/>
          <w:szCs w:val="22"/>
        </w:rPr>
        <w:t xml:space="preserve">Licensing continuity. Pre-closing filings for change-of-control under state money-transmitter statutes (including Florida OFR Chapter 560 and NY DFS Part 200 for BitLicense targets) are a signing-date covenant with specific-performance remedies and a drop-dead date.</w:t>
      </w:r>
    </w:p>
    <w:p>
      <w:pPr>
        <w:pStyle w:val="Heading2"/>
        <w:spacing w:after="140" w:before="240"/>
      </w:pPr>
      <w:r>
        <w:rPr>
          <w:b/>
          <w:bCs/>
          <w:color w:val="2A4D6E"/>
          <w:sz w:val="26"/>
          <w:szCs w:val="26"/>
        </w:rPr>
        <w:t xml:space="preserve">Statutory and regulatory references</w:t>
      </w:r>
    </w:p>
    <w:p>
      <w:pPr>
        <w:spacing w:after="240"/>
        <w:jc w:val="left"/>
      </w:pPr>
      <w:r>
        <w:rPr>
          <w:b w:val="false"/>
          <w:bCs w:val="false"/>
          <w:i w:val="false"/>
          <w:iCs w:val="false"/>
          <w:color w:val="222222"/>
          <w:sz w:val="22"/>
          <w:szCs w:val="22"/>
        </w:rPr>
        <w:t xml:space="preserve">Dodd-Frank UDAAP standard — 12 U.S.C. § 5531 (§ 1031).  Section 1033 open-banking framework — 12 U.S.C. § 5533.  BSA — 31 U.S.C. § 5311 et seq.  Florida Chapter 560 money-services businesses — Fla. Stat. § 560.141.  FDUTPA — Fla. Stat. § 501.201.  CA UCL — Cal. Bus. &amp; Prof. Code § 17200.  Florida Information Protection Act — Fla. Stat. § 501.171.</w:t>
      </w:r>
    </w:p>
    <w:p>
      <w:pPr>
        <w:spacing w:after="120"/>
        <w:jc w:val="center"/>
      </w:pPr>
      <w:r>
        <w:rPr>
          <w:b/>
          <w:bCs/>
          <w:i w:val="false"/>
          <w:iCs w:val="false"/>
          <w:color w:val="222222"/>
          <w:sz w:val="22"/>
          <w:szCs w:val="22"/>
        </w:rPr>
        <w:t xml:space="preserve">Montague Law  |  M&amp;A diligence practice  |  montague.law</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Montague Law  |  montague.law  |  </w:t>
    </w:r>
    <w:r>
      <w:rPr>
        <w:i/>
        <w:iCs/>
        <w:color w:val="666666"/>
        <w:sz w:val="18"/>
        <w:szCs w:val="18"/>
      </w:rPr>
      <w:t xml:space="preserve">This form is a diligence aid, not legal advice. Adapt with counsel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b/>
        <w:bCs/>
        <w:color w:val="2A4D6E"/>
        <w:sz w:val="18"/>
        <w:szCs w:val="18"/>
      </w:rPr>
      <w:t xml:space="preserve">Montague Law  |  M&amp;A Diligence Form FMA-017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rPr>
      <w:rFonts w:ascii="Calibri" w:cs="Calibri" w:eastAsia="Calibri" w:hAnsi="Calibr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Fintech M&amp;A Regulatory Diligence Checklist (FMA-017)</dc:title>
  <dc:creator>Montague Law</dc:creator>
  <cp:lastModifiedBy>Un-named</cp:lastModifiedBy>
  <cp:revision>1</cp:revision>
  <dcterms:created xsi:type="dcterms:W3CDTF">2026-10-06T23:37:42.292Z</dcterms:created>
  <dcterms:modified xsi:type="dcterms:W3CDTF">2026-10-06T23:37:42.292Z</dcterms:modified>
</cp:coreProperties>
</file>

<file path=docProps/custom.xml><?xml version="1.0" encoding="utf-8"?>
<Properties xmlns="http://schemas.openxmlformats.org/officeDocument/2006/custom-properties" xmlns:vt="http://schemas.openxmlformats.org/officeDocument/2006/docPropsVTypes"/>
</file>