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Third-Party Accredited Investor Verification Letter and Investor Back-Up Certificate (Rule 506(c))</w:t>
      </w:r>
    </w:p>
    <w:p>
      <w:pPr>
        <w:pStyle w:val="FirstParagraph"/>
      </w:pPr>
      <w:r>
        <w:t xml:space="preserve">EF-105 | VERSION 1.0.0 | 18 OCTOBER 2026</w:t>
      </w:r>
    </w:p>
    <w:p>
      <w:pPr>
        <w:pStyle w:val="PractitionerBanner"/>
      </w:pPr>
      <w:r>
        <w:t xml:space="preserve">PRACTITIONER MASTER — INFORMATIONAL AND EDUCATIONAL PURPOSES ONLY. This package is not legal, tax, accounting or investment advice and does not create an attorney-client relationship. Rule 506(c) requires the issuer to take reasonable steps to verify that every purchaser is an accredited investor; a signed letter does not relieve the issuer of that obligation if the issuer knows or has reason to know that the purchaser is not accredited. Complete the Matter Completion Sheet, select the verification method that fits the investor, confirm the current text of Rules 501 and 506 and current Commission staff guidance, and obtain securities counsel review before any sale.</w:t>
      </w:r>
    </w:p>
    <w:p>
      <w:pPr>
        <w:pStyle w:val="Heading2"/>
      </w:pPr>
      <w:bookmarkStart w:id="20" w:name="matter-completion-sheet"/>
      <w:r>
        <w:t xml:space="preserve">Matter Completion Sheet</w:t>
      </w:r>
      <w:bookmarkEnd w:id="20"/>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Topic</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Required matter input</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Owner and status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Issuer</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name, jurisdiction, entity type, principal office and the person authorized to receive verification deliverables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Offering</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Security offered, offering size, minimum investment, whether general solicitation has been or will be used, Form D filing status and any placement agent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Legal name, residence or principal office, natural person or entity, and whether the investment is joint with a spouse or spousal equivalent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Accredited investor category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Natural person income test, natural person net worth test, professional certification, knowledgeable employee, entity by assets, entity by investments, entity by owners, trust, or family office or family client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Verification method</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Third-party written confirmation, issuer review of income documents, issuer review of net worth documents, prior-verification representation, pre-2013 holder certification, high-minimum-investment conditions, or another principles-based method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Verifier</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Name, firm, category (registered broker-dealer, SEC-registered investment adviser, licensed attorney or certified public accountant), license or registration number and jurisdiction, and good-standing confirmation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Supporting documents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Documents received, their dates, whether each is dated within the prior three months where required, and where each is stored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Income inputs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Individual or joint income for each of the two most recent years, whether the most recent year's return has been filed, and the basis for the current-year expectation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worth inputs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Asset statements, primary residence value and mortgage balance, any increase in residence-secured debt in the prior sixty days, consumer report and total liabilities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Entity inputs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Total assets, investments, date of formation, purpose of formation, equity owner list and each owner's accredited status where the entity relies on its owners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 of document review, date of the verification letter, expected date of sale and the three-month window that governs the written-confirmation method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Reliance and delivery</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Who may rely on the letter, for which offering, how it is delivered and whether the issuer's counsel or placement agent is copied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Engagement terms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Verifier's fee, scope limits, data-handling undertaking and record-retention period</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Non-U.S. and special cases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Investors without U.S. tax forms, self-directed retirement accounts, trusts, recently formed entities and investors claiming joint status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Prior verification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Whether the issuer previously verified this investor, the date, the method used and whether any contrary information has since come to the issuer's attention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Record retention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Where the signed letter, certificate, supporting documents and the issuer's file memorandum will be kept and for how long</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This package is organized around the verification requirement in Rule 506(c)(2)(ii) under the Securities Act of 1933. Part A is a verification letter from a qualifying third party for a natural-person investor, drafted to satisfy the written-confirmation method in Rule 506(c)(2)(ii)(C). Part B is the entity counterpart, which operates under the principles-based standard because the enumerated methods are written for natural persons. Parts C and D are the investor's back-up certificates, which give the verifier the facts and documents the letter rests on. Part E is the issuer's file memorandum, which records the issuer's own determination. Part F sets the terms on which the verifier acts. Schedules 1 through 6 contain the document checklist, the net worth worksheet, the high-minimum-investment alternative recognized by Commission staff in 2025, the re-verification certificate, the treatment of non-U.S. and other special cases, and the defined terms. Every operative provision is followed by a</w:t>
      </w:r>
      <w:r>
        <w:t xml:space="preserve"> </w:t>
      </w:r>
      <w:r>
        <w:rPr>
          <w:b/>
        </w:rPr>
        <w:t xml:space="preserve">Drafting note</w:t>
      </w:r>
      <w:r>
        <w:t xml:space="preserve"> </w:t>
      </w:r>
      <w:r>
        <w:t xml:space="preserve">stating what issuers typically ask for, what verifiers typically resist, and the position this form takes.</w:t>
      </w:r>
    </w:p>
    <w:p>
      <w:pPr>
        <w:pStyle w:val="Heading1"/>
      </w:pPr>
      <w:bookmarkStart w:id="21" w:name="X26eddbbfb11991b67df6f12cf7e5113218aff74"/>
      <w:r>
        <w:t xml:space="preserve">PART A — THIRD-PARTY ACCREDITED INVESTOR VERIFICATION LETTER (NATURAL PERSON)</w:t>
      </w:r>
      <w:bookmarkEnd w:id="21"/>
    </w:p>
    <w:p>
      <w:pPr>
        <w:pStyle w:val="FirstParagraph"/>
      </w:pPr>
      <w:r>
        <w:t xml:space="preserve">[VERIFIER LETTERHEAD]</w:t>
      </w:r>
    </w:p>
    <w:p>
      <w:pPr>
        <w:pStyle w:val="BodyText"/>
      </w:pPr>
      <w:r>
        <w:t xml:space="preserve">[DATE]</w:t>
      </w:r>
    </w:p>
    <w:p>
      <w:pPr>
        <w:pStyle w:val="BodyText"/>
      </w:pPr>
      <w:r>
        <w:t xml:space="preserve">[ISSUER LEGAL NAME]</w:t>
      </w:r>
      <w:r>
        <w:t xml:space="preserve"> </w:t>
      </w:r>
      <w:r>
        <w:t xml:space="preserve">Attention: [NAME, TITLE]</w:t>
      </w:r>
      <w:r>
        <w:t xml:space="preserve"> </w:t>
      </w:r>
      <w:r>
        <w:t xml:space="preserve">[ADDRESS]</w:t>
      </w:r>
    </w:p>
    <w:p>
      <w:pPr>
        <w:pStyle w:val="BodyText"/>
      </w:pPr>
      <w:r>
        <w:t xml:space="preserve">Re: Verification of accredited investor status of [INVESTOR NAME] for the offering of [DESCRIPTION OF SECURITIES] by [ISSUER LEGAL NAME] (the</w:t>
      </w:r>
      <w:r>
        <w:t xml:space="preserve"> </w:t>
      </w:r>
      <w:r>
        <w:rPr>
          <w:b/>
        </w:rPr>
        <w:t xml:space="preserve">Offering</w:t>
      </w:r>
      <w:r>
        <w:t xml:space="preserve">)</w:t>
      </w:r>
    </w:p>
    <w:p>
      <w:pPr>
        <w:pStyle w:val="Heading2"/>
      </w:pPr>
      <w:bookmarkStart w:id="22" w:name="verifier-and-capacity"/>
      <w:r>
        <w:t xml:space="preserve">1 Verifier and Capacity</w:t>
      </w:r>
      <w:bookmarkEnd w:id="22"/>
    </w:p>
    <w:p>
      <w:pPr>
        <w:pStyle w:val="Heading3"/>
      </w:pPr>
      <w:bookmarkStart w:id="23" w:name="identity-of-verifier"/>
      <w:r>
        <w:t xml:space="preserve">1.1 Identity of Verifier</w:t>
      </w:r>
      <w:bookmarkEnd w:id="23"/>
    </w:p>
    <w:p>
      <w:pPr>
        <w:pStyle w:val="FirstParagraph"/>
      </w:pPr>
      <w:r>
        <w:t xml:space="preserve">The undersigned (the</w:t>
      </w:r>
      <w:r>
        <w:t xml:space="preserve"> </w:t>
      </w:r>
      <w:r>
        <w:rPr>
          <w:b/>
        </w:rPr>
        <w:t xml:space="preserve">Verifier</w:t>
      </w:r>
      <w:r>
        <w:t xml:space="preserve">) delivers this letter (this</w:t>
      </w:r>
      <w:r>
        <w:t xml:space="preserve"> </w:t>
      </w:r>
      <w:r>
        <w:rPr>
          <w:b/>
        </w:rPr>
        <w:t xml:space="preserve">Verification Letter</w:t>
      </w:r>
      <w:r>
        <w:t xml:space="preserve">) to [ISSUER LEGAL NAME] (the</w:t>
      </w:r>
      <w:r>
        <w:t xml:space="preserve"> </w:t>
      </w:r>
      <w:r>
        <w:rPr>
          <w:b/>
        </w:rPr>
        <w:t xml:space="preserve">Issuer</w:t>
      </w:r>
      <w:r>
        <w:t xml:space="preserve">) at the request of [INVESTOR NAME] (the</w:t>
      </w:r>
      <w:r>
        <w:t xml:space="preserve"> </w:t>
      </w:r>
      <w:r>
        <w:rPr>
          <w:b/>
        </w:rPr>
        <w:t xml:space="preserve">Investor</w:t>
      </w:r>
      <w:r>
        <w:t xml:space="preserve">) in connection with the Offering, which the Issuer has informed the Verifier is being conducted in reliance on Rule 506(c) of Regulation D under the Securities Act of 1933, as amended (the</w:t>
      </w:r>
      <w:r>
        <w:t xml:space="preserve"> </w:t>
      </w:r>
      <w:r>
        <w:rPr>
          <w:b/>
        </w:rPr>
        <w:t xml:space="preserve">Securities Act</w:t>
      </w:r>
      <w:r>
        <w:t xml:space="preserve">).</w:t>
      </w:r>
    </w:p>
    <w:p>
      <w:pPr>
        <w:pStyle w:val="Heading3"/>
      </w:pPr>
      <w:bookmarkStart w:id="24" w:name="qualifying-category"/>
      <w:r>
        <w:t xml:space="preserve">1.2 Qualifying Category</w:t>
      </w:r>
      <w:bookmarkEnd w:id="24"/>
    </w:p>
    <w:p>
      <w:pPr>
        <w:pStyle w:val="FirstParagraph"/>
      </w:pPr>
      <w:r>
        <w:t xml:space="preserve">The Verifier confirms that the Verifier is, and on the Review Date was, one of the following (check one):</w:t>
      </w:r>
    </w:p>
    <w:p>
      <w:pPr>
        <w:pStyle w:val="BodyText"/>
      </w:pPr>
      <w:r>
        <w:t xml:space="preserve">[ ] a broker-dealer registered with the Securities and Exchange Commission under Section 15 of the Securities Exchange Act of 1934, CRD No. [●];</w:t>
      </w:r>
    </w:p>
    <w:p>
      <w:pPr>
        <w:pStyle w:val="BodyText"/>
      </w:pPr>
      <w:r>
        <w:t xml:space="preserve">[ ] an investment adviser registered with the Securities and Exchange Commission under the Investment Advisers Act of 1940, CRD No. [●];</w:t>
      </w:r>
    </w:p>
    <w:p>
      <w:pPr>
        <w:pStyle w:val="BodyText"/>
      </w:pPr>
      <w:r>
        <w:t xml:space="preserve">[ ] an attorney licensed and in good standing under the laws of [JURISDICTION(S)], Bar No. [●]; or</w:t>
      </w:r>
    </w:p>
    <w:p>
      <w:pPr>
        <w:pStyle w:val="BodyText"/>
      </w:pPr>
      <w:r>
        <w:t xml:space="preserve">[ ] a certified public accountant duly registered and in good standing under the laws of [STATE OF RESIDENCE OR PRINCIPAL OFFICE], License No. [●].</w:t>
      </w:r>
    </w:p>
    <w:p>
      <w:pPr>
        <w:pStyle w:val="Heading3"/>
      </w:pPr>
      <w:bookmarkStart w:id="25" w:name="authority"/>
      <w:r>
        <w:t xml:space="preserve">1.3 Authority</w:t>
      </w:r>
      <w:bookmarkEnd w:id="25"/>
    </w:p>
    <w:p>
      <w:pPr>
        <w:pStyle w:val="FirstParagraph"/>
      </w:pPr>
      <w:r>
        <w:t xml:space="preserve">If the Verifier signs on behalf of a firm, the individual signing confirms that he or she is authorized to deliver this Verification Letter on the firm's behalf and personally holds the license or registration identified in Section 1.2.</w:t>
      </w:r>
    </w:p>
    <w:p>
      <w:pPr>
        <w:pStyle w:val="DraftingNote"/>
      </w:pPr>
      <w:r>
        <w:rPr>
          <w:b/>
        </w:rPr>
        <w:t xml:space="preserve">Drafting note.</w:t>
      </w:r>
      <w:r>
        <w:t xml:space="preserve"> </w:t>
      </w:r>
      <w:r>
        <w:t xml:space="preserve">Rule 506(c)(2)(ii)(C) lists four categories of third party whose written confirmation gives the issuer a safe harbor: a registered broker-dealer, an SEC-registered investment adviser, a licensed attorney in good standing in the jurisdictions where admitted, and a certified public accountant duly registered and in good standing where he or she resides or has a principal office. State-registered investment advisers are not on the list; neither are enrolled agents, bookkeepers or wealth-management firms that are not themselves registered. Issuers should confirm the category against the public record (FINRA BrokerCheck, the Investment Adviser Public Disclosure site, the state bar directory or the state board of accountancy) rather than rely on the letterhead. Where a firm signs, the issuer should insist that the individual signatory personally hold the license, because the rule describes the person, not the organization.</w:t>
      </w:r>
    </w:p>
    <w:p>
      <w:pPr>
        <w:pStyle w:val="Heading2"/>
      </w:pPr>
      <w:bookmarkStart w:id="26" w:name="X390d7abcfb4291ebc8201a40d68aae286aa37d5"/>
      <w:r>
        <w:t xml:space="preserve">2 Confirmation of Accredited Investor Status</w:t>
      </w:r>
      <w:bookmarkEnd w:id="26"/>
    </w:p>
    <w:p>
      <w:pPr>
        <w:pStyle w:val="Heading3"/>
      </w:pPr>
      <w:bookmarkStart w:id="27" w:name="reasonable-steps-and-determination"/>
      <w:r>
        <w:t xml:space="preserve">2.1 Reasonable Steps and Determination</w:t>
      </w:r>
      <w:bookmarkEnd w:id="27"/>
    </w:p>
    <w:p>
      <w:pPr>
        <w:pStyle w:val="FirstParagraph"/>
      </w:pPr>
      <w:r>
        <w:t xml:space="preserve">The Verifier confirms that, within the three months preceding the date of this Verification Letter, the Verifier has taken reasonable steps to verify that the Investor is an accredited investor as defined in Rule 501(a) under the Securities Act, and the Verifier has determined that the Investor is an accredited investor.</w:t>
      </w:r>
    </w:p>
    <w:p>
      <w:pPr>
        <w:pStyle w:val="Heading3"/>
      </w:pPr>
      <w:bookmarkStart w:id="28" w:name="basis-of-determination"/>
      <w:r>
        <w:t xml:space="preserve">2.2 Basis of Determination</w:t>
      </w:r>
      <w:bookmarkEnd w:id="28"/>
    </w:p>
    <w:p>
      <w:pPr>
        <w:pStyle w:val="FirstParagraph"/>
      </w:pPr>
      <w:r>
        <w:t xml:space="preserve">The Verifier's determination rests on the following category (check each that applies):</w:t>
      </w:r>
    </w:p>
    <w:p>
      <w:pPr>
        <w:pStyle w:val="BodyText"/>
      </w:pPr>
      <w:r>
        <w:t xml:space="preserve">[ ]</w:t>
      </w:r>
      <w:r>
        <w:t xml:space="preserve"> </w:t>
      </w:r>
      <w:r>
        <w:rPr>
          <w:b/>
        </w:rPr>
        <w:t xml:space="preserve">Net worth.</w:t>
      </w:r>
      <w:r>
        <w:t xml:space="preserve"> </w:t>
      </w:r>
      <w:r>
        <w:t xml:space="preserve">The Investor's individual net worth, or joint net worth with the Investor's spouse or spousal equivalent, exceeds $1,000,000, calculated in accordance with Rule 501(a)(5), including the exclusion of the Investor's primary residence and the treatment of indebtedness secured by that residence.</w:t>
      </w:r>
    </w:p>
    <w:p>
      <w:pPr>
        <w:pStyle w:val="BodyText"/>
      </w:pPr>
      <w:r>
        <w:t xml:space="preserve">[ ]</w:t>
      </w:r>
      <w:r>
        <w:t xml:space="preserve"> </w:t>
      </w:r>
      <w:r>
        <w:rPr>
          <w:b/>
        </w:rPr>
        <w:t xml:space="preserve">Income.</w:t>
      </w:r>
      <w:r>
        <w:t xml:space="preserve"> </w:t>
      </w:r>
      <w:r>
        <w:t xml:space="preserve">The Investor had individual income in excess of $200,000 in each of the two most recent years, or joint income with the Investor's spouse or spousal equivalent in excess of $300,000 in each of those years, and has represented that he or she has a reasonable expectation of reaching the same income level in the current year, in accordance with Rule 501(a)(6).</w:t>
      </w:r>
    </w:p>
    <w:p>
      <w:pPr>
        <w:pStyle w:val="BodyText"/>
      </w:pPr>
      <w:r>
        <w:t xml:space="preserve">[ ]</w:t>
      </w:r>
      <w:r>
        <w:t xml:space="preserve"> </w:t>
      </w:r>
      <w:r>
        <w:rPr>
          <w:b/>
        </w:rPr>
        <w:t xml:space="preserve">Professional certification.</w:t>
      </w:r>
      <w:r>
        <w:t xml:space="preserve"> </w:t>
      </w:r>
      <w:r>
        <w:t xml:space="preserve">The Investor holds in good standing a professional certification, designation or credential that the Commission has designated by order as qualifying a natural person for accredited investor status under Rule 501(a)(10), namely [DESIGNATION], which the Verifier confirmed through [PUBLIC DATABASE OR ISSUING BODY] on [DATE].</w:t>
      </w:r>
    </w:p>
    <w:p>
      <w:pPr>
        <w:pStyle w:val="BodyText"/>
      </w:pPr>
      <w:r>
        <w:t xml:space="preserve">[ ]</w:t>
      </w:r>
      <w:r>
        <w:t xml:space="preserve"> </w:t>
      </w:r>
      <w:r>
        <w:rPr>
          <w:b/>
        </w:rPr>
        <w:t xml:space="preserve">Knowledgeable employee.</w:t>
      </w:r>
      <w:r>
        <w:t xml:space="preserve"> </w:t>
      </w:r>
      <w:r>
        <w:t xml:space="preserve">The Investor is a knowledgeable employee, as defined in Rule 3c-5(a)(4) under the Investment Company Act of 1940, of the Issuer, and the Issuer would be an investment company but for Section 3(c)(1) or 3(c)(7) of that Act, in accordance with Rule 501(a)(11).</w:t>
      </w:r>
    </w:p>
    <w:p>
      <w:pPr>
        <w:pStyle w:val="Heading3"/>
      </w:pPr>
      <w:bookmarkStart w:id="29" w:name="review-date-and-documents"/>
      <w:r>
        <w:t xml:space="preserve">2.3 Review Date and Documents</w:t>
      </w:r>
      <w:bookmarkEnd w:id="29"/>
    </w:p>
    <w:p>
      <w:pPr>
        <w:pStyle w:val="FirstParagraph"/>
      </w:pPr>
      <w:r>
        <w:t xml:space="preserve">The Verifier reviewed the documents listed in Annex 1 (the</w:t>
      </w:r>
      <w:r>
        <w:t xml:space="preserve"> </w:t>
      </w:r>
      <w:r>
        <w:rPr>
          <w:b/>
        </w:rPr>
        <w:t xml:space="preserve">Supporting Documents</w:t>
      </w:r>
      <w:r>
        <w:t xml:space="preserve">) and the Investor's Back-Up Certificate in the form attached as Annex 2 on [REVIEW DATE] (the</w:t>
      </w:r>
      <w:r>
        <w:t xml:space="preserve"> </w:t>
      </w:r>
      <w:r>
        <w:rPr>
          <w:b/>
        </w:rPr>
        <w:t xml:space="preserve">Review Date</w:t>
      </w:r>
      <w:r>
        <w:t xml:space="preserve">). Each Supporting Document used to establish net worth was dated within the three months preceding the Review Date. Each Supporting Document used to establish income reports the Investor's income for the two most recent years for which the Investor has filed United States federal income tax returns, being [YEAR] and [YEAR].</w:t>
      </w:r>
    </w:p>
    <w:p>
      <w:pPr>
        <w:pStyle w:val="Heading3"/>
      </w:pPr>
      <w:bookmarkStart w:id="30" w:name="joint-status"/>
      <w:r>
        <w:t xml:space="preserve">2.4 Joint Status</w:t>
      </w:r>
      <w:bookmarkEnd w:id="30"/>
    </w:p>
    <w:p>
      <w:pPr>
        <w:pStyle w:val="FirstParagraph"/>
      </w:pPr>
      <w:r>
        <w:t xml:space="preserve">If the Investor relies on joint net worth or joint income with a spouse or spousal equivalent, the Verifier reviewed Supporting Documents for, and obtained a Back-Up Certificate from, both the Investor and the spouse or spousal equivalent, and the confirmation in Section 2.1 extends to the joint calculation.</w:t>
      </w:r>
    </w:p>
    <w:p>
      <w:pPr>
        <w:pStyle w:val="DraftingNote"/>
      </w:pPr>
      <w:r>
        <w:rPr>
          <w:b/>
        </w:rPr>
        <w:t xml:space="preserve">Drafting note.</w:t>
      </w:r>
      <w:r>
        <w:t xml:space="preserve"> </w:t>
      </w:r>
      <w:r>
        <w:t xml:space="preserve">Section 2.1 tracks the two statements that Rule 506(c)(2)(ii)(C) requires: that the verifier took reasonable steps within the prior three months, and that the verifier determined the purchaser is an accredited investor. Verifiers often ask to delete the second statement and confirm only that the documents "appear to show" income or net worth above the threshold. A letter in that softened form does not satisfy the written-confirmation safe harbor, and the issuer then has to make its own reasonable-steps determination under the principles-based standard with the letter as one input. This form keeps the safe-harbor formula and protects the verifier through Sections 3 and 4 instead, which limit reliance, condition the determination on the Supporting Documents and the Back-Up Certificate, and allocate the risk of false information to the Investor. The 2020 amendments to Rule 501(a) added the spousal-equivalent, professional-certification, knowledgeable-employee and family-office categories; the professional certifications currently designated by Commission order are listed on the Commission's website and should be checked at the time of review. The three-month window runs from the verifier's steps to the date of the confirmation, so a letter should be dated promptly after the Review Date and the issuer should complete the sale while the confirmation is current.</w:t>
      </w:r>
    </w:p>
    <w:p>
      <w:pPr>
        <w:pStyle w:val="Heading2"/>
      </w:pPr>
      <w:bookmarkStart w:id="31" w:name="scope-reliance-and-limitations"/>
      <w:r>
        <w:t xml:space="preserve">3 Scope, Reliance and Limitations</w:t>
      </w:r>
      <w:bookmarkEnd w:id="31"/>
    </w:p>
    <w:p>
      <w:pPr>
        <w:pStyle w:val="Heading3"/>
      </w:pPr>
      <w:bookmarkStart w:id="32" w:name="X64a4ff9894f0d5d6a75bf7789e3b2cc85680236"/>
      <w:r>
        <w:t xml:space="preserve">3.1 Reliance on Supporting Documents and Back-Up Certificate</w:t>
      </w:r>
      <w:bookmarkEnd w:id="32"/>
    </w:p>
    <w:p>
      <w:pPr>
        <w:pStyle w:val="FirstParagraph"/>
      </w:pPr>
      <w:r>
        <w:t xml:space="preserve">In making the determination in Section 2.1, the Verifier relied on the Supporting Documents and on the representations in the Back-Up Certificate without independent investigation beyond the review described in Section 2.3, except that the Verifier confirmed any professional certification through the public record identified in Section 2.2. The Verifier is not aware of any fact that would cause the Verifier to believe that any Supporting Document or any representation in the Back-Up Certificate is inaccurate or incomplete.</w:t>
      </w:r>
    </w:p>
    <w:p>
      <w:pPr>
        <w:pStyle w:val="Heading3"/>
      </w:pPr>
      <w:bookmarkStart w:id="33" w:name="persons-entitled-to-rely"/>
      <w:r>
        <w:t xml:space="preserve">3.2 Persons Entitled to Rely</w:t>
      </w:r>
      <w:bookmarkEnd w:id="33"/>
    </w:p>
    <w:p>
      <w:pPr>
        <w:pStyle w:val="FirstParagraph"/>
      </w:pPr>
      <w:r>
        <w:t xml:space="preserve">This Verification Letter is delivered solely to the Issuer for the Offering and may be relied on by the Issuer and by [PLACEMENT AGENT NAME], if any, in connection with the Offering. No other person may rely on this Verification Letter, and it may not be used for any other offering, filed with any governmental authority other than as required by law, or quoted in any offering document without the Verifier's written consent.</w:t>
      </w:r>
    </w:p>
    <w:p>
      <w:pPr>
        <w:pStyle w:val="Heading3"/>
      </w:pPr>
      <w:bookmarkStart w:id="34" w:name="matters-not-addressed"/>
      <w:r>
        <w:t xml:space="preserve">3.3 Matters Not Addressed</w:t>
      </w:r>
      <w:bookmarkEnd w:id="34"/>
    </w:p>
    <w:p>
      <w:pPr>
        <w:pStyle w:val="FirstParagraph"/>
      </w:pPr>
      <w:r>
        <w:t xml:space="preserve">The Verifier expresses no view on the suitability of the Offering for the Investor, the merits or risks of the securities, the Issuer's compliance with Rule 506(c) or any other requirement, the Investor's sophistication, the source of the Investor's funds, or any matter other than the Investor's status as an accredited investor on the Review Date. Nothing in this Verification Letter is legal, tax or investment advice to the Issuer.</w:t>
      </w:r>
    </w:p>
    <w:p>
      <w:pPr>
        <w:pStyle w:val="Heading3"/>
      </w:pPr>
      <w:bookmarkStart w:id="35" w:name="currency-and-no-duty-to-update"/>
      <w:r>
        <w:t xml:space="preserve">3.4 Currency and No Duty to Update</w:t>
      </w:r>
      <w:bookmarkEnd w:id="35"/>
    </w:p>
    <w:p>
      <w:pPr>
        <w:pStyle w:val="FirstParagraph"/>
      </w:pPr>
      <w:r>
        <w:t xml:space="preserve">This Verification Letter speaks only as of its date. The Verifier has no obligation to update it, to monitor the Investor's circumstances, or to inform the Issuer of any change, whether or not the Verifier becomes aware of one.</w:t>
      </w:r>
    </w:p>
    <w:p>
      <w:pPr>
        <w:pStyle w:val="Heading3"/>
      </w:pPr>
      <w:bookmarkStart w:id="36" w:name="verification-of-status-only"/>
      <w:r>
        <w:t xml:space="preserve">3.5 Verification of Status Only</w:t>
      </w:r>
      <w:bookmarkEnd w:id="36"/>
    </w:p>
    <w:p>
      <w:pPr>
        <w:pStyle w:val="FirstParagraph"/>
      </w:pPr>
      <w:r>
        <w:t xml:space="preserve">The Verifier's determination concerns the Investor's status under Rule 501(a). The Issuer remains responsible for its own determination that it has taken reasonable steps to verify the Investor's status, for confirming that it has no knowledge that the Investor is not an accredited investor, and for every other condition of Rule 506(c).</w:t>
      </w:r>
    </w:p>
    <w:p>
      <w:pPr>
        <w:pStyle w:val="DraftingNote"/>
      </w:pPr>
      <w:r>
        <w:rPr>
          <w:b/>
        </w:rPr>
        <w:t xml:space="preserve">Drafting note.</w:t>
      </w:r>
      <w:r>
        <w:t xml:space="preserve"> </w:t>
      </w:r>
      <w:r>
        <w:t xml:space="preserve">Issuers sometimes ask the verifier to confirm the source of the investor's funds or to confirm that the investment is not financed by a third party. Those confirmations belong in the investor's own subscription representations, not in a status letter, and most verifiers will refuse them. Issuers also ask for an undertaking to update the letter until closing; verifiers resist because they have no visibility into the investor's affairs after the Review Date. The practical answer is Section 3.4 together with a bring-down representation from the investor in the subscription agreement, and a fresh letter if the sale slips past the three-month window.</w:t>
      </w:r>
    </w:p>
    <w:p>
      <w:pPr>
        <w:pStyle w:val="Heading2"/>
      </w:pPr>
      <w:bookmarkStart w:id="37" w:name="X7cda8eaaef64256d258444d826f885e3703cdf9"/>
      <w:r>
        <w:t xml:space="preserve">4 Investor Acknowledgment and Allocation of Risk</w:t>
      </w:r>
      <w:bookmarkEnd w:id="37"/>
    </w:p>
    <w:p>
      <w:pPr>
        <w:pStyle w:val="Heading3"/>
      </w:pPr>
      <w:bookmarkStart w:id="38" w:name="investor-acknowledgment"/>
      <w:r>
        <w:t xml:space="preserve">4.1 Investor Acknowledgment</w:t>
      </w:r>
      <w:bookmarkEnd w:id="38"/>
    </w:p>
    <w:p>
      <w:pPr>
        <w:pStyle w:val="FirstParagraph"/>
      </w:pPr>
      <w:r>
        <w:t xml:space="preserve">By countersigning below, the Investor confirms that the Investor requested this Verification Letter, authorized the Verifier to deliver it and the Back-Up Certificate to the Issuer, and understands that the Issuer will rely on it in selling securities to the Investor without registration under the Securities Act.</w:t>
      </w:r>
    </w:p>
    <w:p>
      <w:pPr>
        <w:pStyle w:val="Heading3"/>
      </w:pPr>
      <w:bookmarkStart w:id="39" w:name="responsibility-for-information"/>
      <w:r>
        <w:t xml:space="preserve">4.2 Responsibility for Information</w:t>
      </w:r>
      <w:bookmarkEnd w:id="39"/>
    </w:p>
    <w:p>
      <w:pPr>
        <w:pStyle w:val="FirstParagraph"/>
      </w:pPr>
      <w:r>
        <w:t xml:space="preserve">The Investor is responsible for the accuracy and completeness of the Supporting Documents and the Back-Up Certificate. The Verifier's determination is conditioned on their accuracy and completeness, and the Verifier has no liability to the Investor or the Issuer for any inaccuracy or omission in information supplied by the Investor.</w:t>
      </w:r>
    </w:p>
    <w:p>
      <w:pPr>
        <w:pStyle w:val="Heading3"/>
      </w:pPr>
      <w:bookmarkStart w:id="40" w:name="governing-law"/>
      <w:r>
        <w:t xml:space="preserve">4.3 Governing Law</w:t>
      </w:r>
      <w:bookmarkEnd w:id="40"/>
    </w:p>
    <w:p>
      <w:pPr>
        <w:pStyle w:val="FirstParagraph"/>
      </w:pPr>
      <w:r>
        <w:t xml:space="preserve">This Verification Letter is governed by the laws of [STATE], without regard to conflict-of-laws principles.</w:t>
      </w:r>
    </w:p>
    <w:p>
      <w:pPr>
        <w:pStyle w:val="DraftingNote"/>
      </w:pPr>
      <w:r>
        <w:rPr>
          <w:b/>
        </w:rPr>
        <w:t xml:space="preserve">Drafting note.</w:t>
      </w:r>
      <w:r>
        <w:t xml:space="preserve"> </w:t>
      </w:r>
      <w:r>
        <w:t xml:space="preserve">The countersignature is not required by the rule. It is included because it documents the investor's authorization to share personal financial information with the issuer and it supports the verifier's position if a dispute later arises about what the investor supplied. If the verifier is the investor's existing attorney or accountant, the verifier should consider whether the engagement for this letter needs a separate conflict and scope confirmation under the verifier's professional rules, and should not deliver the letter to an issuer that the verifier also represents without disclosing that relationship to both.</w:t>
      </w:r>
    </w:p>
    <w:p>
      <w:pPr>
        <w:pStyle w:val="Heading2"/>
      </w:pPr>
      <w:bookmarkStart w:id="41" w:name="signatures"/>
      <w:r>
        <w:t xml:space="preserve">5 Signatures</w:t>
      </w:r>
      <w:bookmarkEnd w:id="41"/>
    </w:p>
    <w:p>
      <w:pPr>
        <w:pStyle w:val="FirstParagraph"/>
      </w:pPr>
      <w:r>
        <w:t xml:space="preserve">VERIFIER:</w:t>
      </w:r>
    </w:p>
    <w:p>
      <w:pPr>
        <w:pStyle w:val="BodyText"/>
      </w:pPr>
      <w:r>
        <w:t xml:space="preserve">[FIRM NAME, if applicable]</w:t>
      </w:r>
    </w:p>
    <w:p>
      <w:pPr>
        <w:pStyle w:val="BodyText"/>
      </w:pPr>
      <w:r>
        <w:t xml:space="preserve">By: ______________________________________</w:t>
      </w:r>
      <w:r>
        <w:t xml:space="preserve"> </w:t>
      </w:r>
      <w:r>
        <w:t xml:space="preserve">Name: [NAME]</w:t>
      </w:r>
      <w:r>
        <w:t xml:space="preserve"> </w:t>
      </w:r>
      <w:r>
        <w:t xml:space="preserve">Title: [TITLE]</w:t>
      </w:r>
      <w:r>
        <w:t xml:space="preserve"> </w:t>
      </w:r>
      <w:r>
        <w:t xml:space="preserve">License or registration: [CATEGORY AND NUMBER]</w:t>
      </w:r>
      <w:r>
        <w:t xml:space="preserve"> </w:t>
      </w:r>
      <w:r>
        <w:t xml:space="preserve">Date: __________________</w:t>
      </w:r>
    </w:p>
    <w:p>
      <w:pPr>
        <w:pStyle w:val="BodyText"/>
      </w:pPr>
      <w:r>
        <w:t xml:space="preserve">ACKNOWLEDGED AND AUTHORIZED BY INVESTOR:</w:t>
      </w:r>
    </w:p>
    <w:p>
      <w:r>
        <w:pict>
          <v:rect style="width:0;height:1.5pt" o:hralign="center" o:hrstd="t" o:hr="t"/>
        </w:pict>
      </w:r>
    </w:p>
    <w:p>
      <w:pPr>
        <w:pStyle w:val="FirstParagraph"/>
      </w:pPr>
      <w:r>
        <w:t xml:space="preserve">[INVESTOR NAME]</w:t>
      </w:r>
      <w:r>
        <w:t xml:space="preserve"> </w:t>
      </w:r>
      <w:r>
        <w:t xml:space="preserve">Date: __________________</w:t>
      </w:r>
    </w:p>
    <w:p>
      <w:pPr>
        <w:pStyle w:val="BodyText"/>
      </w:pPr>
      <w:r>
        <w:t xml:space="preserve">[If joint status is relied on:]</w:t>
      </w:r>
    </w:p>
    <w:p>
      <w:r>
        <w:pict>
          <v:rect style="width:0;height:1.5pt" o:hralign="center" o:hrstd="t" o:hr="t"/>
        </w:pict>
      </w:r>
    </w:p>
    <w:p>
      <w:pPr>
        <w:pStyle w:val="FirstParagraph"/>
      </w:pPr>
      <w:r>
        <w:t xml:space="preserve">[SPOUSE OR SPOUSAL EQUIVALENT NAME]</w:t>
      </w:r>
      <w:r>
        <w:t xml:space="preserve"> </w:t>
      </w:r>
      <w:r>
        <w:t xml:space="preserve">Date: __________________</w:t>
      </w:r>
    </w:p>
    <w:p>
      <w:pPr>
        <w:pStyle w:val="BodyText"/>
      </w:pPr>
      <w:r>
        <w:t xml:space="preserve">Annex 1 — Supporting Documents reviewed (complete from Schedule 1)</w:t>
      </w:r>
      <w:r>
        <w:t xml:space="preserve"> </w:t>
      </w:r>
      <w:r>
        <w:t xml:space="preserve">Annex 2 — Investor Back-Up Certificate (Part C)</w:t>
      </w:r>
    </w:p>
    <w:p>
      <w:pPr>
        <w:pStyle w:val="Heading1"/>
      </w:pPr>
      <w:bookmarkStart w:id="42" w:name="X2982c49abb309593dbefcc1c5f1f5984256f9a9"/>
      <w:r>
        <w:t xml:space="preserve">PART B — THIRD-PARTY ACCREDITED INVESTOR VERIFICATION LETTER (ENTITY)</w:t>
      </w:r>
      <w:bookmarkEnd w:id="42"/>
    </w:p>
    <w:p>
      <w:pPr>
        <w:pStyle w:val="FirstParagraph"/>
      </w:pPr>
      <w:r>
        <w:t xml:space="preserve">[VERIFIER LETTERHEAD]</w:t>
      </w:r>
    </w:p>
    <w:p>
      <w:pPr>
        <w:pStyle w:val="BodyText"/>
      </w:pPr>
      <w:r>
        <w:t xml:space="preserve">[DATE]</w:t>
      </w:r>
    </w:p>
    <w:p>
      <w:pPr>
        <w:pStyle w:val="BodyText"/>
      </w:pPr>
      <w:r>
        <w:t xml:space="preserve">[ISSUER LEGAL NAME]</w:t>
      </w:r>
      <w:r>
        <w:t xml:space="preserve"> </w:t>
      </w:r>
      <w:r>
        <w:t xml:space="preserve">Attention: [NAME, TITLE]</w:t>
      </w:r>
      <w:r>
        <w:t xml:space="preserve"> </w:t>
      </w:r>
      <w:r>
        <w:t xml:space="preserve">[ADDRESS]</w:t>
      </w:r>
    </w:p>
    <w:p>
      <w:pPr>
        <w:pStyle w:val="BodyText"/>
      </w:pPr>
      <w:r>
        <w:t xml:space="preserve">Re: Verification of accredited investor status of [ENTITY INVESTOR NAME] for the Offering</w:t>
      </w:r>
    </w:p>
    <w:p>
      <w:pPr>
        <w:pStyle w:val="Heading2"/>
      </w:pPr>
      <w:bookmarkStart w:id="43" w:name="verifier-capacity-and-standard"/>
      <w:r>
        <w:t xml:space="preserve">6 Verifier, Capacity and Standard</w:t>
      </w:r>
      <w:bookmarkEnd w:id="43"/>
    </w:p>
    <w:p>
      <w:pPr>
        <w:pStyle w:val="Heading3"/>
      </w:pPr>
      <w:bookmarkStart w:id="44" w:name="identity-and-category"/>
      <w:r>
        <w:t xml:space="preserve">6.1 Identity and Category</w:t>
      </w:r>
      <w:bookmarkEnd w:id="44"/>
    </w:p>
    <w:p>
      <w:pPr>
        <w:pStyle w:val="FirstParagraph"/>
      </w:pPr>
      <w:r>
        <w:t xml:space="preserve">Sections 1.1 through 1.3 of Part A apply to this letter as if set out in full, with the Verifier identified in the signature block.</w:t>
      </w:r>
    </w:p>
    <w:p>
      <w:pPr>
        <w:pStyle w:val="Heading3"/>
      </w:pPr>
      <w:bookmarkStart w:id="45" w:name="standard-applied"/>
      <w:r>
        <w:t xml:space="preserve">6.2 Standard Applied</w:t>
      </w:r>
      <w:bookmarkEnd w:id="45"/>
    </w:p>
    <w:p>
      <w:pPr>
        <w:pStyle w:val="FirstParagraph"/>
      </w:pPr>
      <w:r>
        <w:t xml:space="preserve">The enumerated verification methods in Rule 506(c)(2)(ii)(A) through (E) are written for natural-person purchasers. For an entity purchaser the Issuer must take reasonable steps to verify accredited investor status under the principles-based standard, considering the nature of the purchaser and the category of accredited investor it claims to be, the information the Issuer has about the purchaser, and the nature and terms of the Offering. This letter is delivered to assist the Issuer in that determination.</w:t>
      </w:r>
    </w:p>
    <w:p>
      <w:pPr>
        <w:pStyle w:val="Heading2"/>
      </w:pPr>
      <w:bookmarkStart w:id="46" w:name="confirmation-of-entity-status"/>
      <w:r>
        <w:t xml:space="preserve">7 Confirmation of Entity Status</w:t>
      </w:r>
      <w:bookmarkEnd w:id="46"/>
    </w:p>
    <w:p>
      <w:pPr>
        <w:pStyle w:val="Heading3"/>
      </w:pPr>
      <w:bookmarkStart w:id="47" w:name="reasonable-steps-and-determination-1"/>
      <w:r>
        <w:t xml:space="preserve">7.1 Reasonable Steps and Determination</w:t>
      </w:r>
      <w:bookmarkEnd w:id="47"/>
    </w:p>
    <w:p>
      <w:pPr>
        <w:pStyle w:val="FirstParagraph"/>
      </w:pPr>
      <w:r>
        <w:t xml:space="preserve">The Verifier confirms that, within the three months preceding the date of this letter, the Verifier has taken reasonable steps to verify that [ENTITY INVESTOR NAME] (the</w:t>
      </w:r>
      <w:r>
        <w:t xml:space="preserve"> </w:t>
      </w:r>
      <w:r>
        <w:rPr>
          <w:b/>
        </w:rPr>
        <w:t xml:space="preserve">Entity Investor</w:t>
      </w:r>
      <w:r>
        <w:t xml:space="preserve">) is an accredited investor as defined in Rule 501(a), and the Verifier has determined that the Entity Investor is an accredited investor.</w:t>
      </w:r>
    </w:p>
    <w:p>
      <w:pPr>
        <w:pStyle w:val="Heading3"/>
      </w:pPr>
      <w:bookmarkStart w:id="48" w:name="category"/>
      <w:r>
        <w:t xml:space="preserve">7.2 Category</w:t>
      </w:r>
      <w:bookmarkEnd w:id="48"/>
    </w:p>
    <w:p>
      <w:pPr>
        <w:pStyle w:val="FirstParagraph"/>
      </w:pPr>
      <w:r>
        <w:t xml:space="preserve">The determination rests on the following category (check one):</w:t>
      </w:r>
    </w:p>
    <w:p>
      <w:pPr>
        <w:pStyle w:val="BodyText"/>
      </w:pPr>
      <w:r>
        <w:t xml:space="preserve">[ ]</w:t>
      </w:r>
      <w:r>
        <w:t xml:space="preserve"> </w:t>
      </w:r>
      <w:r>
        <w:rPr>
          <w:b/>
        </w:rPr>
        <w:t xml:space="preserve">Rule 501(a)(3).</w:t>
      </w:r>
      <w:r>
        <w:t xml:space="preserve"> </w:t>
      </w:r>
      <w:r>
        <w:t xml:space="preserve">The Entity Investor is a corporation, limited liability company, partnership, Massachusetts or similar business trust, or organization described in Section 501(c)(3) of the Internal Revenue Code, was not formed for the specific purpose of acquiring the securities offered, and has total assets in excess of $5,000,000.</w:t>
      </w:r>
    </w:p>
    <w:p>
      <w:pPr>
        <w:pStyle w:val="BodyText"/>
      </w:pPr>
      <w:r>
        <w:t xml:space="preserve">[ ]</w:t>
      </w:r>
      <w:r>
        <w:t xml:space="preserve"> </w:t>
      </w:r>
      <w:r>
        <w:rPr>
          <w:b/>
        </w:rPr>
        <w:t xml:space="preserve">Rule 501(a)(7).</w:t>
      </w:r>
      <w:r>
        <w:t xml:space="preserve"> </w:t>
      </w:r>
      <w:r>
        <w:t xml:space="preserve">The Entity Investor is a trust with total assets in excess of $5,000,000, was not formed for the specific purpose of acquiring the securities offered, and its purchase is directed by a person with such knowledge and experience in financial and business matters that he or she is capable of evaluating the merits and risks of the prospective investment.</w:t>
      </w:r>
    </w:p>
    <w:p>
      <w:pPr>
        <w:pStyle w:val="BodyText"/>
      </w:pPr>
      <w:r>
        <w:t xml:space="preserve">[ ]</w:t>
      </w:r>
      <w:r>
        <w:t xml:space="preserve"> </w:t>
      </w:r>
      <w:r>
        <w:rPr>
          <w:b/>
        </w:rPr>
        <w:t xml:space="preserve">Rule 501(a)(8).</w:t>
      </w:r>
      <w:r>
        <w:t xml:space="preserve"> </w:t>
      </w:r>
      <w:r>
        <w:t xml:space="preserve">All of the equity owners of the Entity Investor are accredited investors, as shown in Annex 3, and the Verifier has verified the status of each equity owner (or, where an equity owner is itself an entity relying on Rule 501(a)(8), of the natural persons and entities at the end of the chain of ownership).</w:t>
      </w:r>
    </w:p>
    <w:p>
      <w:pPr>
        <w:pStyle w:val="BodyText"/>
      </w:pPr>
      <w:r>
        <w:t xml:space="preserve">[ ]</w:t>
      </w:r>
      <w:r>
        <w:t xml:space="preserve"> </w:t>
      </w:r>
      <w:r>
        <w:rPr>
          <w:b/>
        </w:rPr>
        <w:t xml:space="preserve">Rule 501(a)(9).</w:t>
      </w:r>
      <w:r>
        <w:t xml:space="preserve"> </w:t>
      </w:r>
      <w:r>
        <w:t xml:space="preserve">The Entity Investor is an entity of a type not listed in Rule 501(a)(1), (2), (3), (7) or (8), was not formed for the specific purpose of acquiring the securities offered, and owns investments, as defined in Rule 2a51-1(b) under the Investment Company Act of 1940, in excess of $5,000,000.</w:t>
      </w:r>
    </w:p>
    <w:p>
      <w:pPr>
        <w:pStyle w:val="BodyText"/>
      </w:pPr>
      <w:r>
        <w:t xml:space="preserve">[ ]</w:t>
      </w:r>
      <w:r>
        <w:t xml:space="preserve"> </w:t>
      </w:r>
      <w:r>
        <w:rPr>
          <w:b/>
        </w:rPr>
        <w:t xml:space="preserve">Rule 501(a)(12) or (13).</w:t>
      </w:r>
      <w:r>
        <w:t xml:space="preserve"> </w:t>
      </w:r>
      <w:r>
        <w:t xml:space="preserve">The Entity Investor is a family office, as defined in Rule 202(a)(11)(G)-1 under the Investment Advisers Act of 1940, with assets under management in excess of $5,000,000 that was not formed for the specific purpose of acquiring the securities offered and whose prospective investment is directed by a person with the knowledge and experience described in Rule 501(a)(12)(iii), or is a family client of such a family office whose investment is directed by that family office.</w:t>
      </w:r>
    </w:p>
    <w:p>
      <w:pPr>
        <w:pStyle w:val="BodyText"/>
      </w:pPr>
      <w:r>
        <w:t xml:space="preserve">[ ]</w:t>
      </w:r>
      <w:r>
        <w:t xml:space="preserve"> </w:t>
      </w:r>
      <w:r>
        <w:rPr>
          <w:b/>
        </w:rPr>
        <w:t xml:space="preserve">Other category.</w:t>
      </w:r>
      <w:r>
        <w:t xml:space="preserve"> </w:t>
      </w:r>
      <w:r>
        <w:t xml:space="preserve">[Rule 501(a)(1) or (2) institutional category, with basis described in Annex 3.]</w:t>
      </w:r>
    </w:p>
    <w:p>
      <w:pPr>
        <w:pStyle w:val="Heading3"/>
      </w:pPr>
      <w:bookmarkStart w:id="49" w:name="documents-reviewed"/>
      <w:r>
        <w:t xml:space="preserve">7.3 Documents Reviewed</w:t>
      </w:r>
      <w:bookmarkEnd w:id="49"/>
    </w:p>
    <w:p>
      <w:pPr>
        <w:pStyle w:val="FirstParagraph"/>
      </w:pPr>
      <w:r>
        <w:t xml:space="preserve">The Verifier reviewed the documents listed in Annex 1 and the Entity Back-Up Certificate in the form attached as Annex 2 on [REVIEW DATE]. For total assets or investments, the Verifier reviewed [AUDITED OR REVIEWED FINANCIAL STATEMENTS / BALANCE SHEET / BROKERAGE AND BANK STATEMENTS / TAX RETURN] dated or as of [DATE]. For formation and purpose, the Verifier reviewed the Entity Investor's formation document, governing agreement and [MINUTES, CONSENTS OR OFFICER CERTIFICATE] showing the date of formation and the business conducted. For Rule 501(a)(8), the Verifier reviewed the ownership schedule in Annex 3 and the documents described there for each equity owner.</w:t>
      </w:r>
    </w:p>
    <w:p>
      <w:pPr>
        <w:pStyle w:val="Heading2"/>
      </w:pPr>
      <w:bookmarkStart w:id="50" w:name="X9321d28ec1d928b30a629585465f6c2f852342a"/>
      <w:r>
        <w:t xml:space="preserve">8 Scope, Reliance, Acknowledgment and Signatures</w:t>
      </w:r>
      <w:bookmarkEnd w:id="50"/>
    </w:p>
    <w:p>
      <w:pPr>
        <w:pStyle w:val="FirstParagraph"/>
      </w:pPr>
      <w:r>
        <w:t xml:space="preserve">Sections 3 through 5 of Part A apply to this letter, with references to the Investor read as references to the Entity Investor and the acknowledgment signed by an authorized officer, manager, trustee or general partner of the Entity Investor.</w:t>
      </w:r>
    </w:p>
    <w:p>
      <w:pPr>
        <w:pStyle w:val="DraftingNote"/>
      </w:pPr>
      <w:r>
        <w:rPr>
          <w:b/>
        </w:rPr>
        <w:t xml:space="preserve">Drafting note.</w:t>
      </w:r>
      <w:r>
        <w:t xml:space="preserve"> </w:t>
      </w:r>
      <w:r>
        <w:t xml:space="preserve">The most common entity errors are (1) treating a newly formed vehicle as accredited under the total-assets test when it was formed for the specific purpose of making the investment, which disqualifies it under Rule 501(a)(3), (7) and (9) and forces the analysis into Rule 501(a)(8); (2) accepting a parent's balance sheet for a subsidiary, when the rule looks at the purchasing entity's own assets; and (3) stopping the Rule 501(a)(8) look-through at the first tier when an owner is itself a fund or holding company. For a (a)(8) entity, each equity owner needs its own verification, and the Verifier should obtain a natural-person Back-Up Certificate (Part C) or entity certificate (Part D) from each. A revocable trust is generally analyzed by looking to its grantor as the equity owner under Rule 501(a)(8); an irrevocable trust ordinarily must satisfy Rule 501(a)(7) on its own assets and the sophistication of the person directing the purchase. Self-directed retirement accounts should be analyzed with care and counsel: the account's status generally turns on the status of the natural person who directs it, but the treatment varies with the account structure and the custodian's documentation. Confirm current Commission staff guidance before relying on any entity category.</w:t>
      </w:r>
    </w:p>
    <w:p>
      <w:pPr>
        <w:pStyle w:val="Heading1"/>
      </w:pPr>
      <w:bookmarkStart w:id="51" w:name="X4b78029d2a59beb694d1ba5368289f6a1a99bb2"/>
      <w:r>
        <w:t xml:space="preserve">PART C — INVESTOR BACK-UP CERTIFICATE (NATURAL PERSON)</w:t>
      </w:r>
      <w:bookmarkEnd w:id="51"/>
    </w:p>
    <w:p>
      <w:pPr>
        <w:pStyle w:val="FirstParagraph"/>
      </w:pPr>
      <w:r>
        <w:t xml:space="preserve">To: [VERIFIER NAME] (the</w:t>
      </w:r>
      <w:r>
        <w:t xml:space="preserve"> </w:t>
      </w:r>
      <w:r>
        <w:rPr>
          <w:b/>
        </w:rPr>
        <w:t xml:space="preserve">Verifier</w:t>
      </w:r>
      <w:r>
        <w:t xml:space="preserve">) and [ISSUER LEGAL NAME] (the</w:t>
      </w:r>
      <w:r>
        <w:t xml:space="preserve"> </w:t>
      </w:r>
      <w:r>
        <w:rPr>
          <w:b/>
        </w:rPr>
        <w:t xml:space="preserve">Issuer</w:t>
      </w:r>
      <w:r>
        <w:t xml:space="preserve">)</w:t>
      </w:r>
    </w:p>
    <w:p>
      <w:pPr>
        <w:pStyle w:val="BodyText"/>
      </w:pPr>
      <w:r>
        <w:t xml:space="preserve">Re: Accredited investor status of the undersigned for the Offering</w:t>
      </w:r>
    </w:p>
    <w:p>
      <w:pPr>
        <w:pStyle w:val="BodyText"/>
      </w:pPr>
      <w:r>
        <w:t xml:space="preserve">The undersigned (the</w:t>
      </w:r>
      <w:r>
        <w:t xml:space="preserve"> </w:t>
      </w:r>
      <w:r>
        <w:rPr>
          <w:b/>
        </w:rPr>
        <w:t xml:space="preserve">Investor</w:t>
      </w:r>
      <w:r>
        <w:t xml:space="preserve">) delivers this certificate (this</w:t>
      </w:r>
      <w:r>
        <w:t xml:space="preserve"> </w:t>
      </w:r>
      <w:r>
        <w:rPr>
          <w:b/>
        </w:rPr>
        <w:t xml:space="preserve">Back-Up Certificate</w:t>
      </w:r>
      <w:r>
        <w:t xml:space="preserve">) to the Verifier and the Issuer in connection with the Verification Letter the Investor has asked the Verifier to deliver for the Offering, and certifies as follows.</w:t>
      </w:r>
    </w:p>
    <w:p>
      <w:pPr>
        <w:pStyle w:val="Heading2"/>
      </w:pPr>
      <w:bookmarkStart w:id="52" w:name="identity-and-category-relied-on"/>
      <w:r>
        <w:t xml:space="preserve">9 Identity and Category Relied On</w:t>
      </w:r>
      <w:bookmarkEnd w:id="52"/>
    </w:p>
    <w:p>
      <w:pPr>
        <w:pStyle w:val="Heading3"/>
      </w:pPr>
      <w:bookmarkStart w:id="53" w:name="identity"/>
      <w:r>
        <w:t xml:space="preserve">9.1 Identity</w:t>
      </w:r>
      <w:bookmarkEnd w:id="53"/>
    </w:p>
    <w:p>
      <w:pPr>
        <w:pStyle w:val="FirstParagraph"/>
      </w:pPr>
      <w:r>
        <w:t xml:space="preserve">Legal name: [●]. Residence address: [●]. Date of birth (month and year): [●]. Country of citizenship and country of tax residence: [●].</w:t>
      </w:r>
    </w:p>
    <w:p>
      <w:pPr>
        <w:pStyle w:val="Heading3"/>
      </w:pPr>
      <w:bookmarkStart w:id="54" w:name="category-1"/>
      <w:r>
        <w:t xml:space="preserve">9.2 Category</w:t>
      </w:r>
      <w:bookmarkEnd w:id="54"/>
    </w:p>
    <w:p>
      <w:pPr>
        <w:pStyle w:val="FirstParagraph"/>
      </w:pPr>
      <w:r>
        <w:t xml:space="preserve">The Investor qualifies as an accredited investor under the following category (check each that applies and complete the corresponding Section):</w:t>
      </w:r>
    </w:p>
    <w:p>
      <w:pPr>
        <w:pStyle w:val="BodyText"/>
      </w:pPr>
      <w:r>
        <w:t xml:space="preserve">[ ] Net worth, Rule 501(a)(5) (complete Section 10)</w:t>
      </w:r>
      <w:r>
        <w:t xml:space="preserve"> </w:t>
      </w:r>
      <w:r>
        <w:t xml:space="preserve">[ ] Income, Rule 501(a)(6) (complete Section 11)</w:t>
      </w:r>
      <w:r>
        <w:t xml:space="preserve"> </w:t>
      </w:r>
      <w:r>
        <w:t xml:space="preserve">[ ] Professional certification, Rule 501(a)(10) (complete Section 12)</w:t>
      </w:r>
      <w:r>
        <w:t xml:space="preserve"> </w:t>
      </w:r>
      <w:r>
        <w:t xml:space="preserve">[ ] Knowledgeable employee, Rule 501(a)(11) (complete Section 13)</w:t>
      </w:r>
    </w:p>
    <w:p>
      <w:pPr>
        <w:pStyle w:val="Heading3"/>
      </w:pPr>
      <w:bookmarkStart w:id="55" w:name="joint-status-1"/>
      <w:r>
        <w:t xml:space="preserve">9.3 Joint Status</w:t>
      </w:r>
      <w:bookmarkEnd w:id="55"/>
    </w:p>
    <w:p>
      <w:pPr>
        <w:pStyle w:val="FirstParagraph"/>
      </w:pPr>
      <w:r>
        <w:t xml:space="preserve">[ ] The Investor relies on individual net worth or income only.</w:t>
      </w:r>
      <w:r>
        <w:t xml:space="preserve"> </w:t>
      </w:r>
      <w:r>
        <w:t xml:space="preserve">[ ] The Investor relies on joint net worth or joint income with [NAME], who is the Investor's [spouse / spousal equivalent, meaning a cohabitant occupying a relationship generally equivalent to that of a spouse], and who signs this Back-Up Certificate below.</w:t>
      </w:r>
    </w:p>
    <w:p>
      <w:pPr>
        <w:pStyle w:val="Heading2"/>
      </w:pPr>
      <w:bookmarkStart w:id="56" w:name="net-worth-certification"/>
      <w:r>
        <w:t xml:space="preserve">10 Net Worth Certification</w:t>
      </w:r>
      <w:bookmarkEnd w:id="56"/>
    </w:p>
    <w:p>
      <w:pPr>
        <w:pStyle w:val="Heading3"/>
      </w:pPr>
      <w:bookmarkStart w:id="57" w:name="net-worth-statement"/>
      <w:r>
        <w:t xml:space="preserve">10.1 Net Worth Statement</w:t>
      </w:r>
      <w:bookmarkEnd w:id="57"/>
    </w:p>
    <w:p>
      <w:pPr>
        <w:pStyle w:val="FirstParagraph"/>
      </w:pPr>
      <w:r>
        <w:t xml:space="preserve">The Investor's net worth (individual, or joint with the person identified in Section 9.3) exceeds $1,000,000, calculated in accordance with Schedule 2, as of [DATE WITHIN THE PRIOR THREE MONTHS].</w:t>
      </w:r>
    </w:p>
    <w:p>
      <w:pPr>
        <w:pStyle w:val="Heading3"/>
      </w:pPr>
      <w:bookmarkStart w:id="58" w:name="primary-residence"/>
      <w:r>
        <w:t xml:space="preserve">10.2 Primary Residence</w:t>
      </w:r>
      <w:bookmarkEnd w:id="58"/>
    </w:p>
    <w:p>
      <w:pPr>
        <w:pStyle w:val="FirstParagraph"/>
      </w:pPr>
      <w:r>
        <w:t xml:space="preserve">In calculating net worth the Investor has (a) excluded the value of the Investor's primary residence as an asset; (b) excluded indebtedness secured by the primary residence as a liability only up to the estimated fair market value of the residence; (c) included as a liability any such indebtedness in excess of that fair market value; and (d) included as a liability any increase in indebtedness secured by the primary residence incurred within the sixty days before the date of this Back-Up Certificate, other than indebtedness incurred to acquire the residence.</w:t>
      </w:r>
    </w:p>
    <w:p>
      <w:pPr>
        <w:pStyle w:val="Heading3"/>
      </w:pPr>
      <w:bookmarkStart w:id="59" w:name="documents"/>
      <w:r>
        <w:t xml:space="preserve">10.3 Documents</w:t>
      </w:r>
      <w:bookmarkEnd w:id="59"/>
    </w:p>
    <w:p>
      <w:pPr>
        <w:pStyle w:val="FirstParagraph"/>
      </w:pPr>
      <w:r>
        <w:t xml:space="preserve">The Investor has delivered to the Verifier the asset documents listed in Annex 1, each dated within the three months preceding the Review Date, consisting of [BANK STATEMENTS / BROKERAGE STATEMENTS / STATEMENTS OF SECURITIES HOLDINGS / CERTIFICATES OF DEPOSIT / TAX ASSESSMENTS / APPRAISAL REPORTS ISSUED BY INDEPENDENT THIRD PARTIES], and has authorized the Verifier to obtain a consumer report on the Investor from at least one nationwide consumer reporting agency.</w:t>
      </w:r>
    </w:p>
    <w:p>
      <w:pPr>
        <w:pStyle w:val="Heading3"/>
      </w:pPr>
      <w:bookmarkStart w:id="60" w:name="disclosure-of-liabilities"/>
      <w:r>
        <w:t xml:space="preserve">10.4 Disclosure of Liabilities</w:t>
      </w:r>
      <w:bookmarkEnd w:id="60"/>
    </w:p>
    <w:p>
      <w:pPr>
        <w:pStyle w:val="FirstParagraph"/>
      </w:pPr>
      <w:r>
        <w:t xml:space="preserve">The Investor has disclosed to the Verifier all liabilities necessary to make a determination of the Investor's net worth, including liabilities that do not appear on the consumer report, and the liabilities listed in Schedule 2 are complete.</w:t>
      </w:r>
    </w:p>
    <w:p>
      <w:pPr>
        <w:pStyle w:val="DraftingNote"/>
      </w:pPr>
      <w:r>
        <w:rPr>
          <w:b/>
        </w:rPr>
        <w:t xml:space="preserve">Drafting note.</w:t>
      </w:r>
      <w:r>
        <w:t xml:space="preserve"> </w:t>
      </w:r>
      <w:r>
        <w:t xml:space="preserve">Rule 506(c)(2)(ii)(B) requires asset documents dated within the prior three months and a consumer report from at least one nationwide agency, together with a written representation that all liabilities have been disclosed. Section 10.4 is that representation. Investors sometimes object to the consumer report; without it the issuer loses the net-worth safe harbor and must justify its steps under the principles-based standard. Joint net worth may be the aggregate net worth of the investor and the spouse or spousal equivalent, and assets need not be held jointly, but both persons must supply documents and both must sign.</w:t>
      </w:r>
    </w:p>
    <w:p>
      <w:pPr>
        <w:pStyle w:val="Heading2"/>
      </w:pPr>
      <w:bookmarkStart w:id="61" w:name="income-certification"/>
      <w:r>
        <w:t xml:space="preserve">11 Income Certification</w:t>
      </w:r>
      <w:bookmarkEnd w:id="61"/>
    </w:p>
    <w:p>
      <w:pPr>
        <w:pStyle w:val="Heading3"/>
      </w:pPr>
      <w:bookmarkStart w:id="62" w:name="income-statement"/>
      <w:r>
        <w:t xml:space="preserve">11.1 Income Statement</w:t>
      </w:r>
      <w:bookmarkEnd w:id="62"/>
    </w:p>
    <w:p>
      <w:pPr>
        <w:pStyle w:val="FirstParagraph"/>
      </w:pPr>
      <w:r>
        <w:t xml:space="preserve">The Investor's income (individual, or joint with the person identified in Section 9.3) exceeded [$200,000 individual / $300,000 joint] in each of the two most recent years for which the Investor has filed United States federal income tax returns, being [YEAR] ($[●]) and [YEAR] ($[●]).</w:t>
      </w:r>
    </w:p>
    <w:p>
      <w:pPr>
        <w:pStyle w:val="Heading3"/>
      </w:pPr>
      <w:bookmarkStart w:id="63" w:name="current-year-expectation"/>
      <w:r>
        <w:t xml:space="preserve">11.2 Current-Year Expectation</w:t>
      </w:r>
      <w:bookmarkEnd w:id="63"/>
    </w:p>
    <w:p>
      <w:pPr>
        <w:pStyle w:val="FirstParagraph"/>
      </w:pPr>
      <w:r>
        <w:t xml:space="preserve">The Investor has a reasonable expectation of reaching the same income level in the current calendar year. The basis for that expectation is [CONTINUED EMPLOYMENT AT CURRENT COMPENSATION / CONTRACTED COMPENSATION / RECURRING INVESTMENT INCOME / OTHER].</w:t>
      </w:r>
    </w:p>
    <w:p>
      <w:pPr>
        <w:pStyle w:val="Heading3"/>
      </w:pPr>
      <w:bookmarkStart w:id="64" w:name="documents-1"/>
      <w:r>
        <w:t xml:space="preserve">11.3 Documents</w:t>
      </w:r>
      <w:bookmarkEnd w:id="64"/>
    </w:p>
    <w:p>
      <w:pPr>
        <w:pStyle w:val="FirstParagraph"/>
      </w:pPr>
      <w:r>
        <w:t xml:space="preserve">The Investor has delivered to the Verifier the Internal Revenue Service forms listed in Annex 1 that report the Investor's income for each of the two years identified in Section 11.1, consisting of [FORM W-2 / FORM 1099 / SCHEDULE K-1 TO FORM 1065 / FORM 1040], and each is a true and complete copy of the form filed with or received from the Internal Revenue Service.</w:t>
      </w:r>
    </w:p>
    <w:p>
      <w:pPr>
        <w:pStyle w:val="Heading3"/>
      </w:pPr>
      <w:bookmarkStart w:id="65" w:name="most-recent-year-not-yet-filed"/>
      <w:r>
        <w:t xml:space="preserve">11.4 Most Recent Year Not Yet Filed</w:t>
      </w:r>
      <w:bookmarkEnd w:id="65"/>
    </w:p>
    <w:p>
      <w:pPr>
        <w:pStyle w:val="FirstParagraph"/>
      </w:pPr>
      <w:r>
        <w:t xml:space="preserve">[Complete only if the Investor has not yet filed a federal income tax return for the most recently completed calendar year.] No Internal Revenue Service form reporting the Investor's income for [MOST RECENT CALENDAR YEAR] is yet available. The Investor's income for that year was approximately $[●], which exceeds the applicable threshold, and the Investor has delivered Internal Revenue Service forms for [YEAR] and [YEAR], the two years preceding it.</w:t>
      </w:r>
    </w:p>
    <w:p>
      <w:pPr>
        <w:pStyle w:val="DraftingNote"/>
      </w:pPr>
      <w:r>
        <w:rPr>
          <w:b/>
        </w:rPr>
        <w:t xml:space="preserve">Drafting note.</w:t>
      </w:r>
      <w:r>
        <w:t xml:space="preserve"> </w:t>
      </w:r>
      <w:r>
        <w:t xml:space="preserve">Rule 506(c)(2)(ii)(A) looks to IRS forms for the two most recent years plus a representation about the current year. Early in a calendar year the most recent year's return will not exist; Commission staff guidance (Securities Act Rules Compliance and Disclosure Interpretation 260.35, issued July 3, 2014) describes an approach under the principles-based standard that reviews the two prior years' forms together with written representations that the most recent year's form is unavailable, that income for that year reached the required level, and that the investor expects to reach it again in the current year. Section 11.4 supplies those representations; confirm the current text of the interpretation before relying on it, and treat a most-recent-year figure that barely clears the threshold as a reason for additional steps. Investors who are not U.S. taxpayers cannot supply IRS forms; see Schedule 5.</w:t>
      </w:r>
    </w:p>
    <w:p>
      <w:pPr>
        <w:pStyle w:val="Heading2"/>
      </w:pPr>
      <w:bookmarkStart w:id="66" w:name="professional-certification"/>
      <w:r>
        <w:t xml:space="preserve">12 Professional Certification</w:t>
      </w:r>
      <w:bookmarkEnd w:id="66"/>
    </w:p>
    <w:p>
      <w:pPr>
        <w:pStyle w:val="FirstParagraph"/>
      </w:pPr>
      <w:r>
        <w:t xml:space="preserve">The Investor holds in good standing the following professional certification, designation or credential designated by Commission order as qualifying a natural person for accredited investor status: [GENERAL SECURITIES REPRESENTATIVE (SERIES 7) / INVESTMENT ADVISER REPRESENTATIVE (SERIES 65) / PRIVATE SECURITIES OFFERINGS REPRESENTATIVE (SERIES 82) / OTHER DESIGNATED CREDENTIAL], CRD or credential number [●], and authorizes the Verifier to confirm that status through [FINRA BROKERCHECK / THE INVESTMENT ADVISER PUBLIC DISCLOSURE WEBSITE / THE ISSUING BODY].</w:t>
      </w:r>
    </w:p>
    <w:p>
      <w:pPr>
        <w:pStyle w:val="DraftingNote"/>
      </w:pPr>
      <w:r>
        <w:rPr>
          <w:b/>
        </w:rPr>
        <w:t xml:space="preserve">Drafting note.</w:t>
      </w:r>
      <w:r>
        <w:t xml:space="preserve"> </w:t>
      </w:r>
      <w:r>
        <w:t xml:space="preserve">Rule 501(a)(10) covers only credentials the Commission has designated by order, and the Commission's website lists them. Holding the license in good standing is the test; current employment with a broker-dealer or adviser is not required for the Series 7, 65 or 82 designations, but a lapsed or revoked license does not qualify. Confirm the current list of designated credentials at the time of review.</w:t>
      </w:r>
    </w:p>
    <w:p>
      <w:pPr>
        <w:pStyle w:val="Heading2"/>
      </w:pPr>
      <w:bookmarkStart w:id="67" w:name="knowledgeable-employee"/>
      <w:r>
        <w:t xml:space="preserve">13 Knowledgeable Employee</w:t>
      </w:r>
      <w:bookmarkEnd w:id="67"/>
    </w:p>
    <w:p>
      <w:pPr>
        <w:pStyle w:val="FirstParagraph"/>
      </w:pPr>
      <w:r>
        <w:t xml:space="preserve">The Investor is a knowledgeable employee, as defined in Rule 3c-5(a)(4) under the Investment Company Act of 1940, of the Issuer by reason of [EXECUTIVE OFFICER, DIRECTOR, TRUSTEE, GENERAL PARTNER OR ADVISORY BOARD POSITION / PARTICIPATION IN THE ISSUER'S INVESTMENT ACTIVITIES FOR AT LEAST TWELVE MONTHS], and the Issuer has confirmed in writing that it would be an investment company but for Section 3(c)(1) or Section 3(c)(7) of that Act.</w:t>
      </w:r>
    </w:p>
    <w:p>
      <w:pPr>
        <w:pStyle w:val="Heading2"/>
      </w:pPr>
      <w:bookmarkStart w:id="68" w:name="general-certifications"/>
      <w:r>
        <w:t xml:space="preserve">14 General Certifications</w:t>
      </w:r>
      <w:bookmarkEnd w:id="68"/>
    </w:p>
    <w:p>
      <w:pPr>
        <w:pStyle w:val="Heading3"/>
      </w:pPr>
      <w:bookmarkStart w:id="69" w:name="accuracy"/>
      <w:r>
        <w:t xml:space="preserve">14.1 Accuracy</w:t>
      </w:r>
      <w:bookmarkEnd w:id="69"/>
    </w:p>
    <w:p>
      <w:pPr>
        <w:pStyle w:val="FirstParagraph"/>
      </w:pPr>
      <w:r>
        <w:t xml:space="preserve">Each document delivered to the Verifier is a true, correct and complete copy, and each statement in this Back-Up Certificate is true and complete as of its date.</w:t>
      </w:r>
    </w:p>
    <w:p>
      <w:pPr>
        <w:pStyle w:val="Heading3"/>
      </w:pPr>
      <w:bookmarkStart w:id="70" w:name="no-contrary-facts"/>
      <w:r>
        <w:t xml:space="preserve">14.2 No Contrary Facts</w:t>
      </w:r>
      <w:bookmarkEnd w:id="70"/>
    </w:p>
    <w:p>
      <w:pPr>
        <w:pStyle w:val="FirstParagraph"/>
      </w:pPr>
      <w:r>
        <w:t xml:space="preserve">The Investor is not aware of any fact or circumstance that would cause the Investor to cease to be an accredited investor before the sale of securities in the Offering.</w:t>
      </w:r>
    </w:p>
    <w:p>
      <w:pPr>
        <w:pStyle w:val="Heading3"/>
      </w:pPr>
      <w:bookmarkStart w:id="71" w:name="authorization-and-reliance"/>
      <w:r>
        <w:t xml:space="preserve">14.3 Authorization and Reliance</w:t>
      </w:r>
      <w:bookmarkEnd w:id="71"/>
    </w:p>
    <w:p>
      <w:pPr>
        <w:pStyle w:val="FirstParagraph"/>
      </w:pPr>
      <w:r>
        <w:t xml:space="preserve">The Investor authorizes the Verifier to deliver the Verification Letter and this Back-Up Certificate to the Issuer and to any placement agent for the Offering, authorizes the Verifier to obtain a consumer report where Section 10 applies, and acknowledges that the Verifier and the Issuer will rely on this Back-Up Certificate.</w:t>
      </w:r>
    </w:p>
    <w:p>
      <w:pPr>
        <w:pStyle w:val="Heading3"/>
      </w:pPr>
      <w:bookmarkStart w:id="72" w:name="update-before-sale"/>
      <w:r>
        <w:t xml:space="preserve">14.4 Update Before Sale</w:t>
      </w:r>
      <w:bookmarkEnd w:id="72"/>
    </w:p>
    <w:p>
      <w:pPr>
        <w:pStyle w:val="FirstParagraph"/>
      </w:pPr>
      <w:r>
        <w:t xml:space="preserve">If any statement in this Back-Up Certificate becomes inaccurate before the Investor's purchase in the Offering, the Investor will notify the Verifier and the Issuer in writing before completing the purchase.</w:t>
      </w:r>
    </w:p>
    <w:p>
      <w:pPr>
        <w:pStyle w:val="Heading3"/>
      </w:pPr>
      <w:bookmarkStart w:id="73" w:name="confidentiality-and-data-handling"/>
      <w:r>
        <w:t xml:space="preserve">14.5 Confidentiality and Data Handling</w:t>
      </w:r>
      <w:bookmarkEnd w:id="73"/>
    </w:p>
    <w:p>
      <w:pPr>
        <w:pStyle w:val="FirstParagraph"/>
      </w:pPr>
      <w:r>
        <w:t xml:space="preserve">The Investor acknowledges that the Verifier and the Issuer will hold the Supporting Documents and this Back-Up Certificate in confidence, will use them only to verify accredited investor status and to document compliance with Rule 506(c), and will retain them in accordance with Part F and the Issuer's record-retention policy.</w:t>
      </w:r>
    </w:p>
    <w:p>
      <w:pPr>
        <w:pStyle w:val="Heading2"/>
      </w:pPr>
      <w:bookmarkStart w:id="74" w:name="signatures-1"/>
      <w:r>
        <w:t xml:space="preserve">15 Signatures</w:t>
      </w:r>
      <w:bookmarkEnd w:id="74"/>
    </w:p>
    <w:p>
      <w:r>
        <w:pict>
          <v:rect style="width:0;height:1.5pt" o:hralign="center" o:hrstd="t" o:hr="t"/>
        </w:pict>
      </w:r>
    </w:p>
    <w:p>
      <w:pPr>
        <w:pStyle w:val="FirstParagraph"/>
      </w:pPr>
      <w:r>
        <w:t xml:space="preserve">[INVESTOR NAME]</w:t>
      </w:r>
      <w:r>
        <w:t xml:space="preserve"> </w:t>
      </w:r>
      <w:r>
        <w:t xml:space="preserve">Date: __________________</w:t>
      </w:r>
    </w:p>
    <w:p>
      <w:pPr>
        <w:pStyle w:val="BodyText"/>
      </w:pPr>
      <w:r>
        <w:t xml:space="preserve">[If joint status is relied on:]</w:t>
      </w:r>
    </w:p>
    <w:p>
      <w:r>
        <w:pict>
          <v:rect style="width:0;height:1.5pt" o:hralign="center" o:hrstd="t" o:hr="t"/>
        </w:pict>
      </w:r>
    </w:p>
    <w:p>
      <w:pPr>
        <w:pStyle w:val="FirstParagraph"/>
      </w:pPr>
      <w:r>
        <w:t xml:space="preserve">[SPOUSE OR SPOUSAL EQUIVALENT NAME]</w:t>
      </w:r>
      <w:r>
        <w:t xml:space="preserve"> </w:t>
      </w:r>
      <w:r>
        <w:t xml:space="preserve">Date: __________________</w:t>
      </w:r>
    </w:p>
    <w:p>
      <w:pPr>
        <w:pStyle w:val="BodyText"/>
      </w:pPr>
      <w:r>
        <w:t xml:space="preserve">Annex 1 — Supporting Documents delivered (complete from Schedule 1)</w:t>
      </w:r>
    </w:p>
    <w:p>
      <w:pPr>
        <w:pStyle w:val="Heading1"/>
      </w:pPr>
      <w:bookmarkStart w:id="75" w:name="Xf29dd157227698f3bb126a7773abf39603d844a"/>
      <w:r>
        <w:t xml:space="preserve">PART D — INVESTOR BACK-UP CERTIFICATE (ENTITY)</w:t>
      </w:r>
      <w:bookmarkEnd w:id="75"/>
    </w:p>
    <w:p>
      <w:pPr>
        <w:pStyle w:val="FirstParagraph"/>
      </w:pPr>
      <w:r>
        <w:t xml:space="preserve">To: [VERIFIER NAME] and [ISSUER LEGAL NAME]</w:t>
      </w:r>
    </w:p>
    <w:p>
      <w:pPr>
        <w:pStyle w:val="BodyText"/>
      </w:pPr>
      <w:r>
        <w:t xml:space="preserve">The undersigned, being the duly authorized [OFFICER / MANAGER / GENERAL PARTNER / TRUSTEE] of [ENTITY INVESTOR NAME] (the</w:t>
      </w:r>
      <w:r>
        <w:t xml:space="preserve"> </w:t>
      </w:r>
      <w:r>
        <w:rPr>
          <w:b/>
        </w:rPr>
        <w:t xml:space="preserve">Entity Investor</w:t>
      </w:r>
      <w:r>
        <w:t xml:space="preserve">), certifies on behalf of the Entity Investor as follows.</w:t>
      </w:r>
    </w:p>
    <w:p>
      <w:pPr>
        <w:pStyle w:val="Heading2"/>
      </w:pPr>
      <w:bookmarkStart w:id="76" w:name="entity-identity-and-formation"/>
      <w:r>
        <w:t xml:space="preserve">16 Entity Identity and Formation</w:t>
      </w:r>
      <w:bookmarkEnd w:id="76"/>
    </w:p>
    <w:p>
      <w:pPr>
        <w:pStyle w:val="Heading3"/>
      </w:pPr>
      <w:bookmarkStart w:id="77" w:name="identity-1"/>
      <w:r>
        <w:t xml:space="preserve">16.1 Identity</w:t>
      </w:r>
      <w:bookmarkEnd w:id="77"/>
    </w:p>
    <w:p>
      <w:pPr>
        <w:pStyle w:val="FirstParagraph"/>
      </w:pPr>
      <w:r>
        <w:t xml:space="preserve">Legal name: [●]. Jurisdiction and form of organization: [●]. Date of formation: [●]. Principal office: [●]. Taxpayer identification number (last four digits): [●].</w:t>
      </w:r>
    </w:p>
    <w:p>
      <w:pPr>
        <w:pStyle w:val="Heading3"/>
      </w:pPr>
      <w:bookmarkStart w:id="78" w:name="purpose-of-formation"/>
      <w:r>
        <w:t xml:space="preserve">16.2 Purpose of Formation</w:t>
      </w:r>
      <w:bookmarkEnd w:id="78"/>
    </w:p>
    <w:p>
      <w:pPr>
        <w:pStyle w:val="FirstParagraph"/>
      </w:pPr>
      <w:r>
        <w:t xml:space="preserve">The Entity Investor was not formed for the specific purpose of acquiring the securities offered in the Offering. The Entity Investor was formed on [DATE] for the purpose of [DESCRIPTION OF BUSINESS OR INVESTMENT ACTIVITY], has conducted that activity since [DATE], and [holds the following other investments or assets: ●].</w:t>
      </w:r>
    </w:p>
    <w:p>
      <w:pPr>
        <w:pStyle w:val="DraftingNote"/>
      </w:pPr>
      <w:r>
        <w:rPr>
          <w:b/>
        </w:rPr>
        <w:t xml:space="preserve">Drafting note.</w:t>
      </w:r>
      <w:r>
        <w:t xml:space="preserve"> </w:t>
      </w:r>
      <w:r>
        <w:t xml:space="preserve">The "not formed for the specific purpose" condition appears in Rule 501(a)(3), (7), (9) and (12). An entity formed shortly before the offering, funded only to make this investment, will generally fail it and must qualify, if at all, under Rule 501(a)(8) by reference to its equity owners. The certificate asks for formation date and activity so that the verifier can test the condition rather than take it on faith.</w:t>
      </w:r>
    </w:p>
    <w:p>
      <w:pPr>
        <w:pStyle w:val="Heading2"/>
      </w:pPr>
      <w:bookmarkStart w:id="79" w:name="category-and-financial-certification"/>
      <w:r>
        <w:t xml:space="preserve">17 Category and Financial Certification</w:t>
      </w:r>
      <w:bookmarkEnd w:id="79"/>
    </w:p>
    <w:p>
      <w:pPr>
        <w:pStyle w:val="Heading3"/>
      </w:pPr>
      <w:bookmarkStart w:id="80" w:name="category-2"/>
      <w:r>
        <w:t xml:space="preserve">17.1 Category</w:t>
      </w:r>
      <w:bookmarkEnd w:id="80"/>
    </w:p>
    <w:p>
      <w:pPr>
        <w:pStyle w:val="FirstParagraph"/>
      </w:pPr>
      <w:r>
        <w:t xml:space="preserve">The Entity Investor qualifies under (check one and complete the corresponding Section): [ ] Rule 501(a)(3) (Section 17.2); [ ] Rule 501(a)(7) (Sections 17.2 and 17.4); [ ] Rule 501(a)(8) (Section 17.3); [ ] Rule 501(a)(9) (Section 17.2); [ ] Rule 501(a)(12) or (13) (Section 17.5).</w:t>
      </w:r>
    </w:p>
    <w:p>
      <w:pPr>
        <w:pStyle w:val="Heading3"/>
      </w:pPr>
      <w:bookmarkStart w:id="81" w:name="total-assets-or-investments"/>
      <w:r>
        <w:t xml:space="preserve">17.2 Total Assets or Investments</w:t>
      </w:r>
      <w:bookmarkEnd w:id="81"/>
    </w:p>
    <w:p>
      <w:pPr>
        <w:pStyle w:val="FirstParagraph"/>
      </w:pPr>
      <w:r>
        <w:t xml:space="preserve">The Entity Investor's [total assets / investments, as defined in Rule 2a51-1(b) under the Investment Company Act of 1940] exceeded $5,000,000 as of [DATE], as shown in the [AUDITED FINANCIAL STATEMENTS / REVIEWED FINANCIAL STATEMENTS / BALANCE SHEET CERTIFIED BY THE ENTITY INVESTOR'S CHIEF FINANCIAL OFFICER / ACCOUNT STATEMENTS] delivered to the Verifier and listed in Annex 1.</w:t>
      </w:r>
    </w:p>
    <w:p>
      <w:pPr>
        <w:pStyle w:val="Heading3"/>
      </w:pPr>
      <w:bookmarkStart w:id="82" w:name="equity-owners"/>
      <w:r>
        <w:t xml:space="preserve">17.3 Equity Owners</w:t>
      </w:r>
      <w:bookmarkEnd w:id="82"/>
    </w:p>
    <w:p>
      <w:pPr>
        <w:pStyle w:val="FirstParagraph"/>
      </w:pPr>
      <w:r>
        <w:t xml:space="preserve">Annex 3 lists every equity owner of the Entity Investor, the class and percentage of equity held, and the Rule 501(a) category under which each equity owner is an accredited investor. Each equity owner that is a natural person has delivered a Back-Up Certificate in the form of Part C, and each equity owner that is an entity has delivered a certificate in the form of this Part D, and the Entity Investor has no equity owner other than those listed.</w:t>
      </w:r>
    </w:p>
    <w:p>
      <w:pPr>
        <w:pStyle w:val="Heading3"/>
      </w:pPr>
      <w:bookmarkStart w:id="83" w:name="trust-direction"/>
      <w:r>
        <w:t xml:space="preserve">17.4 Trust Direction</w:t>
      </w:r>
      <w:bookmarkEnd w:id="83"/>
    </w:p>
    <w:p>
      <w:pPr>
        <w:pStyle w:val="FirstParagraph"/>
      </w:pPr>
      <w:r>
        <w:t xml:space="preserve">[For Rule 501(a)(7).] The purchase of securities in the Offering is directed by [NAME], who has such knowledge and experience in financial and business matters that he or she is capable of evaluating the merits and risks of the prospective investment, by reason of [DESCRIPTION OF EXPERIENCE].</w:t>
      </w:r>
    </w:p>
    <w:p>
      <w:pPr>
        <w:pStyle w:val="Heading3"/>
      </w:pPr>
      <w:bookmarkStart w:id="84" w:name="family-office"/>
      <w:r>
        <w:t xml:space="preserve">17.5 Family Office</w:t>
      </w:r>
      <w:bookmarkEnd w:id="84"/>
    </w:p>
    <w:p>
      <w:pPr>
        <w:pStyle w:val="FirstParagraph"/>
      </w:pPr>
      <w:r>
        <w:t xml:space="preserve">[For Rule 501(a)(12) or (13).] The Entity Investor is a family office as defined in Rule 202(a)(11)(G)-1 under the Investment Advisers Act of 1940 [or a family client of [FAMILY OFFICE NAME], a family office meeting the requirements of Rule 501(a)(12)], the family office has assets under management in excess of $5,000,000, and the prospective investment is directed by [NAME], who has the knowledge and experience described in Rule 501(a)(12)(iii).</w:t>
      </w:r>
    </w:p>
    <w:p>
      <w:pPr>
        <w:pStyle w:val="Heading2"/>
      </w:pPr>
      <w:bookmarkStart w:id="85" w:name="general-certifications-and-signature"/>
      <w:r>
        <w:t xml:space="preserve">18 General Certifications and Signature</w:t>
      </w:r>
      <w:bookmarkEnd w:id="85"/>
    </w:p>
    <w:p>
      <w:pPr>
        <w:pStyle w:val="FirstParagraph"/>
      </w:pPr>
      <w:r>
        <w:t xml:space="preserve">Sections 14.1 through 14.5 of Part C apply to the Entity Investor, with references to the Investor read as references to the Entity Investor, and the signatory confirms that he or she is authorized to deliver this certificate on the Entity Investor's behalf and that the governing documents delivered to the Verifier are complete and in effect.</w:t>
      </w:r>
    </w:p>
    <w:p>
      <w:pPr>
        <w:pStyle w:val="BodyText"/>
      </w:pPr>
      <w:r>
        <w:t xml:space="preserve">[ENTITY INVESTOR NAME]</w:t>
      </w:r>
    </w:p>
    <w:p>
      <w:pPr>
        <w:pStyle w:val="BodyText"/>
      </w:pPr>
      <w:r>
        <w:t xml:space="preserve">By: ______________________________________</w:t>
      </w:r>
      <w:r>
        <w:t xml:space="preserve"> </w:t>
      </w:r>
      <w:r>
        <w:t xml:space="preserve">Name: [●]</w:t>
      </w:r>
      <w:r>
        <w:t xml:space="preserve"> </w:t>
      </w:r>
      <w:r>
        <w:t xml:space="preserve">Title: [●]</w:t>
      </w:r>
      <w:r>
        <w:t xml:space="preserve"> </w:t>
      </w:r>
      <w:r>
        <w:t xml:space="preserve">Date: __________________</w:t>
      </w:r>
    </w:p>
    <w:p>
      <w:pPr>
        <w:pStyle w:val="BodyText"/>
      </w:pPr>
      <w:r>
        <w:t xml:space="preserve">Annex 1 — Documents delivered</w:t>
      </w:r>
      <w:r>
        <w:t xml:space="preserve"> </w:t>
      </w:r>
      <w:r>
        <w:t xml:space="preserve">Annex 3 — Equity owner schedule (Rule 501(a)(8))</w:t>
      </w:r>
    </w:p>
    <w:p>
      <w:pPr>
        <w:pStyle w:val="Heading1"/>
      </w:pPr>
      <w:bookmarkStart w:id="86" w:name="part-e-issuer-verification-memorandum"/>
      <w:r>
        <w:t xml:space="preserve">PART E — ISSUER VERIFICATION MEMORANDUM</w:t>
      </w:r>
      <w:bookmarkEnd w:id="86"/>
    </w:p>
    <w:p>
      <w:pPr>
        <w:pStyle w:val="FirstParagraph"/>
      </w:pPr>
      <w:r>
        <w:t xml:space="preserve">[Issuer internal record — not delivered to the Investor]</w:t>
      </w:r>
    </w:p>
    <w:p>
      <w:pPr>
        <w:pStyle w:val="Heading2"/>
      </w:pPr>
      <w:bookmarkStart w:id="87" w:name="offering-and-investor"/>
      <w:r>
        <w:t xml:space="preserve">19 Offering and Investor</w:t>
      </w:r>
      <w:bookmarkEnd w:id="87"/>
    </w:p>
    <w:tbl>
      <w:tblPr>
        <w:tblStyle w:val="Table"/>
        <w:tblW w:type="pct" w:w="0.0"/>
        <w:tblLook w:firstRow="1"/>
      </w:tblPr>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Entry</w:t>
            </w:r>
          </w:p>
        </w:tc>
      </w:tr>
      <w:tr>
        <w:tc>
          <w:p>
            <w:pPr>
              <w:pStyle w:val="Compact"/>
              <w:jc w:val="left"/>
            </w:pPr>
            <w:r>
              <w:t xml:space="preserve">Issuer</w:t>
            </w:r>
          </w:p>
        </w:tc>
        <w:tc>
          <w:p>
            <w:pPr>
              <w:pStyle w:val="Compact"/>
              <w:jc w:val="left"/>
            </w:pPr>
            <w:r>
              <w:t xml:space="preserve">[●]</w:t>
            </w:r>
          </w:p>
        </w:tc>
      </w:tr>
      <w:tr>
        <w:tc>
          <w:p>
            <w:pPr>
              <w:pStyle w:val="Compact"/>
              <w:jc w:val="left"/>
            </w:pPr>
            <w:r>
              <w:t xml:space="preserve">Offering and securities</w:t>
            </w:r>
          </w:p>
        </w:tc>
        <w:tc>
          <w:p>
            <w:pPr>
              <w:pStyle w:val="Compact"/>
              <w:jc w:val="left"/>
            </w:pPr>
            <w:r>
              <w:t xml:space="preserve">[●]</w:t>
            </w:r>
          </w:p>
        </w:tc>
      </w:tr>
      <w:tr>
        <w:tc>
          <w:p>
            <w:pPr>
              <w:pStyle w:val="Compact"/>
              <w:jc w:val="left"/>
            </w:pPr>
            <w:r>
              <w:t xml:space="preserve">Date general solicitation commenced</w:t>
            </w:r>
          </w:p>
        </w:tc>
        <w:tc>
          <w:p>
            <w:pPr>
              <w:pStyle w:val="Compact"/>
              <w:jc w:val="left"/>
            </w:pPr>
            <w:r>
              <w:t xml:space="preserve">[●]</w:t>
            </w:r>
          </w:p>
        </w:tc>
      </w:tr>
      <w:tr>
        <w:tc>
          <w:p>
            <w:pPr>
              <w:pStyle w:val="Compact"/>
              <w:jc w:val="left"/>
            </w:pPr>
            <w:r>
              <w:t xml:space="preserve">Investor</w:t>
            </w:r>
          </w:p>
        </w:tc>
        <w:tc>
          <w:p>
            <w:pPr>
              <w:pStyle w:val="Compact"/>
              <w:jc w:val="left"/>
            </w:pPr>
            <w:r>
              <w:t xml:space="preserve">[●]</w:t>
            </w:r>
          </w:p>
        </w:tc>
      </w:tr>
      <w:tr>
        <w:tc>
          <w:p>
            <w:pPr>
              <w:pStyle w:val="Compact"/>
              <w:jc w:val="left"/>
            </w:pPr>
            <w:r>
              <w:t xml:space="preserve">Investor type</w:t>
            </w:r>
          </w:p>
        </w:tc>
        <w:tc>
          <w:p>
            <w:pPr>
              <w:pStyle w:val="Compact"/>
              <w:jc w:val="left"/>
            </w:pPr>
            <w:r>
              <w:t xml:space="preserve">[Natural person / entity (category)]</w:t>
            </w:r>
          </w:p>
        </w:tc>
      </w:tr>
      <w:tr>
        <w:tc>
          <w:p>
            <w:pPr>
              <w:pStyle w:val="Compact"/>
              <w:jc w:val="left"/>
            </w:pPr>
            <w:r>
              <w:t xml:space="preserve">Proposed investment amount</w:t>
            </w:r>
          </w:p>
        </w:tc>
        <w:tc>
          <w:p>
            <w:pPr>
              <w:pStyle w:val="Compact"/>
              <w:jc w:val="left"/>
            </w:pPr>
            <w:r>
              <w:t xml:space="preserve">$[●]</w:t>
            </w:r>
          </w:p>
        </w:tc>
      </w:tr>
      <w:tr>
        <w:tc>
          <w:p>
            <w:pPr>
              <w:pStyle w:val="Compact"/>
              <w:jc w:val="left"/>
            </w:pPr>
            <w:r>
              <w:t xml:space="preserve">Prepared by</w:t>
            </w:r>
          </w:p>
        </w:tc>
        <w:tc>
          <w:p>
            <w:pPr>
              <w:pStyle w:val="Compact"/>
              <w:jc w:val="left"/>
            </w:pPr>
            <w:r>
              <w:t xml:space="preserve">[NAME, TITLE] on [DATE]</w:t>
            </w:r>
          </w:p>
        </w:tc>
      </w:tr>
    </w:tbl>
    <w:p>
      <w:pPr>
        <w:spacing w:before="0" w:after="120"/>
      </w:pPr>
    </w:p>
    <w:p>
      <w:pPr>
        <w:pStyle w:val="Heading2"/>
      </w:pPr>
      <w:bookmarkStart w:id="88" w:name="verification-method-and-steps-taken"/>
      <w:r>
        <w:t xml:space="preserve">20 Verification Method and Steps Taken</w:t>
      </w:r>
      <w:bookmarkEnd w:id="88"/>
    </w:p>
    <w:p>
      <w:pPr>
        <w:pStyle w:val="Heading3"/>
      </w:pPr>
      <w:bookmarkStart w:id="89" w:name="method"/>
      <w:r>
        <w:t xml:space="preserve">20.1 Method</w:t>
      </w:r>
      <w:bookmarkEnd w:id="89"/>
    </w:p>
    <w:p>
      <w:pPr>
        <w:pStyle w:val="FirstParagraph"/>
      </w:pPr>
      <w:r>
        <w:t xml:space="preserve">The Issuer verified the Investor's accredited investor status by (check one):</w:t>
      </w:r>
    </w:p>
    <w:p>
      <w:pPr>
        <w:pStyle w:val="BodyText"/>
      </w:pPr>
      <w:r>
        <w:t xml:space="preserve">[ ]</w:t>
      </w:r>
      <w:r>
        <w:t xml:space="preserve"> </w:t>
      </w:r>
      <w:r>
        <w:rPr>
          <w:b/>
        </w:rPr>
        <w:t xml:space="preserve">Written confirmation, Rule 506(c)(2)(ii)(C).</w:t>
      </w:r>
      <w:r>
        <w:t xml:space="preserve"> </w:t>
      </w:r>
      <w:r>
        <w:t xml:space="preserve">The Issuer obtained the Verification Letter in Part A or Part B dated [DATE] from [VERIFIER], whose category and good standing the Issuer confirmed through [PUBLIC RECORD] on [DATE].</w:t>
      </w:r>
    </w:p>
    <w:p>
      <w:pPr>
        <w:pStyle w:val="BodyText"/>
      </w:pPr>
      <w:r>
        <w:t xml:space="preserve">[ ]</w:t>
      </w:r>
      <w:r>
        <w:t xml:space="preserve"> </w:t>
      </w:r>
      <w:r>
        <w:rPr>
          <w:b/>
        </w:rPr>
        <w:t xml:space="preserve">Income review, Rule 506(c)(2)(ii)(A).</w:t>
      </w:r>
      <w:r>
        <w:t xml:space="preserve"> </w:t>
      </w:r>
      <w:r>
        <w:t xml:space="preserve">The Issuer reviewed IRS forms reporting the Investor's income for [YEAR] and [YEAR] and obtained the written representation in Section 11.2.</w:t>
      </w:r>
    </w:p>
    <w:p>
      <w:pPr>
        <w:pStyle w:val="BodyText"/>
      </w:pPr>
      <w:r>
        <w:t xml:space="preserve">[ ]</w:t>
      </w:r>
      <w:r>
        <w:t xml:space="preserve"> </w:t>
      </w:r>
      <w:r>
        <w:rPr>
          <w:b/>
        </w:rPr>
        <w:t xml:space="preserve">Net worth review, Rule 506(c)(2)(ii)(B).</w:t>
      </w:r>
      <w:r>
        <w:t xml:space="preserve"> </w:t>
      </w:r>
      <w:r>
        <w:t xml:space="preserve">The Issuer reviewed the asset documents dated [DATES] and a consumer report dated [DATE] and obtained the written representation in Section 10.4.</w:t>
      </w:r>
    </w:p>
    <w:p>
      <w:pPr>
        <w:pStyle w:val="BodyText"/>
      </w:pPr>
      <w:r>
        <w:t xml:space="preserve">[ ]</w:t>
      </w:r>
      <w:r>
        <w:t xml:space="preserve"> </w:t>
      </w:r>
      <w:r>
        <w:rPr>
          <w:b/>
        </w:rPr>
        <w:t xml:space="preserve">Pre-2013 holder certification, Rule 506(c)(2)(ii)(D).</w:t>
      </w:r>
      <w:r>
        <w:t xml:space="preserve"> </w:t>
      </w:r>
      <w:r>
        <w:t xml:space="preserve">The Investor purchased securities of the Issuer as an accredited investor in a Rule 506(b) offering before September 23, 2013, continues to hold them, and certified at the time of sale that he or she is an accredited investor.</w:t>
      </w:r>
    </w:p>
    <w:p>
      <w:pPr>
        <w:pStyle w:val="BodyText"/>
      </w:pPr>
      <w:r>
        <w:t xml:space="preserve">[ ]</w:t>
      </w:r>
      <w:r>
        <w:t xml:space="preserve"> </w:t>
      </w:r>
      <w:r>
        <w:rPr>
          <w:b/>
        </w:rPr>
        <w:t xml:space="preserve">Prior verification, Rule 506(c)(2)(ii)(E).</w:t>
      </w:r>
      <w:r>
        <w:t xml:space="preserve"> </w:t>
      </w:r>
      <w:r>
        <w:t xml:space="preserve">The Issuer previously verified the Investor on [DATE] by [METHOD], that date is within the five years preceding the sale, the Issuer is not aware of information to the contrary, and the Investor delivered the representation in Schedule 4 at the time of sale.</w:t>
      </w:r>
    </w:p>
    <w:p>
      <w:pPr>
        <w:pStyle w:val="BodyText"/>
      </w:pPr>
      <w:r>
        <w:t xml:space="preserve">[ ]</w:t>
      </w:r>
      <w:r>
        <w:t xml:space="preserve"> </w:t>
      </w:r>
      <w:r>
        <w:rPr>
          <w:b/>
        </w:rPr>
        <w:t xml:space="preserve">High minimum investment, principles-based.</w:t>
      </w:r>
      <w:r>
        <w:t xml:space="preserve"> </w:t>
      </w:r>
      <w:r>
        <w:t xml:space="preserve">The Offering's terms require the minimum investment and the Issuer obtained the representations described in Schedule 3.</w:t>
      </w:r>
    </w:p>
    <w:p>
      <w:pPr>
        <w:pStyle w:val="BodyText"/>
      </w:pPr>
      <w:r>
        <w:t xml:space="preserve">[ ]</w:t>
      </w:r>
      <w:r>
        <w:t xml:space="preserve"> </w:t>
      </w:r>
      <w:r>
        <w:rPr>
          <w:b/>
        </w:rPr>
        <w:t xml:space="preserve">Other principles-based determination.</w:t>
      </w:r>
      <w:r>
        <w:t xml:space="preserve"> </w:t>
      </w:r>
      <w:r>
        <w:t xml:space="preserve">Describe the steps and the reasoning in Section 20.3.</w:t>
      </w:r>
    </w:p>
    <w:p>
      <w:pPr>
        <w:pStyle w:val="Heading3"/>
      </w:pPr>
      <w:bookmarkStart w:id="90" w:name="knowledge-check"/>
      <w:r>
        <w:t xml:space="preserve">20.2 Knowledge Check</w:t>
      </w:r>
      <w:bookmarkEnd w:id="90"/>
    </w:p>
    <w:p>
      <w:pPr>
        <w:pStyle w:val="FirstParagraph"/>
      </w:pPr>
      <w:r>
        <w:t xml:space="preserve">The Issuer, including each person acting on its behalf in the Offering, has no knowledge that the Investor is not an accredited investor and no knowledge of any fact that calls the Investor's status into question. Facts considered: [MANNER OF SOLICITATION / RELATIONSHIP WITH THE INVESTOR / INFORMATION IN THE SUBSCRIPTION AGREEMENT / ANY INCONSISTENCY BETWEEN DOCUMENTS].</w:t>
      </w:r>
    </w:p>
    <w:p>
      <w:pPr>
        <w:pStyle w:val="Heading3"/>
      </w:pPr>
      <w:bookmarkStart w:id="91" w:name="reasoning-principles-based-methods"/>
      <w:r>
        <w:t xml:space="preserve">20.3 Reasoning (principles-based methods)</w:t>
      </w:r>
      <w:bookmarkEnd w:id="91"/>
    </w:p>
    <w:p>
      <w:pPr>
        <w:pStyle w:val="FirstParagraph"/>
      </w:pPr>
      <w:r>
        <w:t xml:space="preserve">[For any method other than (c)(2)(ii)(A) through (E): state the nature of the Investor and the category claimed, the amount and type of information the Issuer holds, the manner in which the Investor was solicited, the terms of the Offering including any minimum investment, and why the steps taken were reasonable in light of those factors.]</w:t>
      </w:r>
    </w:p>
    <w:p>
      <w:pPr>
        <w:pStyle w:val="Heading3"/>
      </w:pPr>
      <w:bookmarkStart w:id="92" w:name="conclusion-and-retention"/>
      <w:r>
        <w:t xml:space="preserve">20.4 Conclusion and Retention</w:t>
      </w:r>
      <w:bookmarkEnd w:id="92"/>
    </w:p>
    <w:p>
      <w:pPr>
        <w:pStyle w:val="FirstParagraph"/>
      </w:pPr>
      <w:r>
        <w:t xml:space="preserve">The Issuer concludes that it has taken reasonable steps to verify that the Investor is an accredited investor. The documents supporting this memorandum are held at [LOCATION] and will be retained for not less than [●] years after the final sale in the Offering.</w:t>
      </w:r>
    </w:p>
    <w:p>
      <w:pPr>
        <w:pStyle w:val="BodyText"/>
      </w:pPr>
      <w:r>
        <w:t xml:space="preserve">Approved: ______________________________________ [NAME, TITLE] Date: __________________</w:t>
      </w:r>
    </w:p>
    <w:p>
      <w:pPr>
        <w:pStyle w:val="DraftingNote"/>
      </w:pPr>
      <w:r>
        <w:rPr>
          <w:b/>
        </w:rPr>
        <w:t xml:space="preserve">Drafting note.</w:t>
      </w:r>
      <w:r>
        <w:t xml:space="preserve"> </w:t>
      </w:r>
      <w:r>
        <w:t xml:space="preserve">The verification requirement is the issuer's, and the Commission has described the determination as an objective one made in light of the particular facts and circumstances of each purchaser and transaction (Securities Act Release No. 9415, July 10, 2013). The memorandum exists so that the issuer can show, years later, what it knew, what it did and why that was reasonable. Self-certification by an investor checking a box, without more, has been identified by the Commission as insufficient on its own. Issuers that use placement agents or online platforms should obtain the platform's verification record rather than rely on a statement that verification "was performed."</w:t>
      </w:r>
    </w:p>
    <w:p>
      <w:pPr>
        <w:pStyle w:val="Heading1"/>
      </w:pPr>
      <w:bookmarkStart w:id="93" w:name="X3ab3e06d15bcc03d9a76cdd6f45331f0450c402"/>
      <w:r>
        <w:t xml:space="preserve">PART F — VERIFIER ENGAGEMENT AND RELIANCE TERMS</w:t>
      </w:r>
      <w:bookmarkEnd w:id="93"/>
    </w:p>
    <w:p>
      <w:pPr>
        <w:pStyle w:val="Heading2"/>
      </w:pPr>
      <w:bookmarkStart w:id="94" w:name="engagement"/>
      <w:r>
        <w:t xml:space="preserve">21 Engagement</w:t>
      </w:r>
      <w:bookmarkEnd w:id="94"/>
    </w:p>
    <w:p>
      <w:pPr>
        <w:pStyle w:val="Heading3"/>
      </w:pPr>
      <w:bookmarkStart w:id="95" w:name="scope"/>
      <w:r>
        <w:t xml:space="preserve">21.1 Scope</w:t>
      </w:r>
      <w:bookmarkEnd w:id="95"/>
    </w:p>
    <w:p>
      <w:pPr>
        <w:pStyle w:val="FirstParagraph"/>
      </w:pPr>
      <w:r>
        <w:t xml:space="preserve">[VERIFIER] is engaged by [INVESTOR / ISSUER] solely to review the Supporting Documents and the Back-Up Certificate and, if the Verifier so determines, to deliver the Verification Letter. The engagement does not include advice on the Offering, the securities, the Investor's suitability or the Issuer's compliance, and does not create an attorney-client, adviser-client or accountant-client relationship with any person other than the engaging party.</w:t>
      </w:r>
    </w:p>
    <w:p>
      <w:pPr>
        <w:pStyle w:val="Heading3"/>
      </w:pPr>
      <w:bookmarkStart w:id="96" w:name="fee"/>
      <w:r>
        <w:t xml:space="preserve">21.2 Fee</w:t>
      </w:r>
      <w:bookmarkEnd w:id="96"/>
    </w:p>
    <w:p>
      <w:pPr>
        <w:pStyle w:val="FirstParagraph"/>
      </w:pPr>
      <w:r>
        <w:t xml:space="preserve">The fee for the engagement is $[●], payable by [INVESTOR / ISSUER] on delivery of the Verification Letter or on notice that the Verifier is unable to make the determination, whichever first occurs.</w:t>
      </w:r>
    </w:p>
    <w:p>
      <w:pPr>
        <w:pStyle w:val="Heading3"/>
      </w:pPr>
      <w:bookmarkStart w:id="97" w:name="inability-to-confirm"/>
      <w:r>
        <w:t xml:space="preserve">21.3 Inability to Confirm</w:t>
      </w:r>
      <w:bookmarkEnd w:id="97"/>
    </w:p>
    <w:p>
      <w:pPr>
        <w:pStyle w:val="FirstParagraph"/>
      </w:pPr>
      <w:r>
        <w:t xml:space="preserve">If the Supporting Documents do not support the determination, the Verifier will notify the engaging party and will not deliver the Verification Letter. The Verifier has no obligation to state the reason to the Issuer.</w:t>
      </w:r>
    </w:p>
    <w:p>
      <w:pPr>
        <w:pStyle w:val="Heading3"/>
      </w:pPr>
      <w:bookmarkStart w:id="98" w:name="data-handling-and-retention"/>
      <w:r>
        <w:t xml:space="preserve">21.4 Data Handling and Retention</w:t>
      </w:r>
      <w:bookmarkEnd w:id="98"/>
    </w:p>
    <w:p>
      <w:pPr>
        <w:pStyle w:val="FirstParagraph"/>
      </w:pPr>
      <w:r>
        <w:t xml:space="preserve">The Verifier will hold the Supporting Documents and the Back-Up Certificate in confidence, will use them only for the engagement, will retain them for [●] years, and will then destroy them unless required by law or professional rules to retain them longer. The Verifier will deliver to the Issuer only the Verification Letter and, if the Issuer requests it, the Back-Up Certificate; the Verifier will not deliver account statements, tax forms or consumer reports to the Issuer unless the Investor directs otherwise in writing.</w:t>
      </w:r>
    </w:p>
    <w:p>
      <w:pPr>
        <w:pStyle w:val="Heading3"/>
      </w:pPr>
      <w:bookmarkStart w:id="99" w:name="limitation"/>
      <w:r>
        <w:t xml:space="preserve">21.5 Limitation</w:t>
      </w:r>
      <w:bookmarkEnd w:id="99"/>
    </w:p>
    <w:p>
      <w:pPr>
        <w:pStyle w:val="FirstParagraph"/>
      </w:pPr>
      <w:r>
        <w:t xml:space="preserve">The Verifier's aggregate liability arising from the engagement is limited to the fee paid, except for liability that cannot be limited by law.</w:t>
      </w:r>
    </w:p>
    <w:p>
      <w:pPr>
        <w:pStyle w:val="DraftingNote"/>
      </w:pPr>
      <w:r>
        <w:rPr>
          <w:b/>
        </w:rPr>
        <w:t xml:space="preserve">Drafting note.</w:t>
      </w:r>
      <w:r>
        <w:t xml:space="preserve"> </w:t>
      </w:r>
      <w:r>
        <w:t xml:space="preserve">Issuers often want copies of the underlying documents. The better structure, and the one most investors prefer, is for the verifier to hold the documents and deliver only the letter and the certificate; the issuer still satisfies the written-confirmation method, and it avoids holding tax returns and account statements it does not need. Where the issuer performs verification itself under methods (A) or (B), it must hold the documents and should adopt a written data-handling and retention practice. A limitation of liability may be restricted by the verifier's professional rules, and attorney verifiers should confirm that the engagement letter satisfies the rules of professional conduct in the jurisdiction of admission.</w:t>
      </w:r>
    </w:p>
    <w:p>
      <w:pPr>
        <w:pStyle w:val="Heading1"/>
      </w:pPr>
      <w:bookmarkStart w:id="100" w:name="X9a9cba8c9e7e6ddceed00de2c591dce88d81ae7"/>
      <w:r>
        <w:t xml:space="preserve">SCHEDULE 1 — SUPPORTING DOCUMENTS CHECKLIST</w:t>
      </w:r>
      <w:bookmarkEnd w:id="100"/>
    </w:p>
    <w:tbl>
      <w:tblPr>
        <w:tblStyle w:val="TableGrid"/>
        <w:tblW w:type="dxa" w:w="9360"/>
        <w:jc w:val="center"/>
        <w:tblLayout w:type="fixed"/>
        <w:tblLook w:firstColumn="1" w:firstRow="1" w:lastColumn="0" w:lastRow="0" w:noHBand="0" w:noVBand="1" w:val="04A0"/>
      </w:tblPr>
      <w:tblGrid>
        <w:gridCol w:w="2340"/>
        <w:gridCol w:w="2340"/>
        <w:gridCol w:w="2340"/>
        <w:gridCol w:w="2340"/>
      </w:tblGrid>
      <w:tr>
        <w:trPr>
          <w:cantSplit/>
          <w:tblHeader/>
        </w:trPr>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Category</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Documents</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Dating requirement</w:t>
            </w:r>
          </w:p>
        </w:tc>
        <w:tc>
          <w:tcPr>
            <w:tcW w:type="dxa" w:w="234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Notes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Income, Rule 501(a)(6)</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Any IRS form reporting income for each of the two most recent years: Form W-2, Form 1099, Schedule K-1 to Form 1065, Form 1040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Two most recent years for which returns have been filed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 joint income, forms and representations from both persons; see Section 11.4 if the most recent year is not yet filed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worth, Rule 501(a)(5), assets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Bank statements, brokerage statements and other statements of securities holdings, certificates of deposit, tax assessments, appraisal reports issued by independent third parties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Dated within the three months before the Review Date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Exclude the primary residence; see Schedule 2</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worth, Rule 501(a)(5), liabilities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Consumer report from at least one nationwide consumer reporting agency</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Dated within the three months before the Review Date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Plus the written representation that all liabilities are disclosed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Professional certification, Rule 501(a)(10)</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Public database confirmation of the designated credential in good standing</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Confirmed on the Review Date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List of designated credentials maintained on the Commission's website</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Knowledgeable employee, Rule 501(a)(11)</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Issuer's written confirmation of the Investor's role and of the Issuer's reliance on Section 3(c)(1) or 3(c)(7)</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Current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Applies only where the Issuer is a private fund</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Entity, total assets or investments</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Audited or reviewed financial statements, balance sheet certified by a financial officer, account statements, tax return</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Most recent available; account statements within three months preferred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Purchasing entity's own assets, not a parent's</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Entity, formation and purpose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Certificate of formation or incorporation, governing agreement, consents or officer certificate describing business conducted</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Current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Tests the "not formed for the specific purpose" condition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Entity, Rule 501(a)(8)</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Ownership schedule (Annex 3) and a Part C or Part D certificate for every equity owner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As above for each owner</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Look through to the end of the ownership chain</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Trust, Rule 501(a)(7)</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Trust instrument, statement of assets, description of the person directing the purchase</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Current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Revocable trusts are usually analyzed through the grantor</w:t>
            </w:r>
          </w:p>
        </w:tc>
      </w:tr>
      <w:tr>
        <w:trPr>
          <w:cantSplit/>
        </w:trPr>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Family office, Rule 501(a)(12) and (13)</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Family office governing documents, statement of assets under management, identification of the person directing the investment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Current</w:t>
            </w:r>
          </w:p>
        </w:tc>
        <w:tc>
          <w:tcPr>
            <w:tcW w:type="dxa" w:w="234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Family client must be directed by the family office</w:t>
            </w:r>
          </w:p>
        </w:tc>
      </w:tr>
    </w:tbl>
    <w:p>
      <w:pPr>
        <w:spacing w:before="0" w:after="120"/>
      </w:pPr>
    </w:p>
    <w:p>
      <w:pPr>
        <w:pStyle w:val="Heading1"/>
      </w:pPr>
      <w:bookmarkStart w:id="101" w:name="schedule-2-net-worth-worksheet"/>
      <w:r>
        <w:t xml:space="preserve">SCHEDULE 2 — NET WORTH WORKSHEET</w:t>
      </w:r>
      <w:bookmarkEnd w:id="101"/>
    </w:p>
    <w:tbl>
      <w:tblPr>
        <w:tblStyle w:val="TableGrid"/>
        <w:tblW w:type="dxa" w:w="9360"/>
        <w:jc w:val="center"/>
        <w:tblLayout w:type="fixed"/>
        <w:tblLook w:firstColumn="1" w:firstRow="1" w:lastColumn="0" w:lastRow="0" w:noHBand="0" w:noVBand="1" w:val="04A0"/>
      </w:tblPr>
      <w:tblGrid>
        <w:gridCol w:w="1872"/>
        <w:gridCol w:w="1872"/>
        <w:gridCol w:w="1872"/>
        <w:gridCol w:w="1872"/>
        <w:gridCol w:w="1872"/>
      </w:tblGrid>
      <w:tr>
        <w:trPr>
          <w:cantSplit/>
          <w:tblHeader/>
        </w:trPr>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Line</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Item</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Investor</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Spouse or spousal equivalent</w:t>
            </w:r>
          </w:p>
        </w:tc>
        <w:tc>
          <w:tcPr>
            <w:tcW w:type="dxa" w:w="187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Joint total</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Cash and deposits (statements within three months)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2</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Marketable securities and brokerage accounts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3</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Retirement accounts, at statement value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4</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Private company and fund interests, at documented value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5</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Real estate other than the primary residence, at assessed or appraised value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6</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Other assets, with the document supporting the value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7</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b/>
                <w:bCs/>
                <w:sz w:val="17"/>
                <w:szCs w:val="17"/>
              </w:rPr>
              <w:t xml:space="preserve">Total assets (lines 1 to 6), excluding the primary residence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8</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Mortgage and other debt secured by the primary residence, only to the extent it exceeds the residence's estimated fair market value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9</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Increase in residence-secured debt within the prior sixty days, other than to acquire the residence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10</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Other real estate debt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11</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Margin and securities-backed loans</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12</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Personal, student, auto and consumer debt per consumer report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13</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Guarantees and contingent liabilities reasonably expected to be called</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14</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Taxes due and other liabilities not on the consumer report</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15</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b/>
                <w:bCs/>
                <w:sz w:val="17"/>
                <w:szCs w:val="17"/>
              </w:rPr>
              <w:t xml:space="preserve">Total liabilities (lines 8 to 14)</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r>
        <w:trPr>
          <w:cantSplit/>
        </w:trPr>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16</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b/>
                <w:bCs/>
                <w:sz w:val="17"/>
                <w:szCs w:val="17"/>
              </w:rPr>
              <w:t xml:space="preserve">Net worth (line 7 less line 15)</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c>
          <w:tcPr>
            <w:tcW w:type="dxa" w:w="187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t>
            </w:r>
          </w:p>
        </w:tc>
      </w:tr>
    </w:tbl>
    <w:p>
      <w:pPr>
        <w:spacing w:before="0" w:after="120"/>
      </w:pPr>
    </w:p>
    <w:p>
      <w:pPr>
        <w:pStyle w:val="BodyText"/>
      </w:pPr>
      <w:r>
        <w:t xml:space="preserve">Estimated fair market value of the primary residence: $[●]. Total debt secured by the primary residence: $[●]. Basis for the value estimate: [●].</w:t>
      </w:r>
    </w:p>
    <w:p>
      <w:pPr>
        <w:pStyle w:val="DraftingNote"/>
      </w:pPr>
      <w:r>
        <w:rPr>
          <w:b/>
        </w:rPr>
        <w:t xml:space="preserve">Drafting note.</w:t>
      </w:r>
      <w:r>
        <w:t xml:space="preserve"> </w:t>
      </w:r>
      <w:r>
        <w:t xml:space="preserve">Rule 501(a)(5) excludes the primary residence as an asset and excludes residence-secured debt as a liability up to the residence's fair market value, with two exceptions that lines 8 and 9 implement: debt above the value counts as a liability, and any increase in residence-secured debt in the sixty days before the sale, other than to buy the residence, counts as a liability. The sixty-day rule exists to stop an investor from borrowing against the home to fund the investment and then excluding the loan. Line 13 is not required by the rule but a verifier who ignores a personal guarantee that is about to be called is not taking reasonable steps.</w:t>
      </w:r>
    </w:p>
    <w:p>
      <w:pPr>
        <w:pStyle w:val="Heading1"/>
      </w:pPr>
      <w:bookmarkStart w:id="102" w:name="X93e252b4e4adf53e2247ecf123005fdefc9979a"/>
      <w:r>
        <w:t xml:space="preserve">SCHEDULE 3 — HIGH MINIMUM INVESTMENT ALTERNATIVE (ISSUER-SIDE)</w:t>
      </w:r>
      <w:bookmarkEnd w:id="102"/>
    </w:p>
    <w:p>
      <w:pPr>
        <w:pStyle w:val="Heading2"/>
      </w:pPr>
      <w:bookmarkStart w:id="103" w:name="basis"/>
      <w:r>
        <w:t xml:space="preserve">22 Basis</w:t>
      </w:r>
      <w:bookmarkEnd w:id="103"/>
    </w:p>
    <w:p>
      <w:pPr>
        <w:pStyle w:val="FirstParagraph"/>
      </w:pPr>
      <w:r>
        <w:t xml:space="preserve">In a staff letter dated March 12, 2025, the Division of Corporation Finance agreed that an issuer could reasonably conclude it had taken reasonable steps to verify accredited investor status where the offering required a high minimum investment, the purchaser gave specified written representations, and the issuer had no actual knowledge of contrary facts. The letter rested on the representations in the request, which described minimum investment amounts of at least $200,000 for natural persons and at least $1,000,000 for legal entities, including amounts committed under a binding obligation to invest in installments as called. The staff described the letter as reflecting staff views rather than a Commission rule, and stated that different facts or conditions might lead to a different conclusion. Related staff interpretations issued the same day (Securities Act Rules Compliance and Disclosure Interpretations 256.35 and 256.36) restate the principles-based standard and the relevance of a high minimum investment.</w:t>
      </w:r>
    </w:p>
    <w:p>
      <w:pPr>
        <w:pStyle w:val="Heading2"/>
      </w:pPr>
      <w:bookmarkStart w:id="104" w:name="conditions-to-document"/>
      <w:r>
        <w:t xml:space="preserve">23 Conditions to Document</w:t>
      </w:r>
      <w:bookmarkEnd w:id="104"/>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Condition</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Where documented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Minimum investment of at least $200,000 for a natural person or at least $1,000,000 for an entity, as a cash investment or a binding commitment to invest that amount in installments as called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Subscription agreement and the Offering terms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 representation that the purchaser is an accredited investor under Rule 501(a)(5) or (a)(6) (natural person) or Rule 501(a)(3), (7), (8), (9) or (12) (entity)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Subscription agreement, Section 24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 representation that the minimum investment amount is not financed in whole or in part by any third party for the specific purpose of making the particular investment in the Issuer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Subscription agreement, Section 24</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For an entity relying on Rule 501(a)(8), the same representations for each equity owner, and each owner's minimum investment obligation to the entity of at least $200,000 (natural person) or $1,000,000 (entity)</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Subscription agreement and Annex 3</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Issuer has no actual knowledge of facts indicating that the purchaser is not an accredited investor or that the minimum investment is third-party financed for the purpose of the investment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Part E, Section 20.2</w:t>
            </w:r>
          </w:p>
        </w:tc>
      </w:tr>
    </w:tbl>
    <w:p>
      <w:pPr>
        <w:spacing w:before="0" w:after="120"/>
      </w:pPr>
    </w:p>
    <w:p>
      <w:pPr>
        <w:pStyle w:val="Heading2"/>
      </w:pPr>
      <w:bookmarkStart w:id="105" w:name="form-of-purchaser-representations"/>
      <w:r>
        <w:t xml:space="preserve">24 Form of Purchaser Representations</w:t>
      </w:r>
      <w:bookmarkEnd w:id="105"/>
    </w:p>
    <w:p>
      <w:pPr>
        <w:pStyle w:val="FirstParagraph"/>
      </w:pPr>
      <w:r>
        <w:t xml:space="preserve">The Purchaser represents and warrants to the Issuer that (a) the Purchaser is an accredited investor as defined in [Rule 501(a)(5) or Rule 501(a)(6)] [Rule 501(a)(3), (7), (8), (9) or (12)] under the Securities Act, and has indicated the applicable category in the Purchaser's subscription materials; (b) the Purchaser's investment in the Offering is at least $[200,000 / 1,000,000], [paid in full at closing / payable under a binding commitment to invest that amount in one or more installments as called by the Issuer]; (c) no part of the Purchaser's minimum investment amount is financed, in whole or in part, by any third party for the specific purpose of making the Purchaser's investment in the Issuer; [and (d) for an entity relying on Rule 501(a)(8), each of the Purchaser's equity owners is an accredited investor and has made the representations in clauses (a) and (c) with respect to that owner's minimum investment obligation to the Purchaser]. The Purchaser will notify the Issuer immediately if any of these representations ceases to be true before closing.</w:t>
      </w:r>
    </w:p>
    <w:p>
      <w:pPr>
        <w:pStyle w:val="DraftingNote"/>
      </w:pPr>
      <w:r>
        <w:rPr>
          <w:b/>
        </w:rPr>
        <w:t xml:space="preserve">Drafting note.</w:t>
      </w:r>
      <w:r>
        <w:t xml:space="preserve"> </w:t>
      </w:r>
      <w:r>
        <w:t xml:space="preserve">The staff letter is useful for institutional and high-net-worth offerings where document collection is impractical, but it is a staff position, not a safe harbor in the rule, and it does not displace the issuer's obligation to have no actual knowledge of contrary facts. The request letter described financing carve-outs for general-purpose credit facilities and pre-existing commitments; an issuer that wants to rely on those carve-outs should read the request letter and record its reasoning in Part E. For offerings below the thresholds, or where the issuer has any reason to doubt the purchaser's status, use Part A or the issuer-review methods. Issuers should also remember that a high minimum does not help with purchasers who qualify under the professional-certification or knowledgeable-employee categories, which the staff letter did not address.</w:t>
      </w:r>
    </w:p>
    <w:p>
      <w:pPr>
        <w:pStyle w:val="Heading1"/>
      </w:pPr>
      <w:bookmarkStart w:id="106" w:name="X0ba256e3ac595567266bbae0e2924af7070cb3b"/>
      <w:r>
        <w:t xml:space="preserve">SCHEDULE 4 — RE-VERIFICATION CERTIFICATE (PRIOR VERIFICATION)</w:t>
      </w:r>
      <w:bookmarkEnd w:id="106"/>
    </w:p>
    <w:p>
      <w:pPr>
        <w:pStyle w:val="Heading2"/>
      </w:pPr>
      <w:bookmarkStart w:id="107" w:name="representation-at-time-of-sale"/>
      <w:r>
        <w:t xml:space="preserve">25 Representation at Time of Sale</w:t>
      </w:r>
      <w:bookmarkEnd w:id="107"/>
    </w:p>
    <w:p>
      <w:pPr>
        <w:pStyle w:val="FirstParagraph"/>
      </w:pPr>
      <w:r>
        <w:t xml:space="preserve">The undersigned (the</w:t>
      </w:r>
      <w:r>
        <w:t xml:space="preserve"> </w:t>
      </w:r>
      <w:r>
        <w:rPr>
          <w:b/>
        </w:rPr>
        <w:t xml:space="preserve">Investor</w:t>
      </w:r>
      <w:r>
        <w:t xml:space="preserve">) represents to [ISSUER LEGAL NAME] (the</w:t>
      </w:r>
      <w:r>
        <w:t xml:space="preserve"> </w:t>
      </w:r>
      <w:r>
        <w:rPr>
          <w:b/>
        </w:rPr>
        <w:t xml:space="preserve">Issuer</w:t>
      </w:r>
      <w:r>
        <w:t xml:space="preserve">) that (a) the Issuer previously took reasonable steps to verify that the Investor is an accredited investor on or about [DATE OF PRIOR VERIFICATION] in connection with [PRIOR OFFERING]; (b) that date is within the five years preceding the date of this certificate; (c) the Investor is, on the date of this certificate, an accredited investor as defined in Rule 501(a) under the category [●]; and (d) the Investor is not aware of any fact that would cause the Investor not to qualify under that category.</w:t>
      </w:r>
    </w:p>
    <w:p>
      <w:r>
        <w:pict>
          <v:rect style="width:0;height:1.5pt" o:hralign="center" o:hrstd="t" o:hr="t"/>
        </w:pict>
      </w:r>
    </w:p>
    <w:p>
      <w:pPr>
        <w:pStyle w:val="FirstParagraph"/>
      </w:pPr>
      <w:r>
        <w:t xml:space="preserve">[INVESTOR NAME]</w:t>
      </w:r>
      <w:r>
        <w:t xml:space="preserve"> </w:t>
      </w:r>
      <w:r>
        <w:t xml:space="preserve">Date: __________________</w:t>
      </w:r>
    </w:p>
    <w:p>
      <w:pPr>
        <w:pStyle w:val="Heading2"/>
      </w:pPr>
      <w:bookmarkStart w:id="108" w:name="pre-2013-holder-certification"/>
      <w:r>
        <w:t xml:space="preserve">26 Pre-2013 Holder Certification</w:t>
      </w:r>
      <w:bookmarkEnd w:id="108"/>
    </w:p>
    <w:p>
      <w:pPr>
        <w:pStyle w:val="FirstParagraph"/>
      </w:pPr>
      <w:r>
        <w:t xml:space="preserve">[Use only where the Investor purchased securities of the Issuer as an accredited investor in a Rule 506(b) offering before September 23, 2013 and continues to hold them.] The Investor certifies that the Investor purchased [SECURITIES] of the Issuer as an accredited investor in an offering under Rule 506(b) completed on [DATE BEFORE SEPTEMBER 23, 2013], continues to hold those securities, and is an accredited investor on the date of this certificate.</w:t>
      </w:r>
    </w:p>
    <w:p>
      <w:pPr>
        <w:pStyle w:val="DraftingNote"/>
      </w:pPr>
      <w:r>
        <w:rPr>
          <w:b/>
        </w:rPr>
        <w:t xml:space="preserve">Drafting note.</w:t>
      </w:r>
      <w:r>
        <w:t xml:space="preserve"> </w:t>
      </w:r>
      <w:r>
        <w:t xml:space="preserve">Rule 506(c)(2)(ii)(E) allows an issuer that previously verified a person to accept a written representation at the time of sale for five years from the prior verification, so long as the issuer is not aware of contrary information. The prior verification must have been performed in accordance with Rule 506(c)(2)(ii); verification performed by another issuer, or by a platform for a different issuer, does not qualify unless the issuer can rely on it under the principles-based standard with its own reasoning recorded. Rule 506(c)(2)(ii)(D) is a narrower grandfather for holders who bought from the same issuer under Rule 506(b) before the 2013 effective date.</w:t>
      </w:r>
    </w:p>
    <w:p>
      <w:pPr>
        <w:pStyle w:val="Heading1"/>
      </w:pPr>
      <w:bookmarkStart w:id="109" w:name="X281f9e43c96e226fad60a35c93c0e2b78f209f9"/>
      <w:r>
        <w:t xml:space="preserve">SCHEDULE 5 — NON-U.S. INVESTORS AND SPECIAL SITUATIONS</w:t>
      </w:r>
      <w:bookmarkEnd w:id="109"/>
    </w:p>
    <w:tbl>
      <w:tblPr>
        <w:tblStyle w:val="TableGrid"/>
        <w:tblW w:type="dxa" w:w="9360"/>
        <w:jc w:val="center"/>
        <w:tblLayout w:type="fixed"/>
        <w:tblLook w:firstColumn="1" w:firstRow="1" w:lastColumn="0" w:lastRow="0" w:noHBand="0" w:noVBand="1" w:val="04A0"/>
      </w:tblPr>
      <w:tblGrid>
        <w:gridCol w:w="2246"/>
        <w:gridCol w:w="5054"/>
        <w:gridCol w:w="2060"/>
      </w:tblGrid>
      <w:tr>
        <w:trPr>
          <w:cantSplit/>
          <w:tblHeader/>
        </w:trPr>
        <w:tc>
          <w:tcPr>
            <w:tcW w:type="dxa" w:w="2246"/>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Situation</w:t>
            </w:r>
          </w:p>
        </w:tc>
        <w:tc>
          <w:tcPr>
            <w:tcW w:type="dxa" w:w="5054"/>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Treatment under this package</w:t>
            </w:r>
          </w:p>
        </w:tc>
        <w:tc>
          <w:tcPr>
            <w:tcW w:type="dxa" w:w="2060"/>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Notes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 files no United States federal income tax return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income safe harbor in Rule 506(c)(2)(ii)(A) is unavailable; the Verifier may make a principles-based determination from tax filings in a jurisdiction that imposes penalties for false reporting comparable to those under United States law, together with the Part C representations, and should record the reasoning in Part 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Commission staff interpretation 260.36 (July 3, 2014) addresses this approach; confirm its current text</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Net worth held in non-U.S. accounts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net worth safe harbor remains available if the asset statements are dated within three months and a consumer report is obtained; where no nationwide consumer reporting agency reports on the investor, the Verifier should obtain a comparable credit report and the Section 10.4 representation and proceed on a principles-based basis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Translate currency at the rate on the statement date and record the source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Joint income or net worth with a spousal equivalent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Both persons sign Part C, both supply documents, and the Verification Letter extends to the joint calculation</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Spousal equivalent means a cohabitant occupying a relationship generally equivalent to that of a spouse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Most recent tax year not yet filed</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Section 11.4 of Part C</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Treat a narrow margin over the threshold as a reason for additional steps</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Self-directed retirement account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Analyze with counsel by reference to the natural person who directs the account and the custodian's documentation; obtain Part C from the individual and the custodian's confirmation of the account structure</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Document the reasoning in Part 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Revocable trust</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Treat the grantor as the equity owner and verify the grantor under Part C; confirm revocability from the trust instrument</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Part D, Section 17.3</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Entity formed within the prior twelve months</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Presume it may have been formed for the specific purpose of the investment; require Part D, Section 16.2 detail and, if the presumption is not rebutted, verify under Rule 501(a)(8)</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Record the conclusion in Part E</w:t>
            </w:r>
          </w:p>
        </w:tc>
      </w:tr>
      <w:tr>
        <w:trPr>
          <w:cantSplit/>
        </w:trPr>
        <w:tc>
          <w:tcPr>
            <w:tcW w:type="dxa" w:w="2246"/>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 claims status solely by self-certification</w:t>
            </w:r>
          </w:p>
        </w:tc>
        <w:tc>
          <w:tcPr>
            <w:tcW w:type="dxa" w:w="5054"/>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Not sufficient for Rule 506(c) without other verification steps</w:t>
            </w:r>
          </w:p>
        </w:tc>
        <w:tc>
          <w:tcPr>
            <w:tcW w:type="dxa" w:w="2060"/>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Use Part A, the issuer-review methods or Schedule 3</w:t>
            </w:r>
          </w:p>
        </w:tc>
      </w:tr>
    </w:tbl>
    <w:p>
      <w:pPr>
        <w:spacing w:before="0" w:after="120"/>
      </w:pPr>
    </w:p>
    <w:p>
      <w:pPr>
        <w:pStyle w:val="Heading1"/>
      </w:pPr>
      <w:bookmarkStart w:id="110" w:name="schedule-6-defined-terms"/>
      <w:r>
        <w:t xml:space="preserve">SCHEDULE 6 — DEFINED TERMS</w:t>
      </w:r>
      <w:bookmarkEnd w:id="110"/>
    </w:p>
    <w:tbl>
      <w:tblPr>
        <w:tblStyle w:val="TableGrid"/>
        <w:tblW w:type="dxa" w:w="9360"/>
        <w:jc w:val="center"/>
        <w:tblLayout w:type="fixed"/>
        <w:tblLook w:firstColumn="1" w:firstRow="1" w:lastColumn="0" w:lastRow="0" w:noHBand="0" w:noVBand="1" w:val="04A0"/>
      </w:tblPr>
      <w:tblGrid>
        <w:gridCol w:w="2808"/>
        <w:gridCol w:w="6552"/>
      </w:tblGrid>
      <w:tr>
        <w:trPr>
          <w:cantSplit/>
          <w:tblHeader/>
        </w:trPr>
        <w:tc>
          <w:tcPr>
            <w:tcW w:type="dxa" w:w="2808"/>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Term</w:t>
            </w:r>
          </w:p>
        </w:tc>
        <w:tc>
          <w:tcPr>
            <w:tcW w:type="dxa" w:w="6552"/>
            <w:vAlign w:val="top"/>
            <w:tcMar>
              <w:top w:w="55" w:type="dxa"/>
              <w:start w:w="70" w:type="dxa"/>
              <w:bottom w:w="55" w:type="dxa"/>
              <w:end w:w="70" w:type="dxa"/>
            </w:tcMar>
            <w:shd w:val="clear" w:color="auto" w:fill="E7E6E6"/>
          </w:tcPr>
          <w:p>
            <w:pPr>
              <w:spacing w:before="0" w:after="0"/>
            </w:pPr>
            <w:r>
              <w:rPr>
                <w:rFonts w:ascii="Times New Roman" w:hAnsi="Times New Roman" w:cs="Times New Roman"/>
                <w:b/>
                <w:bCs/>
                <w:sz w:val="17"/>
                <w:szCs w:val="17"/>
              </w:rPr>
              <w:t xml:space="preserve">Definition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Accredited investor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person within any category of Rule 501(a) under the Securities Act, or whom the issuer reasonably believes to be within a category, at the time of sale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Back-Up Certificate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certificate in Part C (natural person) or Part D (entity) delivered by the Investor to the Verifier and the Issuer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Commission</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United States Securities and Exchange Commission</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Entity Investor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An investor that is not a natural person, as identified in Part B or Part 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Investor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natural person identified in Part A or Part C or, where the context requires, the Entity Investor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Issuer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person offering and selling the securities in the Offering</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Joint income; joint net worth</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Income or net worth of the Investor together with the Investor's spouse or spousal equivalent, as described in Rule 501(a)(5) and (a)(6) and the notes to those paragraphs</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Offering</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offering of securities identified in the Verification Letter, conducted in reliance on Rule 506(c)</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Principles-based standard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requirement in Rule 506(c)(2)(ii) that the issuer take reasonable steps to verify accredited investor status, determined objectively in light of the facts and circumstances of the purchaser and the transaction, as distinct from the enumerated methods in Rule 506(c)(2)(ii)(A) through (E)</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Review Date</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date on which the Verifier completed its review of the Supporting Documents, as stated in the Verification Letter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Rule 501; Rule 506</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17 C.F.R. § 230.501 and § 230.506, as amended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Securities Act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Securities Act of 1933, as amended</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Spousal equivalent</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A cohabitant occupying a relationship generally equivalent to that of a spouse, as defined in Rule 501(j)</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Supporting Documents</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documents listed in Annex 1 to the Verification Letter and reviewed by the Verifier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Verification Letter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letter in Part A or Part B delivered by the Verifier to the Issuer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Verifier</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registered broker-dealer, SEC-registered investment adviser, licensed attorney or certified public accountant that delivers the Verification Letter</w:t>
            </w:r>
          </w:p>
        </w:tc>
      </w:tr>
      <w:tr>
        <w:trPr>
          <w:cantSplit/>
        </w:trPr>
        <w:tc>
          <w:tcPr>
            <w:tcW w:type="dxa" w:w="2808"/>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Written-confirmation method</w:t>
            </w:r>
          </w:p>
        </w:tc>
        <w:tc>
          <w:tcPr>
            <w:tcW w:type="dxa" w:w="6552"/>
            <w:vAlign w:val="top"/>
            <w:tcMar>
              <w:top w:w="55" w:type="dxa"/>
              <w:start w:w="70" w:type="dxa"/>
              <w:bottom w:w="55" w:type="dxa"/>
              <w:end w:w="70" w:type="dxa"/>
            </w:tcMar>
          </w:tcPr>
          <w:p>
            <w:pPr>
              <w:spacing w:before="0" w:after="0"/>
            </w:pPr>
            <w:r>
              <w:rPr>
                <w:rFonts w:ascii="Times New Roman" w:hAnsi="Times New Roman" w:cs="Times New Roman"/>
                <w:sz w:val="17"/>
                <w:szCs w:val="17"/>
              </w:rPr>
              <w:t xml:space="preserve">The verification method in Rule 506(c)(2)(ii)(C)</w:t>
            </w:r>
          </w:p>
        </w:tc>
      </w:tr>
    </w:tbl>
    <w:p>
      <w:pPr>
        <w:spacing w:before="0" w:after="120"/>
      </w:pPr>
    </w:p>
    <w:p>
      <w:pPr>
        <w:pStyle w:val="Heading2"/>
      </w:pPr>
      <w:bookmarkStart w:id="111" w:name="Xdeb8999584c2354e2bc911db9122fda00c3647a"/>
      <w:r>
        <w:t xml:space="preserve">Website Posting README — Not Part of the Agreement</w:t>
      </w:r>
      <w:bookmarkEnd w:id="111"/>
    </w:p>
    <w:p>
      <w:pPr>
        <w:pStyle w:val="Heading3"/>
      </w:pPr>
      <w:bookmarkStart w:id="112" w:name="what-this-form-is-for"/>
      <w:r>
        <w:t xml:space="preserve">What this form is for</w:t>
      </w:r>
      <w:bookmarkEnd w:id="112"/>
    </w:p>
    <w:p>
      <w:pPr>
        <w:pStyle w:val="FirstParagraph"/>
      </w:pPr>
      <w:r>
        <w:t xml:space="preserve">This package gives an issuer in a Rule 506(c) offering, and the investor and third-party verifier who support it, every document the verification requirement calls for. Part A is a verification letter from a registered broker-dealer, SEC-registered investment adviser, licensed attorney or certified public accountant for a natural-person investor, drafted to contain both statements that the written-confirmation method in Rule 506(c)(2)(ii)(C) requires. Part B adapts the letter for entity investors, which fall under the principles-based standard. Parts C and D are the investor's back-up certificates covering the net worth, income, professional-certification, knowledgeable-employee and entity categories, including the primary-residence rules, joint status with a spouse or spousal equivalent, and the situation where the most recent tax year has not been filed. Part E is the issuer's file memorandum recording the method used, the knowledge check and the reasoning. Part F sets engagement, data-handling and reliance terms for the verifier. The schedules supply the document checklist for every category, a net worth worksheet that implements Rule 501(a)(5), the high-minimum-investment alternative described in the Commission staff's March 12, 2025 letter with subscription-agreement representations, the five-year re-verification certificate under Rule 506(c)(2)(ii)(E), treatment of non-U.S. investors and other special cases, and defined terms. It is designed to be used with the firm's Rule 506(c) Verification Package (EF-006), the Accredited Investor Questionnaire and the Subscription Agreement (Regulation D) in the Fundraising and Investor Documents library.</w:t>
      </w:r>
    </w:p>
    <w:p>
      <w:pPr>
        <w:pStyle w:val="Heading3"/>
      </w:pPr>
      <w:bookmarkStart w:id="113" w:name="completion-checklist"/>
      <w:r>
        <w:t xml:space="preserve">Completion checklist</w:t>
      </w:r>
      <w:bookmarkEnd w:id="113"/>
    </w:p>
    <w:p>
      <w:pPr>
        <w:pStyle w:val="Compact"/>
        <w:numPr>
          <w:ilvl w:val="0"/>
          <w:numId w:val="1001"/>
        </w:numPr>
      </w:pPr>
      <w:r>
        <w:t xml:space="preserve">Complete the Matter Completion Sheet, including the category the investor claims, the verification method the issuer will rely on, and the dates that control the three-month window.</w:t>
      </w:r>
    </w:p>
    <w:p>
      <w:pPr>
        <w:pStyle w:val="Compact"/>
        <w:numPr>
          <w:ilvl w:val="0"/>
          <w:numId w:val="1001"/>
        </w:numPr>
      </w:pPr>
      <w:r>
        <w:t xml:space="preserve">Confirm the Verifier's category and good standing from the public record identified in the Section 1.2 drafting note, and confirm that the individual signatory personally holds the license.</w:t>
      </w:r>
    </w:p>
    <w:p>
      <w:pPr>
        <w:pStyle w:val="Compact"/>
        <w:numPr>
          <w:ilvl w:val="0"/>
          <w:numId w:val="1001"/>
        </w:numPr>
      </w:pPr>
      <w:r>
        <w:t xml:space="preserve">Select Part A or Part B, check the category in Section 2.2 or 7.2, and complete the Review Date, the tax years and the Annex 1 document list from Schedule 1.</w:t>
      </w:r>
    </w:p>
    <w:p>
      <w:pPr>
        <w:pStyle w:val="Compact"/>
        <w:numPr>
          <w:ilvl w:val="0"/>
          <w:numId w:val="1001"/>
        </w:numPr>
      </w:pPr>
      <w:r>
        <w:t xml:space="preserve">Have the investor complete Part C or Part D in full, including Section 9.3 joint status, Section 10.2 primary-residence treatment, Section 11.4 where the most recent year is unfiled, and Annex 3 for a Rule 501(a)(8) entity.</w:t>
      </w:r>
    </w:p>
    <w:p>
      <w:pPr>
        <w:pStyle w:val="Compact"/>
        <w:numPr>
          <w:ilvl w:val="0"/>
          <w:numId w:val="1001"/>
        </w:numPr>
      </w:pPr>
      <w:r>
        <w:t xml:space="preserve">Complete Schedule 2 with documented values and confirm every liability source, including the consumer report and liabilities not on it.</w:t>
      </w:r>
    </w:p>
    <w:p>
      <w:pPr>
        <w:pStyle w:val="Compact"/>
        <w:numPr>
          <w:ilvl w:val="0"/>
          <w:numId w:val="1001"/>
        </w:numPr>
      </w:pPr>
      <w:r>
        <w:t xml:space="preserve">For an offering relying on Schedule 3, confirm the minimum investment in the offering terms, insert the Section 24 representations in the subscription agreement, and record the knowledge check in Part E.</w:t>
      </w:r>
    </w:p>
    <w:p>
      <w:pPr>
        <w:pStyle w:val="Compact"/>
        <w:numPr>
          <w:ilvl w:val="0"/>
          <w:numId w:val="1001"/>
        </w:numPr>
      </w:pPr>
      <w:r>
        <w:t xml:space="preserve">For a repeat investor, confirm the prior verification date and method and obtain the Schedule 4 representation at the time of sale.</w:t>
      </w:r>
    </w:p>
    <w:p>
      <w:pPr>
        <w:pStyle w:val="Compact"/>
        <w:numPr>
          <w:ilvl w:val="0"/>
          <w:numId w:val="1001"/>
        </w:numPr>
      </w:pPr>
      <w:r>
        <w:t xml:space="preserve">Complete Part E for every purchaser, attach or reference the supporting record, and set the retention period.</w:t>
      </w:r>
    </w:p>
    <w:p>
      <w:pPr>
        <w:pStyle w:val="Compact"/>
        <w:numPr>
          <w:ilvl w:val="0"/>
          <w:numId w:val="1001"/>
        </w:numPr>
      </w:pPr>
      <w:r>
        <w:t xml:space="preserve">Agree the Part F engagement terms, the fee, who receives the underlying documents, and the data-handling undertaking before documents are collected.</w:t>
      </w:r>
    </w:p>
    <w:p>
      <w:pPr>
        <w:pStyle w:val="Compact"/>
        <w:numPr>
          <w:ilvl w:val="0"/>
          <w:numId w:val="1001"/>
        </w:numPr>
      </w:pPr>
      <w:r>
        <w:t xml:space="preserve">Confirm the current text of Rules 501 and 506, the current list of designated professional credentials, and current Commission staff interpretations, and delete every bracketed alternative and instruction before use.</w:t>
      </w:r>
    </w:p>
    <w:p>
      <w:pPr>
        <w:pStyle w:val="Heading3"/>
      </w:pPr>
      <w:bookmarkStart w:id="114" w:name="ai-completion-prompt"/>
      <w:r>
        <w:t xml:space="preserve">AI completion prompt</w:t>
      </w:r>
      <w:bookmarkEnd w:id="114"/>
    </w:p>
    <w:p>
      <w:pPr>
        <w:pStyle w:val="FirstParagraph"/>
      </w:pPr>
      <w:r>
        <w:t xml:space="preserve">Act as securities counsel to an issuer conducting a Rule 506(c) offering. Using the completed Matter Completion Sheet, the subscription materials, the investor's category election and the documents listed in Annex 1, customize EF-105 without inventing facts. Select Part A or Part B and the matching back-up certificate; complete every bracketed term; confirm that the Verification Letter contains both statements required by Rule 506(c)(2)(ii)(C) and that the Review Date is within three months of the letter date; apply the Rule 501(a)(5) primary-residence and sixty-day rules in Schedule 2; test any entity for the "not formed for the specific purpose" condition and, where it fails, restructure the analysis under Rule 501(a)(8) with a complete Annex 3; where Schedule 3 is used, confirm the minimum investment and the representations and record the knowledge check; prepare Part E with the reasoning for any principles-based method; and return a clean draft plus a list of open items and any fact that would call the investor's status into question. Do not conclude on non-U.S. tax, trust, retirement-account or custodial questions without a dated specialist conclusion, and do not weaken any informational or educational disclaimer.</w:t>
      </w:r>
    </w:p>
    <w:p>
      <w:pPr>
        <w:pStyle w:val="Heading3"/>
      </w:pPr>
      <w:bookmarkStart w:id="115" w:name="three-pass-review"/>
      <w:r>
        <w:t xml:space="preserve">Three pass review</w:t>
      </w:r>
      <w:bookmarkEnd w:id="115"/>
    </w:p>
    <w:p>
      <w:pPr>
        <w:pStyle w:val="FirstParagraph"/>
      </w:pPr>
      <w:r>
        <w:rPr>
          <w:b/>
        </w:rPr>
        <w:t xml:space="preserve">Pass 1 Completeness.</w:t>
      </w:r>
      <w:r>
        <w:t xml:space="preserve"> </w:t>
      </w:r>
      <w:r>
        <w:t xml:space="preserve">Verify the Verifier's category and license, the investor identity and category, both required statements in Section 2.1 or 7.1, the Review Date and tax years, the Annex 1 list against Schedule 1, the joint-status signatures, Schedule 2 arithmetic, Annex 3 for any Rule 501(a)(8) entity, the Part E method and knowledge check, the Part F terms, and that every cross-reference and defined term resolves.</w:t>
      </w:r>
      <w:r>
        <w:t xml:space="preserve"> </w:t>
      </w:r>
      <w:r>
        <w:rPr>
          <w:b/>
        </w:rPr>
        <w:t xml:space="preserve">Pass 2 Risk.</w:t>
      </w:r>
      <w:r>
        <w:t xml:space="preserve"> </w:t>
      </w:r>
      <w:r>
        <w:t xml:space="preserve">Test the three-month window against the expected closing date, the sixty-day residence-debt rule, any income figure that narrowly exceeds the threshold, any entity formed within the prior year, any owner at the end of a Rule 501(a)(8) chain who was not separately verified, any reliance on a staff position rather than the rule, any investor without U.S. tax forms, and any fact known to the issuer or placement agent that is inconsistent with the certificate.</w:t>
      </w:r>
      <w:r>
        <w:t xml:space="preserve"> </w:t>
      </w:r>
      <w:r>
        <w:rPr>
          <w:b/>
        </w:rPr>
        <w:t xml:space="preserve">Pass 3 Publication.</w:t>
      </w:r>
      <w:r>
        <w:t xml:space="preserve"> </w:t>
      </w:r>
      <w:r>
        <w:t xml:space="preserve">Remove matter facts, investor and verifier names, account details, private financial figures and internal comments; confirm the educational disclaimer, Pandoc-compatible formatting, table integrity, links and the downloadable Word file; confirm no first-person narratives, real names, outcome guarantees or firm signature attribution appear.</w:t>
      </w:r>
    </w:p>
    <w:p>
      <w:pPr>
        <w:pStyle w:val="Heading3"/>
      </w:pPr>
      <w:bookmarkStart w:id="116" w:name="attorney-review-warning"/>
      <w:r>
        <w:t xml:space="preserve">Attorney review warning</w:t>
      </w:r>
      <w:bookmarkEnd w:id="116"/>
    </w:p>
    <w:p>
      <w:pPr>
        <w:pStyle w:val="FirstParagraph"/>
      </w:pPr>
      <w:r>
        <w:t xml:space="preserve">This is a practitioner master and educational resource, not a legal opinion, a verification of any person's status or a matter-cleared instrument. The accredited investor definition, the verification methods and Commission staff interpretations change; the thresholds, categories and staff positions described in this form are as of the version date. Responsible counsel must confirm the current rules and staff guidance, the verifier's qualifications, the investor's facts and the terms of the actual offering before any letter is delivered or any sale is made.</w:t>
      </w:r>
    </w:p>
    <w:sectPr w:rsidR="00FC693F" w:rsidRPr="0006063C" w:rsidSect="00034616">
      <w:headerReference w:type="default" r:id="rId9"/>
      <w:headerReference w:type="first" r:id="rId10"/>
      <w:footerReference w:type="default" r:id="rId12"/>
      <w:footerReference w:type="first" r:id="rId13"/>
      <w:headerReference w:type="even" r:id="rId11"/>
      <w:pgSz w:w="12240" w:h="15840"/>
      <w:pgMar w:top="1440" w:right="1440" w:bottom="1440" w:left="1440" w:header="518" w:footer="518" w:gutter="0"/>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Times New Roman" w:hAnsi="Times New Roman"/>
        <w:b/>
        <w:color w:val="000000"/>
        <w:sz w:val="16"/>
      </w:rPr>
      <w:t>PRACTITIONER MASTER — INFORMATIONAL PURPOSES ONLY — COUNSEL REVIEW REQUIRED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 w:type="paragraph" w:customStyle="1" w:styleId="DraftingNote">
    <w:name w:val="DraftingNote"/>
    <w:basedOn w:val="Normal"/>
    <w:qFormat/>
    <w:pPr>
      <w:spacing w:before="60" w:after="120"/>
      <w:ind w:left="720"/>
    </w:pPr>
    <w:rPr>
      <w:rFonts w:ascii="Times New Roman" w:hAnsi="Times New Roman" w:cs="Times New Roman"/>
      <w:i/>
      <w:color w:val="000000"/>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Third-Party Accredited Investor Verification Letter and Investor Back-Up Certificate (Rule 506(c))</dc:title>
  <dc:creator>Montague Law</dc:creator>
  <cp:keywords>EF-105, entrepreneur forms, practitioner master, Rule 506(c), accredited investor verification</cp:keywords>
  <dcterms:created xsi:type="dcterms:W3CDTF">2026-10-19T02:01:56Z</dcterms:created>
  <dcterms:modified xsi:type="dcterms:W3CDTF">2026-10-19T02:01:56Z</dcterms:modified>
</cp:coreProperties>
</file>

<file path=docProps/custom.xml><?xml version="1.0" encoding="utf-8"?>
<Properties xmlns="http://schemas.openxmlformats.org/officeDocument/2006/custom-properties" xmlns:vt="http://schemas.openxmlformats.org/officeDocument/2006/docPropsVTypes"/>
</file>