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Founder Venture Debt Term Sheet Extended Form</w:t>
      </w:r>
    </w:p>
    <w:p>
      <w:pPr>
        <w:pStyle w:val="FirstParagraph"/>
      </w:pPr>
      <w:r>
        <w:t xml:space="preserve">EF-097 | VERSION 1.1.0 | 6 OCTOBER 2026</w:t>
      </w:r>
    </w:p>
    <w:p>
      <w:pPr>
        <w:pStyle w:val="PractitionerBanner"/>
      </w:pPr>
      <w:r>
        <w:t xml:space="preserve">PRACTITIONER MASTER — INFORMATIONAL AND EDUCATIONAL PURPOSES ONLY. This term sheet is not a commitment to lend and is not legal, tax, accounting or investment advice. Complete the Matter Completion Sheet, model the full cash and equity cost under each scenario in Schedule 4, test downside runway, reconcile investor consent rights against the charter and investor agreements, and obtain lending, corporate, securities, tax and intellectual-property review before signature.</w:t>
      </w:r>
    </w:p>
    <w:p>
      <w:pPr>
        <w:pStyle w:val="Heading2"/>
      </w:pPr>
      <w:bookmarkStart w:id="20" w:name="matter-completion-sheet"/>
      <w:r>
        <w:t xml:space="preserve">Matter Completion Sheet</w:t>
      </w:r>
      <w:bookmarkEnd w:id="20"/>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Topic</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Required matter input</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 and status</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Borrower</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Legal name, jurisdiction, entity type, organizational number, chief executive office and every subsidiary with ownership percentage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Guarantors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Domestic and foreign subsidiaries, materiality thresholds and any excluded subsidiary</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and agent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Legal name, regulated-bank or private-credit status, agent role, participants and notice address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Facility</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Term loan, delayed-draw and revolving components, Total Commitment and amount committed at Closing</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Tranches and milestones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Availability period, draw conditions, minimum draw, number of draws and consequence of a missed milestone for each tranche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Use of proceeds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Runway, equipment, acquisition, growth or other permitted use and every prohibited use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SOFR, Prime or fixed rate, floor, margin, default rate, day count, payment dates and PIK option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Amortization and maturity</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Interest-only months, extension conditions, straight-line or mortgage-style schedule and Maturity Date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Fees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unused, final payment, prepayment premium, legal cap, diligence fee, success fee and deposit</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Prepayment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Voluntary minimums, mandatory triggers, make-whole and application of payments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Collateral</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All-asset lien, Excluded Assets, IP structure, Control Agreements, Excluded Accounts, guarantees, equity pledges, foreign subsidiaries and landlord waivers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Coverage, class, exercise price, term, exercise mechanics, adjustments, registration, put and M&amp;A treatment</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Financial covenants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Minimum cash, revenue or ARR, performance to plan, burn, definitions, test dates and Equity Cure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Reporting</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quarterly and annual deliverables, board materials, budget, cap table and Compliance Certificate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Negative covenants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Debt, lien, disposition, distribution, investment, M&amp;A, affiliate, subordinated debt, business and fiscal-year baskets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Events of default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Cure periods, cross-default thresholds, MAC, investor-abandonment, key-person, going-concern and ERISA positions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Existing rights and approvals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Charter protective provisions, IRA covenants, preemptive-right waivers, ROFR and board approvals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Existing debt and liens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Convertible notes, SAFEs, equipment leases, cards, prior UCC filings, negative pledges and payoffs for Schedule 1</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Downside case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 next round, delayed round, missed milestone, covenant breach, cash sweep and enforcement runway</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Binding provisions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Expenses, indemnification, confidentiality, exclusivity, break-up or expense reimbursement and governing law</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Timetable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Credit approval status, first-draft date, diligence deadline, target Closing Date and term sheet expiration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t xml:space="preserve">This form is organized as a lender-style summary of terms rewritten from the Company's side. Every operative provision is followed by a</w:t>
      </w:r>
      <w:r>
        <w:t xml:space="preserve"> </w:t>
      </w:r>
      <w:r>
        <w:rPr>
          <w:b/>
        </w:rPr>
        <w:t xml:space="preserve">Drafting note</w:t>
      </w:r>
      <w:r>
        <w:t xml:space="preserve"> </w:t>
      </w:r>
      <w:r>
        <w:t xml:space="preserve">stating the lender's typical opening ask, the current market range and the founder-protective position. Capitalized terms are defined in Schedule 5. Schedule 3 consolidates the negotiation positions for every economic term, and Schedule 4 contains the inputs for the total cost of capital model that the board should see before accepting any proposal. Market ranges stated in this form are practitioner observations for U.S. venture-backed borrowers with institutional investors as of the version date and must be verified against current proposals.</w:t>
      </w:r>
    </w:p>
    <w:p>
      <w:pPr>
        <w:pStyle w:val="Heading1"/>
      </w:pPr>
      <w:bookmarkStart w:id="21" w:name="term-sheet"/>
      <w:r>
        <w:t xml:space="preserve">TERM SHEET</w:t>
      </w:r>
      <w:bookmarkEnd w:id="21"/>
    </w:p>
    <w:p>
      <w:pPr>
        <w:pStyle w:val="FirstParagraph"/>
      </w:pPr>
      <w:r>
        <w:rPr>
          <w:b/>
        </w:rPr>
        <w:t xml:space="preserve">Summary of Proposed Terms — Senior Secured Venture Debt Facility</w:t>
      </w:r>
    </w:p>
    <w:p>
      <w:pPr>
        <w:pStyle w:val="BodyText"/>
      </w:pPr>
      <w:r>
        <w:t xml:space="preserve">Date: [DATE]</w:t>
      </w:r>
    </w:p>
    <w:p>
      <w:pPr>
        <w:pStyle w:val="BodyText"/>
      </w:pPr>
      <w:r>
        <w:t xml:space="preserve">This term sheet (this</w:t>
      </w:r>
      <w:r>
        <w:t xml:space="preserve"> </w:t>
      </w:r>
      <w:r>
        <w:rPr>
          <w:b/>
        </w:rPr>
        <w:t xml:space="preserve">Term Sheet</w:t>
      </w:r>
      <w:r>
        <w:t xml:space="preserve">) summarizes proposed terms for a venture-debt financing of [BORROWER LEGAL NAME], a [STATE] [ENTITY TYPE] (the</w:t>
      </w:r>
      <w:r>
        <w:t xml:space="preserve"> </w:t>
      </w:r>
      <w:r>
        <w:rPr>
          <w:b/>
        </w:rPr>
        <w:t xml:space="preserve">Company</w:t>
      </w:r>
      <w:r>
        <w:t xml:space="preserve">), by [LENDER LEGAL NAME] (the</w:t>
      </w:r>
      <w:r>
        <w:t xml:space="preserve"> </w:t>
      </w:r>
      <w:r>
        <w:rPr>
          <w:b/>
        </w:rPr>
        <w:t xml:space="preserve">Lender</w:t>
      </w:r>
      <w:r>
        <w:t xml:space="preserve">). Except for Section 20.1 and Sections 21 through 26 (the</w:t>
      </w:r>
      <w:r>
        <w:t xml:space="preserve"> </w:t>
      </w:r>
      <w:r>
        <w:rPr>
          <w:b/>
        </w:rPr>
        <w:t xml:space="preserve">Binding Provisions</w:t>
      </w:r>
      <w:r>
        <w:t xml:space="preserve">), this Term Sheet is a nonbinding basis for discussion, does not constitute a commitment by Lender to extend credit or by the Company to borrow, and does not create any obligation to negotiate other than as stated in the Binding Provisions. The definitive loan and security agreement (the</w:t>
      </w:r>
      <w:r>
        <w:t xml:space="preserve"> </w:t>
      </w:r>
      <w:r>
        <w:rPr>
          <w:b/>
        </w:rPr>
        <w:t xml:space="preserve">Loan Agreement</w:t>
      </w:r>
      <w:r>
        <w:t xml:space="preserve">) and the other Loan Documents will govern the financing when executed.</w:t>
      </w:r>
    </w:p>
    <w:p>
      <w:pPr>
        <w:pStyle w:val="Heading2"/>
      </w:pPr>
      <w:bookmarkStart w:id="22" w:name="parties-and-roles"/>
      <w:r>
        <w:t xml:space="preserve">1 Parties and Roles</w:t>
      </w:r>
      <w:bookmarkEnd w:id="22"/>
    </w:p>
    <w:p>
      <w:pPr>
        <w:pStyle w:val="Heading3"/>
      </w:pPr>
      <w:bookmarkStart w:id="23" w:name="borrower"/>
      <w:r>
        <w:t xml:space="preserve">1.1 Borrower</w:t>
      </w:r>
      <w:bookmarkEnd w:id="23"/>
    </w:p>
    <w:p>
      <w:pPr>
        <w:pStyle w:val="FirstParagraph"/>
      </w:pPr>
      <w:r>
        <w:t xml:space="preserve">The borrower is the Company, together with any Person that later becomes a co-borrower under the Loan Agreement. The Company's jurisdiction of organization, organizational identification number, chief executive office and each direct and indirect subsidiary (with jurisdiction and ownership percentage) will be listed in the perfection certificate. Co-borrowers are jointly and severally liable for all Obligations.</w:t>
      </w:r>
    </w:p>
    <w:p>
      <w:pPr>
        <w:pStyle w:val="DraftingNote"/>
      </w:pPr>
      <w:r>
        <w:rPr>
          <w:b/>
        </w:rPr>
        <w:t xml:space="preserve">Drafting note:</w:t>
      </w:r>
      <w:r>
        <w:t xml:space="preserve"> </w:t>
      </w:r>
      <w:r>
        <w:t xml:space="preserve">Lenders sometimes propose that operating subsidiaries be co-borrowers rather than Guarantors so that each is directly liable without a guaranty. The founder-protective position is a single borrower with subsidiary guaranties limited as described in Section 1.2, because co-borrower status complicates intercompany accounting, usury analysis and any later carve-out sale of a subsidiary. In no case should a founder, officer, director or investor be a borrower, guarantor or validity guarantor; this Term Sheet should say so expressly.</w:t>
      </w:r>
    </w:p>
    <w:p>
      <w:pPr>
        <w:pStyle w:val="Heading3"/>
      </w:pPr>
      <w:bookmarkStart w:id="24" w:name="guarantors"/>
      <w:r>
        <w:t xml:space="preserve">1.2 Guarantors</w:t>
      </w:r>
      <w:bookmarkEnd w:id="24"/>
    </w:p>
    <w:p>
      <w:pPr>
        <w:pStyle w:val="FirstParagraph"/>
      </w:pPr>
      <w:r>
        <w:t xml:space="preserve">Each existing and future [domestic] subsidiary of the Company, other than any Excluded Subsidiary, will unconditionally guarantee the Obligations and grant a lien on its assets as described in Section 8 (each, a</w:t>
      </w:r>
      <w:r>
        <w:t xml:space="preserve"> </w:t>
      </w:r>
      <w:r>
        <w:rPr>
          <w:b/>
        </w:rPr>
        <w:t xml:space="preserve">Guarantor</w:t>
      </w:r>
      <w:r>
        <w:t xml:space="preserve">, and together with the Company, the</w:t>
      </w:r>
      <w:r>
        <w:t xml:space="preserve"> </w:t>
      </w:r>
      <w:r>
        <w:rPr>
          <w:b/>
        </w:rPr>
        <w:t xml:space="preserve">Loan Parties</w:t>
      </w:r>
      <w:r>
        <w:t xml:space="preserve">). Foreign subsidiaries are addressed in Section 8.5. No founder, officer, director, stockholder or investor will guarantee or otherwise be liable for the Obligations, and Lender will not require a validity, "bad-boy" or completion guaranty from any individual.</w:t>
      </w:r>
    </w:p>
    <w:p>
      <w:pPr>
        <w:pStyle w:val="DraftingNote"/>
      </w:pPr>
      <w:r>
        <w:rPr>
          <w:b/>
        </w:rPr>
        <w:t xml:space="preserve">Drafting note:</w:t>
      </w:r>
      <w:r>
        <w:t xml:space="preserve"> </w:t>
      </w:r>
      <w:r>
        <w:t xml:space="preserve">The lender's opening ask is a guaranty from every subsidiary wherever organized. Market practice is that domestic wholly owned subsidiaries guarantee and foreign subsidiaries do not, subject to an equity pledge limitation. The founder-protective position adds an Excluded Subsidiary concept for immaterial subsidiaries (for example, below [5]% of consolidated assets and revenue), non-wholly owned subsidiaries and any subsidiary whose guaranty would be unlawful or would create a material tax cost.</w:t>
      </w:r>
    </w:p>
    <w:p>
      <w:pPr>
        <w:pStyle w:val="Heading3"/>
      </w:pPr>
      <w:bookmarkStart w:id="25" w:name="lender-agent-and-participants"/>
      <w:r>
        <w:t xml:space="preserve">1.3 Lender, Agent and Participants</w:t>
      </w:r>
      <w:bookmarkEnd w:id="25"/>
    </w:p>
    <w:p>
      <w:pPr>
        <w:pStyle w:val="FirstParagraph"/>
      </w:pPr>
      <w:r>
        <w:t xml:space="preserve">The Lender is [LENDER LEGAL NAME], [an FDIC-insured depository institution / a non-bank venture lending fund / a business development company / other], [acting for itself and as administrative and collateral agent (in that capacity, the</w:t>
      </w:r>
      <w:r>
        <w:t xml:space="preserve"> </w:t>
      </w:r>
      <w:r>
        <w:rPr>
          <w:b/>
        </w:rPr>
        <w:t xml:space="preserve">Agent</w:t>
      </w:r>
      <w:r>
        <w:t xml:space="preserve">) for itself and any other lenders that become party to the Loan Agreement]. Lender may sell participations in, or assign, its rights and obligations only to an Eligible Assignee; before an Event of Default, any assignment (other than to an Affiliate of Lender or to a lender under the Loan Agreement) requires the Company's consent, not to be unreasonably withheld, and no assignment or participation may be made at any time to a Disqualified Lender. Participants have no direct rights against the Loan Parties, and any vote of lenders will be exercised through the Agent under the Required Lenders standard described in Section 15.6.</w:t>
      </w:r>
    </w:p>
    <w:p>
      <w:pPr>
        <w:pStyle w:val="DraftingNote"/>
      </w:pPr>
      <w:r>
        <w:rPr>
          <w:b/>
        </w:rPr>
        <w:t xml:space="preserve">Drafting note:</w:t>
      </w:r>
      <w:r>
        <w:t xml:space="preserve"> </w:t>
      </w:r>
      <w:r>
        <w:t xml:space="preserve">Lender type matters. A bank lender is subject to safety-and-soundness regulation and typically prices lower, uses Prime-based pricing, requires a primary banking relationship and historically has accepted an IP negative pledge. A non-bank fund typically prices higher, requires an IP lien and offers larger facilities with longer interest-only periods, and the Company must confirm whether the fund is licensed where required under state commercial lending laws. Founders should require a Disqualified Lender list (competitors, their Affiliates and specified distressed-debt purchasers) that applies both before and after an Event of Default to the extent the lender will agree, and should insist that any assignment to a non-Affiliate before default requires Company consent.</w:t>
      </w:r>
    </w:p>
    <w:p>
      <w:pPr>
        <w:pStyle w:val="Heading3"/>
      </w:pPr>
      <w:bookmarkStart w:id="26" w:name="non-parties"/>
      <w:r>
        <w:t xml:space="preserve">1.4 Non-Parties</w:t>
      </w:r>
      <w:bookmarkEnd w:id="26"/>
    </w:p>
    <w:p>
      <w:pPr>
        <w:pStyle w:val="FirstParagraph"/>
      </w:pPr>
      <w:r>
        <w:t xml:space="preserve">The Company's founders, directors and investors are not parties to this Term Sheet or the Loan Documents and undertake no obligation to fund, support or guarantee the Company. Lender will communicate with investors regarding the Company only through the Company or with the Company's consent, except as permitted under Section 21.</w:t>
      </w:r>
    </w:p>
    <w:p>
      <w:pPr>
        <w:pStyle w:val="Heading2"/>
      </w:pPr>
      <w:bookmarkStart w:id="27" w:name="facility-structure"/>
      <w:r>
        <w:t xml:space="preserve">2 Facility Structure</w:t>
      </w:r>
      <w:bookmarkEnd w:id="27"/>
    </w:p>
    <w:p>
      <w:pPr>
        <w:pStyle w:val="Heading3"/>
      </w:pPr>
      <w:bookmarkStart w:id="28" w:name="facility-type-and-total-commitment"/>
      <w:r>
        <w:t xml:space="preserve">2.1 Facility Type and Total Commitment</w:t>
      </w:r>
      <w:bookmarkEnd w:id="28"/>
    </w:p>
    <w:p>
      <w:pPr>
        <w:pStyle w:val="FirstParagraph"/>
      </w:pPr>
      <w:r>
        <w:t xml:space="preserve">Lender proposes a senior secured credit facility in an aggregate principal amount of up to $[TOTAL COMMITMENT] (the</w:t>
      </w:r>
      <w:r>
        <w:t xml:space="preserve"> </w:t>
      </w:r>
      <w:r>
        <w:rPr>
          <w:b/>
        </w:rPr>
        <w:t xml:space="preserve">Total Commitment</w:t>
      </w:r>
      <w:r>
        <w:t xml:space="preserve">), consisting of the tranches described in Section 2.2 and Schedule 2. Each tranche is a separate commitment with its own availability period, draw conditions and fees. No reference to the Total Commitment creates an obligation to fund any tranche whose conditions are not satisfied, and nothing in the Loan Documents obligates the Company to draw any tranche.</w:t>
      </w:r>
    </w:p>
    <w:p>
      <w:pPr>
        <w:pStyle w:val="DraftingNote"/>
      </w:pPr>
      <w:r>
        <w:rPr>
          <w:b/>
        </w:rPr>
        <w:t xml:space="preserve">Drafting note:</w:t>
      </w:r>
      <w:r>
        <w:t xml:space="preserve"> </w:t>
      </w:r>
      <w:r>
        <w:t xml:space="preserve">The headline number is a marketing figure. The only amount a founder may treat as committed is the amount funded at Closing (Tranche A). Tranches gated on milestones are options exercisable by the Company only if the milestones are objective, and are otherwise options exercisable by the lender. Model runway on Tranche A alone and treat every later tranche as upside. Confirm whether the Total Commitment, or only funded Advances, drives the closing fee, Warrant Coverage, unused fee and Final Payment (Sections 5 and 9).</w:t>
      </w:r>
    </w:p>
    <w:p>
      <w:pPr>
        <w:pStyle w:val="Heading3"/>
      </w:pPr>
      <w:bookmarkStart w:id="29" w:name="tranches-and-availability"/>
      <w:r>
        <w:t xml:space="preserve">2.2 Tranches and Availability</w:t>
      </w:r>
      <w:bookmarkEnd w:id="29"/>
    </w:p>
    <w:tbl>
      <w:tblPr>
        <w:tblStyle w:val="TableGrid"/>
        <w:tblW w:type="dxa" w:w="9360"/>
        <w:jc w:val="center"/>
        <w:tblLayout w:type="fixed"/>
        <w:tblLook w:firstColumn="1" w:firstRow="1" w:lastColumn="0" w:lastRow="0" w:noHBand="0" w:noVBand="1" w:val="04A0"/>
      </w:tblPr>
      <w:tblGrid>
        <w:gridCol w:w="1337"/>
        <w:gridCol w:w="1337"/>
        <w:gridCol w:w="1337"/>
        <w:gridCol w:w="1337"/>
        <w:gridCol w:w="1337"/>
        <w:gridCol w:w="1337"/>
        <w:gridCol w:w="1338"/>
      </w:tblGrid>
      <w:tr>
        <w:trPr>
          <w:cantSplit/>
          <w:tblHeader/>
        </w:trPr>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Tranche</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Type</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Commitment</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Availability Period</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Draw conditions and Milestones</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Minimum draw and increments</w:t>
            </w:r>
          </w:p>
        </w:tc>
        <w:tc>
          <w:tcPr>
            <w:tcW w:type="dxa" w:w="133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Maximum number of draws</w:t>
            </w:r>
          </w:p>
        </w:tc>
      </w:tr>
      <w:tr>
        <w:trPr>
          <w:cantSplit/>
        </w:trPr>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 A</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Term loan</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Date [through [DATE]]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Conditions in Section 16.1</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w:t>
            </w:r>
          </w:p>
        </w:tc>
        <w:tc>
          <w:tcPr>
            <w:tcW w:type="dxa" w:w="133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 / ●]</w:t>
            </w:r>
          </w:p>
        </w:tc>
      </w:tr>
      <w:tr>
        <w:trPr>
          <w:cantSplit/>
        </w:trPr>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 B</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Delayed draw term loan</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 through [DATE]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Milestone B (Schedule 2); no Event of Default; Section 16.2</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w:t>
            </w:r>
          </w:p>
        </w:tc>
        <w:tc>
          <w:tcPr>
            <w:tcW w:type="dxa" w:w="133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 C</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Delayed draw term loan</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 through [DATE]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Milestone C (Schedule 2); no Event of Default; Section 16.2</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w:t>
            </w:r>
          </w:p>
        </w:tc>
        <w:tc>
          <w:tcPr>
            <w:tcW w:type="dxa" w:w="133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Revolving</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Revolving line [formula-based]</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Date through [DATE]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Borrowing base and Section 2.5</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w:t>
            </w:r>
          </w:p>
        </w:tc>
        <w:tc>
          <w:tcPr>
            <w:tcW w:type="dxa" w:w="133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Unlimited within availability</w:t>
            </w:r>
          </w:p>
        </w:tc>
      </w:tr>
    </w:tbl>
    <w:p>
      <w:pPr>
        <w:spacing w:before="0" w:after="120"/>
      </w:pPr>
    </w:p>
    <w:p>
      <w:pPr>
        <w:pStyle w:val="BodyText"/>
      </w:pPr>
      <w:r>
        <w:t xml:space="preserve">Any tranche not drawn by the end of its Availability Period terminates automatically without fee other than any unused fee accrued under Section 5.2.</w:t>
      </w:r>
    </w:p>
    <w:p>
      <w:pPr>
        <w:pStyle w:val="Heading3"/>
      </w:pPr>
      <w:bookmarkStart w:id="30" w:name="draw-conditions-and-milestones"/>
      <w:r>
        <w:t xml:space="preserve">2.3 Draw Conditions and Milestones</w:t>
      </w:r>
      <w:bookmarkEnd w:id="30"/>
    </w:p>
    <w:p>
      <w:pPr>
        <w:pStyle w:val="FirstParagraph"/>
      </w:pPr>
      <w:r>
        <w:t xml:space="preserve">Each milestone that gates a tranche (a</w:t>
      </w:r>
      <w:r>
        <w:t xml:space="preserve"> </w:t>
      </w:r>
      <w:r>
        <w:rPr>
          <w:b/>
        </w:rPr>
        <w:t xml:space="preserve">Milestone</w:t>
      </w:r>
      <w:r>
        <w:t xml:space="preserve">) will be stated in Schedule 2 and will specify: the metric and its accounting basis; the measurement date or period; the evidence to be delivered; the Person who determines satisfaction and the standard applied; any re-test or cure window; the treatment of a dispute; and the consequence of failure. Failure to achieve a Milestone terminates availability of the related tranche and is not a Default or an Event of Default. A Milestone is deemed satisfied if the Company closes a Qualified Equity Financing before the end of the applicable Availability Period.</w:t>
      </w:r>
    </w:p>
    <w:p>
      <w:pPr>
        <w:pStyle w:val="DraftingNote"/>
      </w:pPr>
      <w:r>
        <w:rPr>
          <w:b/>
        </w:rPr>
        <w:t xml:space="preserve">Drafting note:</w:t>
      </w:r>
      <w:r>
        <w:t xml:space="preserve"> </w:t>
      </w:r>
      <w:r>
        <w:t xml:space="preserve">The lender's opening position is a draw condition that the Company "has achieved results satisfactory to Lender in its sole discretion," often paired with a "no Material Adverse Change" condition. Market practice is an objective revenue, ARR, product or regulatory milestone measured on a stated date, with the lender's confirmation limited to verifying evidence. The founder-protective position adds a re-test window (for example, the Milestone may be satisfied on any month-end during the Availability Period), a deemed-satisfaction trigger on a Qualified Equity Financing and the express statement that a missed Milestone is never a default. Avoid Milestones measured on bookings or pipeline unless the definitions are precise.</w:t>
      </w:r>
    </w:p>
    <w:p>
      <w:pPr>
        <w:pStyle w:val="Heading3"/>
      </w:pPr>
      <w:bookmarkStart w:id="31" w:name="Xd4944ac8691c926081e9734b770f1d40d2e0782"/>
      <w:r>
        <w:t xml:space="preserve">2.4 Minimum Draw, Number of Draws and Borrowing Procedure</w:t>
      </w:r>
      <w:bookmarkEnd w:id="31"/>
    </w:p>
    <w:p>
      <w:pPr>
        <w:pStyle w:val="FirstParagraph"/>
      </w:pPr>
      <w:r>
        <w:t xml:space="preserve">Advances under each tranche will be in minimum amounts and integral multiples stated in Section 2.2, and the Company will not be required to draw the full commitment of any tranche to preserve availability of the undrawn balance. The Company will deliver a borrowing request at least [2 / 3] Business Days before the requested funding date specifying the tranche, amount, date, account and use of proceeds and confirming satisfaction of the applicable conditions (a</w:t>
      </w:r>
      <w:r>
        <w:t xml:space="preserve"> </w:t>
      </w:r>
      <w:r>
        <w:rPr>
          <w:b/>
        </w:rPr>
        <w:t xml:space="preserve">Borrowing Request</w:t>
      </w:r>
      <w:r>
        <w:t xml:space="preserve">). A Borrowing Request contains only the representations required by the Loan Agreement and is not an independent certification of facts outside those representations. Funding instructions, and any change to them, must be verified through a previously established channel under a written anti-fraud protocol before Lender releases funds.</w:t>
      </w:r>
    </w:p>
    <w:p>
      <w:pPr>
        <w:pStyle w:val="DraftingNote"/>
      </w:pPr>
      <w:r>
        <w:rPr>
          <w:b/>
        </w:rPr>
        <w:t xml:space="preserve">Drafting note:</w:t>
      </w:r>
      <w:r>
        <w:t xml:space="preserve"> </w:t>
      </w:r>
      <w:r>
        <w:t xml:space="preserve">Lenders prefer a single draw per tranche and a requirement that the full tranche be drawn at once, which maximizes interest income. The founder-protective position permits two or three draws per tranche in minimum amounts of $[500,000] so that the Company borrows only what it needs when it needs it, and confirms that an undrawn balance does not lapse because an earlier draw was smaller than the tranche. Borrowing Request content should mirror the firm's borrowing request form (EF-100) rather than the lender's expanded certificate.</w:t>
      </w:r>
    </w:p>
    <w:p>
      <w:pPr>
        <w:pStyle w:val="Heading3"/>
      </w:pPr>
      <w:bookmarkStart w:id="32" w:name="revolving-component"/>
      <w:r>
        <w:t xml:space="preserve">2.5 Revolving Component</w:t>
      </w:r>
      <w:bookmarkEnd w:id="32"/>
    </w:p>
    <w:p>
      <w:pPr>
        <w:pStyle w:val="FirstParagraph"/>
      </w:pPr>
      <w:r>
        <w:t xml:space="preserve">If a revolving component (the</w:t>
      </w:r>
      <w:r>
        <w:t xml:space="preserve"> </w:t>
      </w:r>
      <w:r>
        <w:rPr>
          <w:b/>
        </w:rPr>
        <w:t xml:space="preserve">Revolving Tranche</w:t>
      </w:r>
      <w:r>
        <w:t xml:space="preserve">) is included, Advances will be limited to the lesser of the revolving commitment and a borrowing base equal to [●]% of Eligible Accounts [plus [●]% of Eligible Inventory], less reserves established by Lender in its reasonable credit judgment with [5] Business Days' notice. The Company will deliver a borrowing base certificate [monthly / with each Advance]. Cash dominion over collections will be springing and will apply only after an Event of Default or if Liquidity falls below $[●]. No annual clean-down will be required. Field examinations will be limited to one per year at the Company's expense, capped at $[●], absent an Event of Default.</w:t>
      </w:r>
    </w:p>
    <w:p>
      <w:pPr>
        <w:pStyle w:val="DraftingNote"/>
      </w:pPr>
      <w:r>
        <w:rPr>
          <w:b/>
        </w:rPr>
        <w:t xml:space="preserve">Drafting note:</w:t>
      </w:r>
      <w:r>
        <w:t xml:space="preserve"> </w:t>
      </w:r>
      <w:r>
        <w:t xml:space="preserve">A revolving line against receivables is useful for a Company with recurring enterprise receivables and little else; otherwise it adds reporting burden, reserve discretion and audit cost for modest availability. If offered, confine lender discretion over reserves to objective credit factors with notice, define Eligible Accounts by reference to concrete exclusions (aged over [90] days, Affiliate, foreign without insurance, contra, disputed) and reject full-time cash dominion before default.</w:t>
      </w:r>
    </w:p>
    <w:p>
      <w:pPr>
        <w:pStyle w:val="Heading3"/>
      </w:pPr>
      <w:bookmarkStart w:id="33" w:name="founder-decision-standard"/>
      <w:r>
        <w:t xml:space="preserve">2.6 Founder Decision Standard</w:t>
      </w:r>
      <w:bookmarkEnd w:id="33"/>
    </w:p>
    <w:p>
      <w:pPr>
        <w:pStyle w:val="FirstParagraph"/>
      </w:pPr>
      <w:r>
        <w:t xml:space="preserve">Before accepting this proposal, the Company will compare the facility against an equity financing or no financing using at least: effective cash yield under Schedule 4; Warrant dilution; fees; prepayment cost; amortization start relative to the expected next round; collateral reach; operating restrictions; default probability; remedies; fundraising constraints; and expected runway under base, delayed-raise and no-raise cases. The board record should explain why the facility is reasonably expected to extend rather than compress runway, and should identify the month in which amortization begins relative to the Company's cash-out date without the facility.</w:t>
      </w:r>
    </w:p>
    <w:p>
      <w:pPr>
        <w:pStyle w:val="Heading2"/>
      </w:pPr>
      <w:bookmarkStart w:id="34" w:name="interest"/>
      <w:r>
        <w:t xml:space="preserve">3 Interest</w:t>
      </w:r>
      <w:bookmarkEnd w:id="34"/>
    </w:p>
    <w:p>
      <w:pPr>
        <w:pStyle w:val="Heading3"/>
      </w:pPr>
      <w:bookmarkStart w:id="35" w:name="base-rate-and-margin"/>
      <w:r>
        <w:t xml:space="preserve">3.1 Base Rate and Margin</w:t>
      </w:r>
      <w:bookmarkEnd w:id="35"/>
    </w:p>
    <w:p>
      <w:pPr>
        <w:pStyle w:val="FirstParagraph"/>
      </w:pPr>
      <w:r>
        <w:t xml:space="preserve">Each Advance will bear interest on its outstanding principal at a per annum rate equal to the sum of (a) [Term SOFR for a one-month tenor / Daily Simple SOFR / the Prime Rate] (the</w:t>
      </w:r>
      <w:r>
        <w:t xml:space="preserve"> </w:t>
      </w:r>
      <w:r>
        <w:rPr>
          <w:b/>
        </w:rPr>
        <w:t xml:space="preserve">Base Rate</w:t>
      </w:r>
      <w:r>
        <w:t xml:space="preserve">), subject to the Floor, plus (b) [●]% (the</w:t>
      </w:r>
      <w:r>
        <w:t xml:space="preserve"> </w:t>
      </w:r>
      <w:r>
        <w:rPr>
          <w:b/>
        </w:rPr>
        <w:t xml:space="preserve">Applicable Margin</w:t>
      </w:r>
      <w:r>
        <w:t xml:space="preserve">), [or, alternatively, a fixed rate of [●]% per annum]. [The Applicable Margin will decrease by [●]% upon the closing of a Qualified Equity Financing of at least $[●] / the Company's achievement of [MILESTONE], and will not thereafter increase other than by application of the Default Rate.] The Base Rate resets on the first Business Day of each calendar month [or on each change in the Prime Rate].</w:t>
      </w:r>
    </w:p>
    <w:p>
      <w:pPr>
        <w:pStyle w:val="DraftingNote"/>
      </w:pPr>
      <w:r>
        <w:rPr>
          <w:b/>
        </w:rPr>
        <w:t xml:space="preserve">Drafting note:</w:t>
      </w:r>
      <w:r>
        <w:t xml:space="preserve"> </w:t>
      </w:r>
      <w:r>
        <w:t xml:space="preserve">Bank venture lenders typically propose the Prime Rate plus 0% to 2.5% with a floor equal to Prime at Closing; non-bank lenders propose Term SOFR plus 6% to 10% or a fixed rate in the range of 11% to 15%. Floating rates expose the Company to rate increases during the Interest-Only Period; fixed rates eliminate that risk but usually carry a higher starting coupon and a higher prepayment cost. A founder-protective package is either a fixed rate with no floor mechanics, or a floating rate with a floor set below the current index, a pricing step-down upon a Qualified Equity Financing, and a stated source for the index (for example, the Prime Rate published in a named national financial publication) so the lender's own "base rate" cannot be used.</w:t>
      </w:r>
    </w:p>
    <w:p>
      <w:pPr>
        <w:pStyle w:val="Heading3"/>
      </w:pPr>
      <w:bookmarkStart w:id="36" w:name="benchmark-mechanics-and-replacement"/>
      <w:r>
        <w:t xml:space="preserve">3.2 Benchmark Mechanics and Replacement</w:t>
      </w:r>
      <w:bookmarkEnd w:id="36"/>
    </w:p>
    <w:p>
      <w:pPr>
        <w:pStyle w:val="FirstParagraph"/>
      </w:pPr>
      <w:r>
        <w:t xml:space="preserve">If the Base Rate is a SOFR-based rate, the Loan Agreement will specify the administrator (currently the CME Group Benchmark Administration Limited for Term SOFR, and the Federal Reserve Bank of New York for SOFR), the tenor, a lookback of [2] U.S. Government Securities Business Days, the interest period and reset convention, rounding to [five] decimal places, the Business Day convention and any credit spread adjustment, which will be [zero / [●]%]. Upon a Benchmark Transition Event, the Base Rate will be replaced by (a) the successor rate recommended by the Relevant Governmental Body, plus the related spread adjustment, or, if none, (b) an alternative rate selected by Lender and the Company giving due consideration to then-prevailing market convention for similar U.S. dollar credit facilities (the</w:t>
      </w:r>
      <w:r>
        <w:t xml:space="preserve"> </w:t>
      </w:r>
      <w:r>
        <w:rPr>
          <w:b/>
        </w:rPr>
        <w:t xml:space="preserve">Benchmark Replacement</w:t>
      </w:r>
      <w:r>
        <w:t xml:space="preserve">). Conforming changes will be limited to technical, administrative or operational matters. No Benchmark Replacement may be used to increase the all-in yield to Lender other than through the published spread adjustment, and the Company may object within [5] Business Days to any replacement selected under clause (b).</w:t>
      </w:r>
    </w:p>
    <w:p>
      <w:pPr>
        <w:pStyle w:val="DraftingNote"/>
      </w:pPr>
      <w:r>
        <w:rPr>
          <w:b/>
        </w:rPr>
        <w:t xml:space="preserve">Drafting note:</w:t>
      </w:r>
      <w:r>
        <w:t xml:space="preserve"> </w:t>
      </w:r>
      <w:r>
        <w:t xml:space="preserve">The lender's form typically allows the lender alone to select the replacement rate and to make "conforming changes" in its discretion. Market practice follows the Alternative Reference Rates Committee hardwired approach described above. The founder-protective position is the hardwired waterfall, a Company objection right for any discretionary replacement and an express yield-neutrality statement. If the Base Rate is Prime, replace this Section with a provision that the Prime Rate is the rate published by a named source and that any index change requires mutual agreement.</w:t>
      </w:r>
    </w:p>
    <w:p>
      <w:pPr>
        <w:pStyle w:val="Heading3"/>
      </w:pPr>
      <w:bookmarkStart w:id="37" w:name="floor"/>
      <w:r>
        <w:t xml:space="preserve">3.3 Floor</w:t>
      </w:r>
      <w:bookmarkEnd w:id="37"/>
    </w:p>
    <w:p>
      <w:pPr>
        <w:pStyle w:val="FirstParagraph"/>
      </w:pPr>
      <w:r>
        <w:t xml:space="preserve">The Base Rate will not be less than [●]% per annum (the</w:t>
      </w:r>
      <w:r>
        <w:t xml:space="preserve"> </w:t>
      </w:r>
      <w:r>
        <w:rPr>
          <w:b/>
        </w:rPr>
        <w:t xml:space="preserve">Floor</w:t>
      </w:r>
      <w:r>
        <w:t xml:space="preserve">). The Floor applies only to the Base Rate and not to the Applicable Margin.</w:t>
      </w:r>
    </w:p>
    <w:p>
      <w:pPr>
        <w:pStyle w:val="DraftingNote"/>
      </w:pPr>
      <w:r>
        <w:rPr>
          <w:b/>
        </w:rPr>
        <w:t xml:space="preserve">Drafting note:</w:t>
      </w:r>
      <w:r>
        <w:t xml:space="preserve"> </w:t>
      </w:r>
      <w:r>
        <w:t xml:space="preserve">Lenders set the Floor at the index rate in effect at Closing, which converts the facility into a fixed-rate loan if rates fall and a floating-rate loan if rates rise. The market range is a Floor at or modestly below the current index. The founder-protective position is a Floor at least 100 to 200 basis points below the current index, no Floor, or a Floor paired with a rate cap so that both parties share rate movement. If a fixed rate is used, delete this Section.</w:t>
      </w:r>
    </w:p>
    <w:p>
      <w:pPr>
        <w:pStyle w:val="Heading3"/>
      </w:pPr>
      <w:bookmarkStart w:id="38" w:name="default-rate"/>
      <w:r>
        <w:t xml:space="preserve">3.4 Default Rate</w:t>
      </w:r>
      <w:bookmarkEnd w:id="38"/>
    </w:p>
    <w:p>
      <w:pPr>
        <w:pStyle w:val="FirstParagraph"/>
      </w:pPr>
      <w:r>
        <w:t xml:space="preserve">Upon the occurrence and during the continuance of an Event of Default [and after written notice from Lender], the Obligations [that are overdue] will bear interest at the otherwise applicable rate plus [2.0 / 3.0 / 5.0]% per annum (the</w:t>
      </w:r>
      <w:r>
        <w:t xml:space="preserve"> </w:t>
      </w:r>
      <w:r>
        <w:rPr>
          <w:b/>
        </w:rPr>
        <w:t xml:space="preserve">Default Rate</w:t>
      </w:r>
      <w:r>
        <w:t xml:space="preserve">). The Default Rate will not apply to a Default that has not matured into an Event of Default, will cease to apply when the Event of Default is cured or waived, and will not apply retroactively to periods before the notice.</w:t>
      </w:r>
    </w:p>
    <w:p>
      <w:pPr>
        <w:pStyle w:val="DraftingNote"/>
      </w:pPr>
      <w:r>
        <w:rPr>
          <w:b/>
        </w:rPr>
        <w:t xml:space="preserve">Drafting note:</w:t>
      </w:r>
      <w:r>
        <w:t xml:space="preserve"> </w:t>
      </w:r>
      <w:r>
        <w:t xml:space="preserve">The lender's opening ask is an automatic increase of 5% on all Obligations upon any Event of Default. Market practice is 3% to 5%. The founder-protective position is 2% to 3%, applied only to overdue amounts (or to all Obligations only upon acceleration), only after written notice, and never for a reporting or other non-payment default that is cured within an agreed period after notice. Default interest is a liquidated-damages provision whose enforceability depends on applicable law; the term sheet should not assume it is collectible in every scenario.</w:t>
      </w:r>
    </w:p>
    <w:p>
      <w:pPr>
        <w:pStyle w:val="Heading3"/>
      </w:pPr>
      <w:bookmarkStart w:id="39" w:name="X4a30853f3ca530d5f1e6e6b85917e7f70ecc33f"/>
      <w:r>
        <w:t xml:space="preserve">3.5 Computation, Payment Dates and Late Charges</w:t>
      </w:r>
      <w:bookmarkEnd w:id="39"/>
    </w:p>
    <w:p>
      <w:pPr>
        <w:pStyle w:val="FirstParagraph"/>
      </w:pPr>
      <w:r>
        <w:t xml:space="preserve">Interest will be computed on the basis of a [360 / 365]-day year for the actual number of days elapsed and will be payable monthly in arrears on the first Business Day of each calendar month and on the Maturity Date. Payments will be made by [ACH debit from the Company's designated operating account / wire] before [noon Eastern Time] on the due date. [A late charge of [●]% of any payment more than [10] days overdue will apply, not to exceed $[●] per occurrence, and will not be charged for any period in which the Default Rate accrues on the same amount.] Payments will be made without setoff or counterclaim by the Company.</w:t>
      </w:r>
    </w:p>
    <w:p>
      <w:pPr>
        <w:pStyle w:val="DraftingNote"/>
      </w:pPr>
      <w:r>
        <w:rPr>
          <w:b/>
        </w:rPr>
        <w:t xml:space="preserve">Drafting note:</w:t>
      </w:r>
      <w:r>
        <w:t xml:space="preserve"> </w:t>
      </w:r>
      <w:r>
        <w:t xml:space="preserve">An actual/360 convention increases the effective rate by approximately 1.4% of the stated rate (a 12.00% stated rate accrues at approximately 12.17% on an actual/365 basis). Ask for actual/365 or model the difference in Schedule 4. Late charges duplicate the Default Rate; the founder-protective position deletes them or caps them at a fixed dollar amount and prohibits stacking. Confirm that the auto-debit authorization is limited to scheduled amounts and invoiced fees and may be revoked on [5] Business Days' notice.</w:t>
      </w:r>
    </w:p>
    <w:p>
      <w:pPr>
        <w:pStyle w:val="Heading3"/>
      </w:pPr>
      <w:bookmarkStart w:id="40" w:name="pik-option"/>
      <w:r>
        <w:t xml:space="preserve">3.6 PIK Option</w:t>
      </w:r>
      <w:bookmarkEnd w:id="40"/>
    </w:p>
    <w:p>
      <w:pPr>
        <w:pStyle w:val="FirstParagraph"/>
      </w:pPr>
      <w:r>
        <w:t xml:space="preserve">[The Company may elect, by notice at least [5] Business Days before any interest payment date during the Interest-Only Period, to pay up to [●]% per annum of the interest then due in kind by capitalizing it to the principal balance (</w:t>
      </w:r>
      <w:r>
        <w:rPr>
          <w:b/>
        </w:rPr>
        <w:t xml:space="preserve">PIK Interest</w:t>
      </w:r>
      <w:r>
        <w:t xml:space="preserve">). PIK Interest will bear interest at the same rate as the related Advance. No Final Payment, Prepayment Premium or Warrant Coverage will be calculated on capitalized PIK Interest. The election may be made for no more than [●] interest periods in the aggregate.] [No PIK option.]</w:t>
      </w:r>
    </w:p>
    <w:p>
      <w:pPr>
        <w:pStyle w:val="DraftingNote"/>
      </w:pPr>
      <w:r>
        <w:rPr>
          <w:b/>
        </w:rPr>
        <w:t xml:space="preserve">Drafting note:</w:t>
      </w:r>
      <w:r>
        <w:t xml:space="preserve"> </w:t>
      </w:r>
      <w:r>
        <w:t xml:space="preserve">Some non-bank lenders offer a PIK toggle of 2% to 4% in exchange for a higher all-in rate. PIK extends runway but compounds the balance that must be repaid or refinanced, and lenders often calculate the Final Payment and Prepayment Premium on the capitalized balance. A PIK toggle should be at the Company's election only, should be excluded from fee bases and should be modeled in Schedule 4 as a separate case. The original-issue-discount consequences of PIK Interest require tax review.</w:t>
      </w:r>
    </w:p>
    <w:p>
      <w:pPr>
        <w:pStyle w:val="Heading3"/>
      </w:pPr>
      <w:bookmarkStart w:id="41" w:name="usury-licensing-and-rate-savings"/>
      <w:r>
        <w:t xml:space="preserve">3.7 Usury, Licensing and Rate Savings</w:t>
      </w:r>
      <w:bookmarkEnd w:id="41"/>
    </w:p>
    <w:p>
      <w:pPr>
        <w:pStyle w:val="FirstParagraph"/>
      </w:pPr>
      <w:r>
        <w:t xml:space="preserve">The Loan Documents will contain a customary rate-savings clause providing that any amount that would exceed the maximum lawful rate will be applied to principal or refunded. The Company's counsel will confirm, for the actual lender, borrower, governing law and payment stream, that the interest, fees, Final Payment, Prepayment Premium and Warrant together do not produce an unlawful rate and that Lender holds any license required under applicable commercial financing laws. No late fee, Default Rate, Final Payment, original issue discount, Warrant value or other charge may duplicate compensation for the same event.</w:t>
      </w:r>
    </w:p>
    <w:p>
      <w:pPr>
        <w:pStyle w:val="DraftingNote"/>
      </w:pPr>
      <w:r>
        <w:rPr>
          <w:b/>
        </w:rPr>
        <w:t xml:space="preserve">Drafting note:</w:t>
      </w:r>
      <w:r>
        <w:t xml:space="preserve"> </w:t>
      </w:r>
      <w:r>
        <w:t xml:space="preserve">Some jurisdictions treat fees, back-end payments and warrant value as interest for usury purposes and impose commercial-loan rate ceilings or licensing and disclosure obligations on non-bank lenders. Bank lenders may rely on rate exportation. The term sheet should identify the governing law early (Section 24) so that the usury and licensing analysis can be completed before definitive documents are drafted.</w:t>
      </w:r>
    </w:p>
    <w:p>
      <w:pPr>
        <w:pStyle w:val="Heading2"/>
      </w:pPr>
      <w:bookmarkStart w:id="42" w:name="X3baa03af0fc0220135ee4f514429030ed1b1ea5"/>
      <w:r>
        <w:t xml:space="preserve">4 Interest-Only Period, Amortization and Maturity</w:t>
      </w:r>
      <w:bookmarkEnd w:id="42"/>
    </w:p>
    <w:p>
      <w:pPr>
        <w:pStyle w:val="Heading3"/>
      </w:pPr>
      <w:bookmarkStart w:id="43" w:name="interest-only-period"/>
      <w:r>
        <w:t xml:space="preserve">4.1 Interest-Only Period</w:t>
      </w:r>
      <w:bookmarkEnd w:id="43"/>
    </w:p>
    <w:p>
      <w:pPr>
        <w:pStyle w:val="FirstParagraph"/>
      </w:pPr>
      <w:r>
        <w:t xml:space="preserve">From the Closing Date through [DATE / the last day of the [●]th full calendar month after the Closing Date] (the</w:t>
      </w:r>
      <w:r>
        <w:t xml:space="preserve"> </w:t>
      </w:r>
      <w:r>
        <w:rPr>
          <w:b/>
        </w:rPr>
        <w:t xml:space="preserve">Interest-Only Period</w:t>
      </w:r>
      <w:r>
        <w:t xml:space="preserve">), the Company will pay interest only on outstanding Advances. [The Interest-Only Period applies to all tranches regardless of draw date, so that all Advances begin amortizing on the same date.] [Alternatively, each tranche will have its own Interest-Only Period of [●] months from its funding date.]</w:t>
      </w:r>
    </w:p>
    <w:p>
      <w:pPr>
        <w:pStyle w:val="DraftingNote"/>
      </w:pPr>
      <w:r>
        <w:rPr>
          <w:b/>
        </w:rPr>
        <w:t xml:space="preserve">Drafting note:</w:t>
      </w:r>
      <w:r>
        <w:t xml:space="preserve"> </w:t>
      </w:r>
      <w:r>
        <w:t xml:space="preserve">The lender's opening ask is 6 to 12 months interest-only. Market practice is 12 to 24 months, longer for later-stage borrowers or in exchange for higher Warrant Coverage. The founder-protective position is 18 to 24 months with the extension right in Section 4.2, and an Interest-Only Period that ends no earlier than six months after the expected closing of the next equity round. If later tranches share the Closing Date Interest-Only Period, a late draw will amortize over fewer months unless the Maturity Date is per-tranche; Schedule 2 must show the schedule for each tranche under each possible draw date.</w:t>
      </w:r>
    </w:p>
    <w:p>
      <w:pPr>
        <w:pStyle w:val="Heading3"/>
      </w:pPr>
      <w:bookmarkStart w:id="44" w:name="extension-of-the-interest-only-period"/>
      <w:r>
        <w:t xml:space="preserve">4.2 Extension of the Interest-Only Period</w:t>
      </w:r>
      <w:bookmarkEnd w:id="44"/>
    </w:p>
    <w:p>
      <w:pPr>
        <w:pStyle w:val="FirstParagraph"/>
      </w:pPr>
      <w:r>
        <w:t xml:space="preserve">The Interest-Only Period will extend automatically by [6 / 12] months if, on or before [DATE], (a) the Company closes a Qualified Equity Financing of at least $[●] or (b) the Company achieves [REVENUE / ARR MILESTONE] measured on any month-end, and in either case no Event of Default has occurred and is continuing on the extension date. The extension is a right of the Company upon satisfaction of the stated conditions and is not subject to Lender discretion. [The Maturity Date will extend by the same period.] [The Maturity Date will not extend, and the number of amortization installments will be reduced correspondingly.]</w:t>
      </w:r>
    </w:p>
    <w:p>
      <w:pPr>
        <w:pStyle w:val="DraftingNote"/>
      </w:pPr>
      <w:r>
        <w:rPr>
          <w:b/>
        </w:rPr>
        <w:t xml:space="preserve">Drafting note:</w:t>
      </w:r>
      <w:r>
        <w:t xml:space="preserve"> </w:t>
      </w:r>
      <w:r>
        <w:t xml:space="preserve">The lender's form often conditions the extension on "Lender's satisfaction" or on the absence of any Default. Market practice is an objective equity or revenue trigger with a no-Event-of-Default condition. If the Maturity Date does not move, the extension compresses amortization into fewer and larger installments; model both structures in Schedule 4 and prefer a corresponding maturity extension.</w:t>
      </w:r>
    </w:p>
    <w:p>
      <w:pPr>
        <w:pStyle w:val="Heading3"/>
      </w:pPr>
      <w:bookmarkStart w:id="45" w:name="amortization"/>
      <w:r>
        <w:t xml:space="preserve">4.3 Amortization</w:t>
      </w:r>
      <w:bookmarkEnd w:id="45"/>
    </w:p>
    <w:p>
      <w:pPr>
        <w:pStyle w:val="FirstParagraph"/>
      </w:pPr>
      <w:r>
        <w:t xml:space="preserve">After the Interest-Only Period, the outstanding principal of each tranche will be repaid in [●] equal consecutive monthly installments of principal, together with accrued interest (</w:t>
      </w:r>
      <w:r>
        <w:rPr>
          <w:b/>
        </w:rPr>
        <w:t xml:space="preserve">straight-line amortization</w:t>
      </w:r>
      <w:r>
        <w:t xml:space="preserve">) [or in [●] equal consecutive monthly installments of principal and interest calculated at the then-applicable rate and recalculated upon each change in the Base Rate (</w:t>
      </w:r>
      <w:r>
        <w:rPr>
          <w:b/>
        </w:rPr>
        <w:t xml:space="preserve">mortgage-style amortization</w:t>
      </w:r>
      <w:r>
        <w:t xml:space="preserve">)], with all remaining principal, accrued interest, the Final Payment and other Obligations due on the Maturity Date. [No balloon payment will be required other than the Final Payment.] Installments will be applied to each tranche in the order the Company directs or, absent direction, pro rata.</w:t>
      </w:r>
    </w:p>
    <w:p>
      <w:pPr>
        <w:pStyle w:val="DraftingNote"/>
      </w:pPr>
      <w:r>
        <w:rPr>
          <w:b/>
        </w:rPr>
        <w:t xml:space="preserve">Drafting note:</w:t>
      </w:r>
      <w:r>
        <w:t xml:space="preserve"> </w:t>
      </w:r>
      <w:r>
        <w:t xml:space="preserve">Straight-line amortization produces larger early payments and less total interest; mortgage-style amortization produces level payments and more total interest. Lenders usually propose 24 to 36 months of amortization for a 36- to 48-month term. For the Company, the relevant number is the first amortizing month's total debt service compared with monthly net burn; in the illustrative model in Schedule 4, debt service rises from $50,000 to approximately $217,000 per month when amortization begins. Prefer amortization that begins after the expected next round and, if tranches are drawn late, a per-tranche schedule that does not shorten the repayment period.</w:t>
      </w:r>
    </w:p>
    <w:p>
      <w:pPr>
        <w:pStyle w:val="Heading3"/>
      </w:pPr>
      <w:bookmarkStart w:id="46" w:name="maturity-date"/>
      <w:r>
        <w:t xml:space="preserve">4.4 Maturity Date</w:t>
      </w:r>
      <w:bookmarkEnd w:id="46"/>
    </w:p>
    <w:p>
      <w:pPr>
        <w:pStyle w:val="FirstParagraph"/>
      </w:pPr>
      <w:r>
        <w:t xml:space="preserve">All Obligations will be due and payable in full on [DATE / the date that is [36 / 42 / 48 / 60] months after the Closing Date] (the</w:t>
      </w:r>
      <w:r>
        <w:t xml:space="preserve"> </w:t>
      </w:r>
      <w:r>
        <w:rPr>
          <w:b/>
        </w:rPr>
        <w:t xml:space="preserve">Maturity Date</w:t>
      </w:r>
      <w:r>
        <w:t xml:space="preserve">), subject to any extension under Section 4.2 and to earlier acceleration under Section 15.</w:t>
      </w:r>
    </w:p>
    <w:p>
      <w:pPr>
        <w:pStyle w:val="Heading3"/>
      </w:pPr>
      <w:bookmarkStart w:id="47" w:name="illustrative-payment-schedule"/>
      <w:r>
        <w:t xml:space="preserve">4.5 Illustrative Payment Schedule</w:t>
      </w:r>
      <w:bookmarkEnd w:id="47"/>
    </w:p>
    <w:tbl>
      <w:tblPr>
        <w:tblStyle w:val="TableGrid"/>
        <w:tblW w:type="dxa" w:w="9360"/>
        <w:jc w:val="center"/>
        <w:tblLayout w:type="fixed"/>
        <w:tblLook w:firstColumn="1" w:firstRow="1" w:lastColumn="0" w:lastRow="0" w:noHBand="0" w:noVBand="1" w:val="04A0"/>
      </w:tblPr>
      <w:tblGrid>
        <w:gridCol w:w="1560"/>
        <w:gridCol w:w="1560"/>
        <w:gridCol w:w="1560"/>
        <w:gridCol w:w="1560"/>
        <w:gridCol w:w="1560"/>
        <w:gridCol w:w="1560"/>
      </w:tblGrid>
      <w:tr>
        <w:trPr>
          <w:cantSplit/>
          <w:tblHeader/>
        </w:trPr>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Period</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Months</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Principal</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Interest</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Fees due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Notes</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0</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Advance funded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fee, legal and diligence fees netted from proceeds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Funds flow per EF-104</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Interest-Only Period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 through [●]</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on outstanding Advances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Unused fee on undrawn commitments, if any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Later tranches funded as Milestones are met</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Amortization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through [●]</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 of outstanding principal monthly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on declining balance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Compare first-month debt service with monthly net burn</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Maturity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Remaining balance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Accrued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Final Payment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Or earlier upon prepayment or acceleration</w:t>
            </w:r>
          </w:p>
        </w:tc>
      </w:tr>
    </w:tbl>
    <w:p>
      <w:pPr>
        <w:spacing w:before="0" w:after="120"/>
      </w:pPr>
    </w:p>
    <w:p>
      <w:pPr>
        <w:pStyle w:val="BodyText"/>
      </w:pPr>
      <w:r>
        <w:t xml:space="preserve">The definitive payment schedule for each tranche and each possible draw date will be attached to the Loan Agreement and reconciled to the Schedule 4 model.</w:t>
      </w:r>
    </w:p>
    <w:p>
      <w:pPr>
        <w:pStyle w:val="Heading2"/>
      </w:pPr>
      <w:bookmarkStart w:id="48" w:name="fees"/>
      <w:r>
        <w:t xml:space="preserve">5 Fees</w:t>
      </w:r>
      <w:bookmarkEnd w:id="48"/>
    </w:p>
    <w:p>
      <w:pPr>
        <w:pStyle w:val="Heading3"/>
      </w:pPr>
      <w:bookmarkStart w:id="49" w:name="closing-fee"/>
      <w:r>
        <w:t xml:space="preserve">5.1 Closing Fee</w:t>
      </w:r>
      <w:bookmarkEnd w:id="49"/>
    </w:p>
    <w:p>
      <w:pPr>
        <w:pStyle w:val="FirstParagraph"/>
      </w:pPr>
      <w:r>
        <w:t xml:space="preserve">The Company will pay a closing fee of [●]% of [the Tranche A commitment, payable on the Closing Date, and [●]% of each later tranche, payable only when and if that tranche is funded] [the Total Commitment, payable on the Closing Date] (the</w:t>
      </w:r>
      <w:r>
        <w:t xml:space="preserve"> </w:t>
      </w:r>
      <w:r>
        <w:rPr>
          <w:b/>
        </w:rPr>
        <w:t xml:space="preserve">Closing Fee</w:t>
      </w:r>
      <w:r>
        <w:t xml:space="preserve">). Any good-faith deposit paid under Section 5.7 will be credited against the Closing Fee. The Closing Fee may be netted from the proceeds of the initial Advance and will be shown in the funds flow.</w:t>
      </w:r>
    </w:p>
    <w:p>
      <w:pPr>
        <w:pStyle w:val="DraftingNote"/>
      </w:pPr>
      <w:r>
        <w:rPr>
          <w:b/>
        </w:rPr>
        <w:t xml:space="preserve">Drafting note:</w:t>
      </w:r>
      <w:r>
        <w:t xml:space="preserve"> </w:t>
      </w:r>
      <w:r>
        <w:t xml:space="preserve">The lender's opening ask is 1.0% to 1.5% of the Total Commitment payable at Closing, including on tranches that may never fund. Market practice is 0.5% to 1.0%. The founder-protective position is a fee calculated only on funded Advances, payable as each tranche funds, with the deposit credited. A closing fee on an unfunded tranche is a pure cost of optionality and should be priced accordingly in Schedule 4.</w:t>
      </w:r>
    </w:p>
    <w:p>
      <w:pPr>
        <w:pStyle w:val="Heading3"/>
      </w:pPr>
      <w:bookmarkStart w:id="50" w:name="unused-fee"/>
      <w:r>
        <w:t xml:space="preserve">5.2 Unused Fee</w:t>
      </w:r>
      <w:bookmarkEnd w:id="50"/>
    </w:p>
    <w:p>
      <w:pPr>
        <w:pStyle w:val="FirstParagraph"/>
      </w:pPr>
      <w:r>
        <w:t xml:space="preserve">[The Company will pay an unused fee of [●]% per annum on the daily undrawn amount of the [Revolving / Tranche B] commitment during its Availability Period, payable quarterly in arrears.] [No unused or non-utilization fee will apply to any tranche.]</w:t>
      </w:r>
    </w:p>
    <w:p>
      <w:pPr>
        <w:pStyle w:val="DraftingNote"/>
      </w:pPr>
      <w:r>
        <w:rPr>
          <w:b/>
        </w:rPr>
        <w:t xml:space="preserve">Drafting note:</w:t>
      </w:r>
      <w:r>
        <w:t xml:space="preserve"> </w:t>
      </w:r>
      <w:r>
        <w:t xml:space="preserve">Unused fees are common on revolving commitments (0.25% to 0.50%) and uncommon on milestone-gated term tranches. The founder-protective position is no unused fee on any tranche whose availability depends on a Milestone the Company has not yet achieved, and a right to terminate any undrawn commitment on notice without fee.</w:t>
      </w:r>
    </w:p>
    <w:p>
      <w:pPr>
        <w:pStyle w:val="Heading3"/>
      </w:pPr>
      <w:bookmarkStart w:id="51" w:name="final-payment"/>
      <w:r>
        <w:t xml:space="preserve">5.3 Final Payment</w:t>
      </w:r>
      <w:bookmarkEnd w:id="51"/>
    </w:p>
    <w:p>
      <w:pPr>
        <w:pStyle w:val="FirstParagraph"/>
      </w:pPr>
      <w:r>
        <w:t xml:space="preserve">On the earliest of the Maturity Date, the date of any prepayment (as to the amount prepaid) and the date of acceleration, the Company will pay a fee equal to [●]% of [the aggregate original principal amount of Advances actually funded] (the</w:t>
      </w:r>
      <w:r>
        <w:t xml:space="preserve"> </w:t>
      </w:r>
      <w:r>
        <w:rPr>
          <w:b/>
        </w:rPr>
        <w:t xml:space="preserve">Final Payment</w:t>
      </w:r>
      <w:r>
        <w:t xml:space="preserve">). The Final Payment will not be calculated on undrawn commitments, PIK Interest or capitalized interest, and will be payable pro rata upon any partial prepayment. [The Final Payment is not payable upon acceleration unless the Event of Default is a payment default or an insolvency default.]</w:t>
      </w:r>
    </w:p>
    <w:p>
      <w:pPr>
        <w:pStyle w:val="DraftingNote"/>
      </w:pPr>
      <w:r>
        <w:rPr>
          <w:b/>
        </w:rPr>
        <w:t xml:space="preserve">Drafting note:</w:t>
      </w:r>
      <w:r>
        <w:t xml:space="preserve"> </w:t>
      </w:r>
      <w:r>
        <w:t xml:space="preserve">The lender's opening ask is 5% to 10% of the Total Commitment, payable in full upon any prepayment or acceleration. Market practice is 3% to 7% of funded Advances. The founder-protective position is 4% or less of funded Advances, prorated on partial prepayment and payable on acceleration only for payment and insolvency defaults. Because the Final Payment is a fixed amount regardless of hold period, it has an outsized effect on the effective rate if the loan is repaid early: in the illustrative Schedule 4 model, a 5% Final Payment adds approximately 1.3 percentage points to the effective annual rate on a 48-month hold and considerably more on a 24-month hold. Founders may trade a higher Applicable Margin for a lower Final Payment when early repayment is likely.</w:t>
      </w:r>
    </w:p>
    <w:p>
      <w:pPr>
        <w:pStyle w:val="Heading3"/>
      </w:pPr>
      <w:bookmarkStart w:id="52" w:name="prepayment-premium"/>
      <w:r>
        <w:t xml:space="preserve">5.4 Prepayment Premium</w:t>
      </w:r>
      <w:bookmarkEnd w:id="52"/>
    </w:p>
    <w:p>
      <w:pPr>
        <w:pStyle w:val="FirstParagraph"/>
      </w:pPr>
      <w:r>
        <w:t xml:space="preserve">A prepayment premium calculated on the principal amount prepaid will apply to any voluntary or mandatory prepayment (other than scheduled amortization) as follows (the</w:t>
      </w:r>
      <w:r>
        <w:t xml:space="preserve"> </w:t>
      </w:r>
      <w:r>
        <w:rPr>
          <w:b/>
        </w:rPr>
        <w:t xml:space="preserve">Prepayment Premium</w:t>
      </w:r>
      <w:r>
        <w:t xml:space="preserve">):</w:t>
      </w:r>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Prepayment during</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Lender typical opening ask</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Current market range</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Founder-protective position</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Months 1 through 12 after Closing</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2.0% to 3.0%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 to 2.0%</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Months 13 through 24 after Closing</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 to 2.0%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Months 25 through 36 after Closing</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0.5% to 1.0%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0%</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After month 36</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0% to 1.0%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0%</w:t>
            </w:r>
          </w:p>
        </w:tc>
      </w:tr>
    </w:tbl>
    <w:p>
      <w:pPr>
        <w:spacing w:before="0" w:after="120"/>
      </w:pPr>
    </w:p>
    <w:p>
      <w:pPr>
        <w:pStyle w:val="BodyText"/>
      </w:pPr>
      <w:r>
        <w:t xml:space="preserve">No Prepayment Premium will apply to a prepayment (a) funded with the proceeds of a Qualified Equity Financing [or subject to a premium equal to [50]% of the otherwise applicable percentage]; (b) made in connection with a refinancing provided by Lender or its Affiliate; (c) made in connection with a Change of Control in which Lender declined an offer to continue the facility on substantially the same terms with the acquirer; (d) required by illegality, increased cost or tax gross-up provisions; (e) made within [90] days before the Maturity Date; or (f) following acceleration caused by an Event of Default other than a payment or insolvency default.</w:t>
      </w:r>
    </w:p>
    <w:p>
      <w:pPr>
        <w:pStyle w:val="DraftingNote"/>
      </w:pPr>
      <w:r>
        <w:rPr>
          <w:b/>
        </w:rPr>
        <w:t xml:space="preserve">Drafting note:</w:t>
      </w:r>
      <w:r>
        <w:t xml:space="preserve"> </w:t>
      </w:r>
      <w:r>
        <w:t xml:space="preserve">The Prepayment Premium and the Final Payment are both back-end economics; negotiate them together and model the combined cost at each likely exit month. The exception for Change of Control is the most important, because an acquirer will insist on paying off the facility and the premium is then borne by stockholders in the purchase price. Lenders resist equity-financing exceptions because repayment from the next round is the most likely prepayment event; a 50% reduction is a common compromise.</w:t>
      </w:r>
    </w:p>
    <w:p>
      <w:pPr>
        <w:pStyle w:val="Heading3"/>
      </w:pPr>
      <w:bookmarkStart w:id="53" w:name="X2ee6caf39fd15c87717678857a3764bdba40c85"/>
      <w:r>
        <w:t xml:space="preserve">5.5 Legal Fees, Diligence Fee and Other Expenses</w:t>
      </w:r>
      <w:bookmarkEnd w:id="53"/>
    </w:p>
    <w:p>
      <w:pPr>
        <w:pStyle w:val="FirstParagraph"/>
      </w:pPr>
      <w:r>
        <w:t xml:space="preserve">The Company will reimburse Lender's reasonable and documented out-of-pocket fees and expenses of outside counsel, lien searches, filings and third-party diligence incurred in connection with the Closing, not to exceed $[●] in the aggregate (the</w:t>
      </w:r>
      <w:r>
        <w:t xml:space="preserve"> </w:t>
      </w:r>
      <w:r>
        <w:rPr>
          <w:b/>
        </w:rPr>
        <w:t xml:space="preserve">Legal Fee Cap</w:t>
      </w:r>
      <w:r>
        <w:t xml:space="preserve">) without the Company's prior written consent, and not to exceed $[●] for each later tranche. [The Company will pay a diligence fee of $[●], credited against the Closing Fee.] Lender's internal costs, travel and allocated overhead are not reimbursable. Fees for post-closing amendments, waivers and consents requested by the Company will be reasonable and documented and will not exceed $[●] per request absent an Event of Default. No collateral monitoring, servicing or administration fee will apply. All fees payable to Lender will be stated in this Term Sheet or in a fee letter delivered to the Company's board before Closing.</w:t>
      </w:r>
    </w:p>
    <w:p>
      <w:pPr>
        <w:pStyle w:val="DraftingNote"/>
      </w:pPr>
      <w:r>
        <w:rPr>
          <w:b/>
        </w:rPr>
        <w:t xml:space="preserve">Drafting note:</w:t>
      </w:r>
      <w:r>
        <w:t xml:space="preserve"> </w:t>
      </w:r>
      <w:r>
        <w:t xml:space="preserve">Market Legal Fee Caps for a term loan without foreign subsidiaries or an intercreditor agreement are approximately $25,000 to $75,000, inclusive of filing and search costs. The cap should be stated as inclusive of all third-party costs and should apply whether or not the Closing occurs, subject to Section 20.1. Undisclosed fee letters are a recurring source of founder dissatisfaction; require that every fee appear in a document the board has seen.</w:t>
      </w:r>
    </w:p>
    <w:p>
      <w:pPr>
        <w:pStyle w:val="Heading3"/>
      </w:pPr>
      <w:bookmarkStart w:id="54" w:name="success-fee"/>
      <w:r>
        <w:t xml:space="preserve">5.6 Success Fee</w:t>
      </w:r>
      <w:bookmarkEnd w:id="54"/>
    </w:p>
    <w:p>
      <w:pPr>
        <w:pStyle w:val="FirstParagraph"/>
      </w:pPr>
      <w:r>
        <w:t xml:space="preserve">[No success fee will apply.] [Alternatively: Upon a Liquidity Event occurring on or before the [●] anniversary of the Closing Date, the Company will pay Lender a fee equal to [●]% of [the Total Commitment / funded Advances] (the</w:t>
      </w:r>
      <w:r>
        <w:t xml:space="preserve"> </w:t>
      </w:r>
      <w:r>
        <w:rPr>
          <w:b/>
        </w:rPr>
        <w:t xml:space="preserve">Success Fee</w:t>
      </w:r>
      <w:r>
        <w:t xml:space="preserve">), in lieu of any Warrant.]</w:t>
      </w:r>
    </w:p>
    <w:p>
      <w:pPr>
        <w:pStyle w:val="DraftingNote"/>
      </w:pPr>
      <w:r>
        <w:rPr>
          <w:b/>
        </w:rPr>
        <w:t xml:space="preserve">Drafting note:</w:t>
      </w:r>
      <w:r>
        <w:t xml:space="preserve"> </w:t>
      </w:r>
      <w:r>
        <w:t xml:space="preserve">A Success Fee is a cash substitute for a Warrant and is usually priced at one to three times the Closing Fee. It avoids cap table complexity and investor-consent issues but is a fixed cash cost at exit regardless of valuation. A founder should never agree to both a Warrant and a Success Fee unless Warrant Coverage is reduced correspondingly, and should model both alternatives in Schedule 4 against the expected exit range.</w:t>
      </w:r>
    </w:p>
    <w:p>
      <w:pPr>
        <w:pStyle w:val="Heading3"/>
      </w:pPr>
      <w:bookmarkStart w:id="55" w:name="good-faith-deposit"/>
      <w:r>
        <w:t xml:space="preserve">5.7 Good-Faith Deposit</w:t>
      </w:r>
      <w:bookmarkEnd w:id="55"/>
    </w:p>
    <w:p>
      <w:pPr>
        <w:pStyle w:val="FirstParagraph"/>
      </w:pPr>
      <w:r>
        <w:t xml:space="preserve">Upon acceptance of this Term Sheet the Company will pay a deposit of $[●] (the</w:t>
      </w:r>
      <w:r>
        <w:t xml:space="preserve"> </w:t>
      </w:r>
      <w:r>
        <w:rPr>
          <w:b/>
        </w:rPr>
        <w:t xml:space="preserve">Deposit</w:t>
      </w:r>
      <w:r>
        <w:t xml:space="preserve">) to be applied to Lender's documented expenses under Section 5.5 and then to the Closing Fee. The unapplied balance will be refunded within [5] Business Days if (a) the Closing does not occur for any reason other than the Company's breach of the Binding Provisions, (b) Lender fails to deliver a draft Loan Agreement by the date in Section 19 or (c) Lender proposes terms materially less favorable to the Company than this Term Sheet. [Any diligence fee under Section 5.5 is nonrefundable.]</w:t>
      </w:r>
    </w:p>
    <w:p>
      <w:pPr>
        <w:pStyle w:val="Heading3"/>
      </w:pPr>
      <w:bookmarkStart w:id="56" w:name="fee-summary-and-anti-duplication"/>
      <w:r>
        <w:t xml:space="preserve">5.8 Fee Summary and Anti-Duplication</w:t>
      </w:r>
      <w:bookmarkEnd w:id="56"/>
    </w:p>
    <w:tbl>
      <w:tblPr>
        <w:tblStyle w:val="TableGrid"/>
        <w:tblW w:type="dxa" w:w="9360"/>
        <w:jc w:val="center"/>
        <w:tblLayout w:type="fixed"/>
        <w:tblLook w:firstColumn="1" w:firstRow="1" w:lastColumn="0" w:lastRow="0" w:noHBand="0" w:noVBand="1" w:val="04A0"/>
      </w:tblPr>
      <w:tblGrid>
        <w:gridCol w:w="1560"/>
        <w:gridCol w:w="1560"/>
        <w:gridCol w:w="1560"/>
        <w:gridCol w:w="1560"/>
        <w:gridCol w:w="1560"/>
        <w:gridCol w:w="1560"/>
      </w:tblGrid>
      <w:tr>
        <w:trPr>
          <w:cantSplit/>
          <w:tblHeader/>
        </w:trPr>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Fee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Basis</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Amount</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When payable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Credit or refund</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Reference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Fee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[Funded Advances / Total Commitment]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 each funding]</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Deposit credited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5.1</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Unused fee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Undrawn [Revolving / Tranche B] commitment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per annum</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Quarterly in arrears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5.2</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Final Payment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Funded Advances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Maturity, prepayment or acceleration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Prorated on partial prepayment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5.3</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Prepayment Premium</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Principal prepaid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 schedule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On prepayment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Exceptions in Section 5.4</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5.4</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Legal and diligence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Documented out-of-pocket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Capped at $[●]</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Excess requires consent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5.5</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Diligence fee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Fixed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Acceptance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Credited to Closing Fee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5.5</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Success Fee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applicable]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5.6</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Amendment and waiver fees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 request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to exceed $[●]</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On request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5.5</w:t>
            </w:r>
          </w:p>
        </w:tc>
      </w:tr>
    </w:tbl>
    <w:p>
      <w:pPr>
        <w:spacing w:before="0" w:after="120"/>
      </w:pPr>
    </w:p>
    <w:p>
      <w:pPr>
        <w:pStyle w:val="BodyText"/>
      </w:pPr>
      <w:r>
        <w:t xml:space="preserve">No fee not listed in this table may be charged. No fee is earned before the event stated for it, and no fee may compensate Lender twice for the same event.</w:t>
      </w:r>
    </w:p>
    <w:p>
      <w:pPr>
        <w:pStyle w:val="Heading2"/>
      </w:pPr>
      <w:bookmarkStart w:id="57" w:name="prepayment"/>
      <w:r>
        <w:t xml:space="preserve">6 Prepayment</w:t>
      </w:r>
      <w:bookmarkEnd w:id="57"/>
    </w:p>
    <w:p>
      <w:pPr>
        <w:pStyle w:val="Heading3"/>
      </w:pPr>
      <w:bookmarkStart w:id="58" w:name="voluntary-prepayment"/>
      <w:r>
        <w:t xml:space="preserve">6.1 Voluntary Prepayment</w:t>
      </w:r>
      <w:bookmarkEnd w:id="58"/>
    </w:p>
    <w:p>
      <w:pPr>
        <w:pStyle w:val="FirstParagraph"/>
      </w:pPr>
      <w:r>
        <w:t xml:space="preserve">The Company may prepay the Advances in whole or in part at any time on [5 / 10] Business Days' prior written notice, in minimum amounts of $[●] and integral multiples of $[●], together with accrued interest on the amount prepaid, the applicable Prepayment Premium and the pro rata Final Payment. A notice of prepayment may be conditioned on the closing of a financing, refinancing or sale and may be revoked if that transaction does not close. Partial prepayments will be applied to scheduled installments [in the order the Company directs / in inverse order of maturity].</w:t>
      </w:r>
    </w:p>
    <w:p>
      <w:pPr>
        <w:pStyle w:val="DraftingNote"/>
      </w:pPr>
      <w:r>
        <w:rPr>
          <w:b/>
        </w:rPr>
        <w:t xml:space="preserve">Drafting note:</w:t>
      </w:r>
      <w:r>
        <w:t xml:space="preserve"> </w:t>
      </w:r>
      <w:r>
        <w:t xml:space="preserve">The lender's form permits prepayment only in whole. Market practice permits partial prepayment in minimum amounts. The founder-protective position adds conditional and revocable notices and the Company's right to direct application, because applying prepayments to the next installments reduces near-term cash burden while applying them in inverse order reduces total interest; the Company should be able to choose.</w:t>
      </w:r>
    </w:p>
    <w:p>
      <w:pPr>
        <w:pStyle w:val="Heading3"/>
      </w:pPr>
      <w:bookmarkStart w:id="59" w:name="mandatory-prepayment"/>
      <w:r>
        <w:t xml:space="preserve">6.2 Mandatory Prepayment</w:t>
      </w:r>
      <w:bookmarkEnd w:id="59"/>
    </w:p>
    <w:p>
      <w:pPr>
        <w:pStyle w:val="FirstParagraph"/>
      </w:pPr>
      <w:r>
        <w:t xml:space="preserve">The Company will prepay the Obligations, together with the Prepayment Premium and the Final Payment, (a) in full upon a Change of Control, [unless the acquirer assumes the Obligations with Lender's consent, not to be unreasonably withheld, or Lender declines an offer to continue the facility under Section 5.4]; (b) in the amount of Net Cash Proceeds of any Disposition (other than a Permitted Transfer) exceeding $[●] in a single transaction or $[●] in any fiscal year, unless reinvested in assets useful in the business within [180 / 365] days; and (c) in the amount of insurance or condemnation proceeds exceeding $[●] not applied to repair or replacement within [180] days. No mandatory prepayment will be required from the proceeds of any equity issuance, Subordinated Debt, Permitted Indebtedness or excess cash flow.</w:t>
      </w:r>
    </w:p>
    <w:p>
      <w:pPr>
        <w:pStyle w:val="DraftingNote"/>
      </w:pPr>
      <w:r>
        <w:rPr>
          <w:b/>
        </w:rPr>
        <w:t xml:space="preserve">Drafting note:</w:t>
      </w:r>
      <w:r>
        <w:t xml:space="preserve"> </w:t>
      </w:r>
      <w:r>
        <w:t xml:space="preserve">An equity-proceeds sweep is inconsistent with the purpose of venture debt and should be rejected outright; the same applies to any excess-cash-flow sweep. Asset-sale sweeps should apply only above a threshold and after a reinvestment period. Change of Control treatment is the key negotiation: the Company needs certainty that it can sell itself by paying off the facility at a known cost (Section 5.4 exception (c)) and that a bona fide equity financing approved by the board can never constitute a Change of Control (Section 13.6).</w:t>
      </w:r>
    </w:p>
    <w:p>
      <w:pPr>
        <w:pStyle w:val="Heading3"/>
      </w:pPr>
      <w:bookmarkStart w:id="60" w:name="make-whole"/>
      <w:r>
        <w:t xml:space="preserve">6.3 Make-Whole</w:t>
      </w:r>
      <w:bookmarkEnd w:id="60"/>
    </w:p>
    <w:p>
      <w:pPr>
        <w:pStyle w:val="FirstParagraph"/>
      </w:pPr>
      <w:r>
        <w:t xml:space="preserve">[No make-whole amount will apply.] [Alternatively: If Lender requires a make-whole, it will be limited to interest at the contract rate (excluding the Default Rate) that would have accrued through the [12]-month anniversary of the Closing Date, discounted to present value at the Treasury rate for a comparable maturity plus [50] basis points, will apply only to prepayments during the first year, and will replace, not supplement, the Prepayment Premium for that period.]</w:t>
      </w:r>
    </w:p>
    <w:p>
      <w:pPr>
        <w:pStyle w:val="DraftingNote"/>
      </w:pPr>
      <w:r>
        <w:rPr>
          <w:b/>
        </w:rPr>
        <w:t xml:space="preserve">Drafting note:</w:t>
      </w:r>
      <w:r>
        <w:t xml:space="preserve"> </w:t>
      </w:r>
      <w:r>
        <w:t xml:space="preserve">Make-wholes are atypical in venture debt and appear mainly in structured non-bank facilities. If a lender insists, confine the make-whole to year one, define the calculation precisely, exclude the Default Rate and confirm that the make-whole and the Prepayment Premium never apply to the same prepayment. The enforceability of a make-whole upon acceleration in insolvency is contested; the term sheet should not assume it is collectible.</w:t>
      </w:r>
    </w:p>
    <w:p>
      <w:pPr>
        <w:pStyle w:val="Heading3"/>
      </w:pPr>
      <w:bookmarkStart w:id="61" w:name="application-of-payments"/>
      <w:r>
        <w:t xml:space="preserve">6.4 Application of Payments</w:t>
      </w:r>
      <w:bookmarkEnd w:id="61"/>
    </w:p>
    <w:p>
      <w:pPr>
        <w:pStyle w:val="FirstParagraph"/>
      </w:pPr>
      <w:r>
        <w:t xml:space="preserve">Before an Event of Default, payments will be applied as directed by the Company, or absent direction, first to fees and expenses then due, then to accrued interest, then to principal in the order of scheduled installments. After an Event of Default, Lender may apply payments and proceeds of Collateral in the order the Loan Agreement provides. Lender's right of setoff will arise only after an Event of Default.</w:t>
      </w:r>
    </w:p>
    <w:p>
      <w:pPr>
        <w:pStyle w:val="Heading2"/>
      </w:pPr>
      <w:bookmarkStart w:id="62" w:name="use-of-proceeds-and-prohibited-uses"/>
      <w:r>
        <w:t xml:space="preserve">7 Use of Proceeds and Prohibited Uses</w:t>
      </w:r>
      <w:bookmarkEnd w:id="62"/>
    </w:p>
    <w:p>
      <w:pPr>
        <w:pStyle w:val="FirstParagraph"/>
      </w:pPr>
      <w:r>
        <w:t xml:space="preserve">Proceeds of the Advances may be used for working capital and general corporate purposes, including [approved capital expenditures consistent with the board-approved budget], [the acquisition described in Schedule 2], and transaction fees and expenses. Pending use, proceeds may be held in Permitted Investments. Proceeds may not be used (a) to pay dividends or distributions or to redeem or repurchase equity other than Permitted Distributions; (b) to repay Subordinated Debt or any Indebtedness owed to an Affiliate, officer, director or stockholder; (c) to make Investments other than Permitted Investments; (d) to purchase or carry margin stock; (e) for the benefit of any sanctioned Person or in violation of anti-corruption or anti-money-laundering laws; or (f) to fund a non-Guarantor foreign subsidiary beyond the intercompany basket in Section 13.5.</w:t>
      </w:r>
    </w:p>
    <w:p>
      <w:pPr>
        <w:pStyle w:val="DraftingNote"/>
      </w:pPr>
      <w:r>
        <w:rPr>
          <w:b/>
        </w:rPr>
        <w:t xml:space="preserve">Drafting note:</w:t>
      </w:r>
      <w:r>
        <w:t xml:space="preserve"> </w:t>
      </w:r>
      <w:r>
        <w:t xml:space="preserve">"Working capital and general corporate purposes" is the founder-protective standard. Avoid narrative purpose statements such as "to extend runway to a Series [●] financing," which invite a later argument that failure to raise constitutes a material deviation. Confirm that the foreign-subsidiary basket covers actual payroll and operating expenses abroad.</w:t>
      </w:r>
    </w:p>
    <w:p>
      <w:pPr>
        <w:pStyle w:val="Heading2"/>
      </w:pPr>
      <w:bookmarkStart w:id="63" w:name="collateral-and-security"/>
      <w:r>
        <w:t xml:space="preserve">8 Collateral and Security</w:t>
      </w:r>
      <w:bookmarkEnd w:id="63"/>
    </w:p>
    <w:p>
      <w:pPr>
        <w:pStyle w:val="Heading3"/>
      </w:pPr>
      <w:bookmarkStart w:id="64" w:name="grant-and-priority"/>
      <w:r>
        <w:t xml:space="preserve">8.1 Grant and Priority</w:t>
      </w:r>
      <w:bookmarkEnd w:id="64"/>
    </w:p>
    <w:p>
      <w:pPr>
        <w:pStyle w:val="FirstParagraph"/>
      </w:pPr>
      <w:r>
        <w:t xml:space="preserve">The Obligations will be secured by a first-priority perfected security interest, subject only to Permitted Liens, in all present and after-acquired personal property of each Loan Party, including accounts, chattel paper, inventory, equipment, instruments, investment property, documents, deposit accounts, letter-of-credit rights, commercial tort claims specifically described in a written notice to Lender and exceeding $[●], general intangibles (subject to Section 8.3 as to Intellectual Property), books and records, and all proceeds of the foregoing, but excluding Excluded Assets (collectively, the</w:t>
      </w:r>
      <w:r>
        <w:t xml:space="preserve"> </w:t>
      </w:r>
      <w:r>
        <w:rPr>
          <w:b/>
        </w:rPr>
        <w:t xml:space="preserve">Collateral</w:t>
      </w:r>
      <w:r>
        <w:t xml:space="preserve">). No mortgage or leasehold mortgage will be required. The collateral description in the UCC financing statement will be conformed to the security agreement and will expressly exclude Excluded Assets.</w:t>
      </w:r>
    </w:p>
    <w:p>
      <w:pPr>
        <w:pStyle w:val="DraftingNote"/>
      </w:pPr>
      <w:r>
        <w:rPr>
          <w:b/>
        </w:rPr>
        <w:t xml:space="preserve">Drafting note:</w:t>
      </w:r>
      <w:r>
        <w:t xml:space="preserve"> </w:t>
      </w:r>
      <w:r>
        <w:t xml:space="preserve">An all-asset lien is universal in venture debt; the negotiation is over exclusions, the IP structure and account control. Coordinate the UCC financing statement with the security agreement so that an "all assets" filing does not claim property the agreement excludes. The firm's security agreement form (EF-076) and perfection certificate (EF-099) carry the detailed collateral mechanics.</w:t>
      </w:r>
    </w:p>
    <w:p>
      <w:pPr>
        <w:pStyle w:val="Heading3"/>
      </w:pPr>
      <w:bookmarkStart w:id="65" w:name="excluded-assets"/>
      <w:r>
        <w:t xml:space="preserve">8.2 Excluded Assets</w:t>
      </w:r>
      <w:bookmarkEnd w:id="65"/>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Excluded Asset</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Scope</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Condition or limitation</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Intellectual Property</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All IP if Option B or C in Section 8.3 is selected</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Proceeds (accounts and royalties) remain Collateral</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Equipment subject to Permitted Liens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Equipment financed by purchase-money debt or capital leases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Only to the extent the financing document prohibits a junior lien</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Contracts and licenses with anti-assignment terms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Agreements whose terms prohibit a security interest</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Only to the extent the prohibition is effective after giving effect to UCC Sections 9-406 through 9-409</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Intent-to-use trademark applications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Applications filed under Lanham Act Section 1(b)</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Until a statement of use or amendment to allege use is filed</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Equity of foreign subsidiaries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Voting equity exceeding [65]% of any first-tier CFC; all equity of lower-tier foreign subsidiaries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See Section 8.5</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Accounts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Accounts listed in Section 8.4</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Balances within stated limits</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Governmental licenses and permits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Licenses whose pledge is prohibited by law</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To the extent of the prohibition</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Motor vehicles and other titled goods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Vehicles with value below $[●]</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Perfection would require certificate-of-title notation</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Assets with disproportionate perfection cost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Assets as to which Lender and the Company reasonably agree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Cost of perfection exceeds practical benefit</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Proceeds of Excluded Assets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All proceeds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Remain Collateral unless themselves Excluded Assets</w:t>
            </w:r>
          </w:p>
        </w:tc>
      </w:tr>
    </w:tbl>
    <w:p>
      <w:pPr>
        <w:spacing w:before="0" w:after="120"/>
      </w:pPr>
    </w:p>
    <w:p>
      <w:pPr>
        <w:pStyle w:val="Heading3"/>
      </w:pPr>
      <w:bookmarkStart w:id="66" w:name="intellectual-property-structure"/>
      <w:r>
        <w:t xml:space="preserve">8.3 Intellectual Property Structure</w:t>
      </w:r>
      <w:bookmarkEnd w:id="66"/>
    </w:p>
    <w:p>
      <w:pPr>
        <w:pStyle w:val="FirstParagraph"/>
      </w:pPr>
      <w:r>
        <w:t xml:space="preserve">The parties will select one of the following structures for the Company's patents, patent applications, trademarks, service marks, trade names, domain names, copyrights, software, source code, trade secrets, know-how and licenses (collectively,</w:t>
      </w:r>
      <w:r>
        <w:t xml:space="preserve"> </w:t>
      </w:r>
      <w:r>
        <w:rPr>
          <w:b/>
        </w:rPr>
        <w:t xml:space="preserve">Intellectual Property</w:t>
      </w:r>
      <w:r>
        <w:t xml:space="preserve"> </w:t>
      </w:r>
      <w:r>
        <w:t xml:space="preserve">or</w:t>
      </w:r>
      <w:r>
        <w:t xml:space="preserve"> </w:t>
      </w:r>
      <w:r>
        <w:rPr>
          <w:b/>
        </w:rPr>
        <w:t xml:space="preserve">IP</w:t>
      </w:r>
      <w:r>
        <w:t xml:space="preserve">):</w:t>
      </w:r>
    </w:p>
    <w:p>
      <w:pPr>
        <w:pStyle w:val="BodyText"/>
      </w:pPr>
      <w:r>
        <w:rPr>
          <w:b/>
        </w:rPr>
        <w:t xml:space="preserve">Option A — Current IP lien.</w:t>
      </w:r>
      <w:r>
        <w:t xml:space="preserve"> </w:t>
      </w:r>
      <w:r>
        <w:t xml:space="preserve">Intellectual Property is Collateral. Lender will perfect by UCC filing and will record short-form notices against registered patents, trademarks and copyrights with the United States Patent and Trademark Office and United States Copyright Office. Foreign recordations will be limited to [JURISDICTIONS] at a cost not exceeding $[●]. The Company retains the right to grant non-exclusive licenses in the ordinary course, to grant exclusive licenses limited by field or territory in the ordinary course [with notice], to abandon or allow to lapse IP that is no longer useful in the Company's reasonable business judgment, and to complete Permitted Transfers of IP.</w:t>
      </w:r>
    </w:p>
    <w:p>
      <w:pPr>
        <w:pStyle w:val="BodyText"/>
      </w:pPr>
      <w:r>
        <w:rPr>
          <w:b/>
        </w:rPr>
        <w:t xml:space="preserve">Option B — Negative pledge.</w:t>
      </w:r>
      <w:r>
        <w:t xml:space="preserve"> </w:t>
      </w:r>
      <w:r>
        <w:t xml:space="preserve">Intellectual Property is an Excluded Asset. The Company agrees not to grant a Lien on, or transfer, any Intellectual Property other than Permitted Liens, Permitted Transfers and licenses in the ordinary course, and agrees that the accounts, royalties and other proceeds of Intellectual Property are Collateral (the</w:t>
      </w:r>
      <w:r>
        <w:t xml:space="preserve"> </w:t>
      </w:r>
      <w:r>
        <w:rPr>
          <w:b/>
        </w:rPr>
        <w:t xml:space="preserve">IP Negative Pledge</w:t>
      </w:r>
      <w:r>
        <w:t xml:space="preserve">). The firm's negative pledge form (EF-102) carries the operative terms.</w:t>
      </w:r>
    </w:p>
    <w:p>
      <w:pPr>
        <w:pStyle w:val="BodyText"/>
      </w:pPr>
      <w:r>
        <w:rPr>
          <w:b/>
        </w:rPr>
        <w:t xml:space="preserve">Option C — Springing lien.</w:t>
      </w:r>
      <w:r>
        <w:t xml:space="preserve"> </w:t>
      </w:r>
      <w:r>
        <w:t xml:space="preserve">Intellectual Property is an Excluded Asset until the occurrence of a Springing Lien Trigger, at which time a security interest in Intellectual Property automatically attaches and Lender may file the pre-authorized financing statement amendment and IP security agreement held under the Loan Agreement. A</w:t>
      </w:r>
      <w:r>
        <w:t xml:space="preserve"> </w:t>
      </w:r>
      <w:r>
        <w:rPr>
          <w:b/>
        </w:rPr>
        <w:t xml:space="preserve">Springing Lien Trigger</w:t>
      </w:r>
      <w:r>
        <w:t xml:space="preserve"> </w:t>
      </w:r>
      <w:r>
        <w:t xml:space="preserve">is limited to [(a) an Event of Default that has continued beyond any applicable cure period and as to which Lender has delivered written notice; (b) Unrestricted Cash falling below $[●] for [●] consecutive Business Days; or (c) the Company's failure to close a Qualified Equity Financing of at least $[●] by [DATE]]. Lender will give the Company written notice of any Springing Lien Trigger.</w:t>
      </w:r>
    </w:p>
    <w:p>
      <w:pPr>
        <w:pStyle w:val="DraftingNote"/>
      </w:pPr>
      <w:r>
        <w:rPr>
          <w:b/>
        </w:rPr>
        <w:t xml:space="preserve">Drafting note:</w:t>
      </w:r>
      <w:r>
        <w:t xml:space="preserve"> </w:t>
      </w:r>
      <w:r>
        <w:t xml:space="preserve">The lender's opening ask from a non-bank lender is Option A with worldwide recordations, a prohibition on exclusive licenses without consent and source code escrow. Bank lenders have more commonly accepted Option B or C. The founder-protective position is Option B, then Option C with objective triggers and notice, then Option A limited to notice filings in the United States with broad ordinary-course licensing rights and no escrow. A current IP lien complicates strategic licensing, government contracting and acquirer diligence and must be released cleanly at payoff; a springing lien must have triggers the Company can monitor. In every option, identify IP that cannot be pledged (licensed-in IP, government-funded IP subject to march-in or reporting rights, open-source components) and confirm that invention assignment agreements from every founder, employee and contractor are in place before the Company represents that it owns its IP (Section 17).</w:t>
      </w:r>
    </w:p>
    <w:p>
      <w:pPr>
        <w:pStyle w:val="Heading3"/>
      </w:pPr>
      <w:bookmarkStart w:id="67" w:name="deposit-accounts-and-control-agreements"/>
      <w:r>
        <w:t xml:space="preserve">8.4 Deposit Accounts and Control Agreements</w:t>
      </w:r>
      <w:bookmarkEnd w:id="67"/>
    </w:p>
    <w:p>
      <w:pPr>
        <w:pStyle w:val="FirstParagraph"/>
      </w:pPr>
      <w:r>
        <w:t xml:space="preserve">Each Loan Party will maintain its deposit, securities and commodities accounts [with Lender / with Lender and with other institutions that have executed Control Agreements]. The following are</w:t>
      </w:r>
      <w:r>
        <w:t xml:space="preserve"> </w:t>
      </w:r>
      <w:r>
        <w:rPr>
          <w:b/>
        </w:rPr>
        <w:t xml:space="preserve">Excluded Accounts</w:t>
      </w:r>
      <w:r>
        <w:t xml:space="preserve"> </w:t>
      </w:r>
      <w:r>
        <w:t xml:space="preserve">and will not require a Control Agreement: payroll, payroll tax and withholding accounts; employee benefit and health accounts; trust, escrow, fiduciary and customer-funds accounts; zero-balance disbursement accounts; petty cash and local operating accounts with balances not exceeding $[●] individually and $[●] in the aggregate; and accounts of non-Guarantor foreign subsidiaries. Each Control Agreement will be springing, permitting Lender to deliver a notice of exclusive control only after an Event of Default has occurred and is continuing. Control Agreements for accounts existing at Closing will be delivered within [30 / 60] days after the Closing Date as a post-closing covenant, and for new accounts within [30] days after opening. [If Lender is a bank: the Company will maintain not less than [●]% of its consolidated U.S. cash, cash equivalents and Permitted Investments in accounts with Lender, excluding Excluded Accounts, with a [60]-day transition period after Closing and a right to hold amounts exceeding deposit-insurance limits in insured cash sweep or money-market products.]</w:t>
      </w:r>
    </w:p>
    <w:p>
      <w:pPr>
        <w:pStyle w:val="DraftingNote"/>
      </w:pPr>
      <w:r>
        <w:rPr>
          <w:b/>
        </w:rPr>
        <w:t xml:space="preserve">Drafting note:</w:t>
      </w:r>
      <w:r>
        <w:t xml:space="preserve"> </w:t>
      </w:r>
      <w:r>
        <w:t xml:space="preserve">The lender's form requires every account to be subject to an active Control Agreement at Closing and, for banks, a primary banking relationship covering all operating cash. Market practice is springing control, a post-closing delivery period and a primary banking covenant in the 50% to 100% range for bank lenders. The founder-protective position is springing control, meaningful Excluded Account thresholds, a post-closing covenant (not a Closing condition) for third-party Control Agreements, no default if a third-party bank refuses a Control Agreement so long as the Company moves the funds within [30] days, and treasury flexibility that permits diversification above deposit-insurance limits.</w:t>
      </w:r>
    </w:p>
    <w:p>
      <w:pPr>
        <w:pStyle w:val="Heading3"/>
      </w:pPr>
      <w:bookmarkStart w:id="68" w:name="X4e739a14796d27f6626825c91770c6ba10b9b2a"/>
      <w:r>
        <w:t xml:space="preserve">8.5 Subsidiary Guarantees, Equity Pledges and Foreign Subsidiaries</w:t>
      </w:r>
      <w:bookmarkEnd w:id="68"/>
    </w:p>
    <w:p>
      <w:pPr>
        <w:pStyle w:val="FirstParagraph"/>
      </w:pPr>
      <w:r>
        <w:t xml:space="preserve">Each domestic subsidiary that is not an Excluded Subsidiary will become a Guarantor and grant a lien on its assets within [30] days after formation or acquisition. The Company will pledge 100% of the equity interests of each domestic subsidiary and [65% of the voting and 100% of the non-voting equity interests of each first-tier foreign subsidiary that is a controlled foreign corporation (</w:t>
      </w:r>
      <w:r>
        <w:rPr>
          <w:b/>
        </w:rPr>
        <w:t xml:space="preserve">CFC</w:t>
      </w:r>
      <w:r>
        <w:t xml:space="preserve">)] [no equity of any foreign subsidiary that is not a Material Foreign Subsidiary]. No foreign subsidiary will guarantee the Obligations or grant any Lien unless it is a Material Foreign Subsidiary, and no foreign-law security or pledge documents will be required [other than for [JURISDICTION], at a cost not exceeding $[●]]. The Company may make intercompany Investments in non-Guarantor foreign subsidiaries in the ordinary course for payroll and operating expenses not exceeding $[●] in any fiscal year (Section 13.5).</w:t>
      </w:r>
    </w:p>
    <w:p>
      <w:pPr>
        <w:pStyle w:val="DraftingNote"/>
      </w:pPr>
      <w:r>
        <w:rPr>
          <w:b/>
        </w:rPr>
        <w:t xml:space="preserve">Drafting note:</w:t>
      </w:r>
      <w:r>
        <w:t xml:space="preserve"> </w:t>
      </w:r>
      <w:r>
        <w:t xml:space="preserve">The 65% limitation on voting equity of CFCs historically avoided a deemed-dividend inclusion under Internal Revenue Code Section 956; subsequent changes in law reduced that concern for many corporate U.S. parents, but market documents still use the 65% limit or exclude CFC equity entirely. The lender's opening ask includes foreign guaranties and local-law pledges. The founder-protective position excludes foreign subsidiaries entirely unless they hold a material share of consolidated assets or revenue, limits any foreign pledge to U.S.-law documents, and funds foreign operations through an intercompany basket sized to the actual budget. Confirm tax treatment with the Company's advisers before agreeing to any foreign pledge.</w:t>
      </w:r>
    </w:p>
    <w:p>
      <w:pPr>
        <w:pStyle w:val="Heading3"/>
      </w:pPr>
      <w:bookmarkStart w:id="69" w:name="Xa03fadc940f3b0e22cc9af36730d1e990a27956"/>
      <w:r>
        <w:t xml:space="preserve">8.6 Landlord, Bailee and Collateral Access Agreements</w:t>
      </w:r>
      <w:bookmarkEnd w:id="69"/>
    </w:p>
    <w:p>
      <w:pPr>
        <w:pStyle w:val="FirstParagraph"/>
      </w:pPr>
      <w:r>
        <w:t xml:space="preserve">Lender may request a landlord waiver or collateral access agreement for any leased premises at which Collateral (excluding Intellectual Property, books and records and electronic data) with a book value exceeding $[●] is located, and a bailee letter from any third-party warehouse, contract manufacturer or logistics provider holding inventory or equipment exceeding $[●]. The Company will use commercially reasonable efforts to obtain them; failure to obtain a waiver or letter from a third party is not a Default, is not a Closing condition and [in a revolving facility] will result only in a reserve. No agreement will be required from cloud hosting, software-as-a-service or data-center providers, and no source code escrow will be required.</w:t>
      </w:r>
    </w:p>
    <w:p>
      <w:pPr>
        <w:pStyle w:val="Heading3"/>
      </w:pPr>
      <w:bookmarkStart w:id="70" w:name="X549a2c3b00530de78927eb88641c952aa88e233"/>
      <w:r>
        <w:t xml:space="preserve">8.7 Existing Liens, Subordination and Intercreditor Matters</w:t>
      </w:r>
      <w:bookmarkEnd w:id="70"/>
    </w:p>
    <w:p>
      <w:pPr>
        <w:pStyle w:val="FirstParagraph"/>
      </w:pPr>
      <w:r>
        <w:t xml:space="preserve">Closing is conditioned on the release, payoff, subordination or permitted-lien treatment of each existing Lien and debt obligation listed on Schedule 1. Any convertible promissory notes will be subordinated under a subordination agreement in a form consistent with the firm's subordination form (EF-078) permitting conversion to equity and prohibiting cash payments other than as specified. SAFEs and other convertible equity instruments are not Indebtedness and require no subordination, but each will be reviewed for any lien, negative pledge or payment right. Equipment lessors and purchase-money lenders will be Permitted Lien holders limited to the financed equipment. Lender agrees to negotiate in good faith a customary intercreditor agreement with any future provider of a Permitted receivables or working-capital facility of up to $[●]. No lien priority will be assumed from a contract label; counsel must confirm filing, possession, control, federal recording and choice-of-law requirements for each existing interest.</w:t>
      </w:r>
    </w:p>
    <w:p>
      <w:pPr>
        <w:pStyle w:val="Heading3"/>
      </w:pPr>
      <w:bookmarkStart w:id="71" w:name="insurance"/>
      <w:r>
        <w:t xml:space="preserve">8.8 Insurance</w:t>
      </w:r>
      <w:bookmarkEnd w:id="71"/>
    </w:p>
    <w:p>
      <w:pPr>
        <w:pStyle w:val="FirstParagraph"/>
      </w:pPr>
      <w:r>
        <w:t xml:space="preserve">The Loan Parties will maintain property and casualty insurance naming Lender as lender's loss payee, commercial general liability insurance naming Lender as additional insured, and [cyber liability insurance of at least $[●]], each with at least [30] days' notice of cancellation ([10] days for nonpayment). Directors' and officers' insurance will be maintained but will not name Lender. [No key-person life insurance will be required.] Coverage amounts will be consistent with the Company's existing program as reviewed by its broker, and the Company will not be required to purchase coverage types it does not already carry other than the loss payee and additional insured endorsements.</w:t>
      </w:r>
    </w:p>
    <w:p>
      <w:pPr>
        <w:pStyle w:val="Heading2"/>
      </w:pPr>
      <w:bookmarkStart w:id="72" w:name="warrant"/>
      <w:r>
        <w:t xml:space="preserve">9 Warrant</w:t>
      </w:r>
      <w:bookmarkEnd w:id="72"/>
    </w:p>
    <w:p>
      <w:pPr>
        <w:pStyle w:val="Heading3"/>
      </w:pPr>
      <w:bookmarkStart w:id="73" w:name="coverage"/>
      <w:r>
        <w:t xml:space="preserve">9.1 Coverage</w:t>
      </w:r>
      <w:bookmarkEnd w:id="73"/>
    </w:p>
    <w:p>
      <w:pPr>
        <w:pStyle w:val="FirstParagraph"/>
      </w:pPr>
      <w:r>
        <w:t xml:space="preserve">At Closing, the Company will issue to Lender [or its designated Affiliate] a warrant (the</w:t>
      </w:r>
      <w:r>
        <w:t xml:space="preserve"> </w:t>
      </w:r>
      <w:r>
        <w:rPr>
          <w:b/>
        </w:rPr>
        <w:t xml:space="preserve">Warrant</w:t>
      </w:r>
      <w:r>
        <w:t xml:space="preserve">) to purchase that number of Warrant Shares equal to (a) [●]% (the</w:t>
      </w:r>
      <w:r>
        <w:t xml:space="preserve"> </w:t>
      </w:r>
      <w:r>
        <w:rPr>
          <w:b/>
        </w:rPr>
        <w:t xml:space="preserve">Warrant Coverage</w:t>
      </w:r>
      <w:r>
        <w:t xml:space="preserve">) multiplied by [the Tranche A commitment / the Total Commitment / the aggregate principal amount of Advances actually funded], divided by (b) the Exercise Price, rounded down to the nearest whole share. [Additional Warrant Coverage of [●]% of each later tranche will be issued only upon and in proportion to the funding of that tranche.] The Warrant Coverage expressed in dollars is $[●], which at the Exercise Price in Section 9.3 equals [●] Warrant Shares, or approximately [●]% of the Company's fully diluted capitalization as of the Closing Date.</w:t>
      </w:r>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Coverage basis</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Lender typical opening ask</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Current market range</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Founder-protective position</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Percentage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 to 15% of Total Commitment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Bank lenders 2% to 8%; non-bank lenders 6% to 12% of commitment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 or less, or coverage scaled to funded Advances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Denominator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Total Commitment including unfunded tranches, issued at Closing</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 A at Closing; later tranche coverage issued when funded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Funded Advances only</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Fully diluted effect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stated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Stated in share count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Stated in share count and fully diluted percentage in the term sheet</w:t>
            </w:r>
          </w:p>
        </w:tc>
      </w:tr>
    </w:tbl>
    <w:p>
      <w:pPr>
        <w:spacing w:before="0" w:after="120"/>
      </w:pPr>
    </w:p>
    <w:p>
      <w:pPr>
        <w:pStyle w:val="DraftingNote"/>
      </w:pPr>
      <w:r>
        <w:rPr>
          <w:b/>
        </w:rPr>
        <w:t xml:space="preserve">Drafting note:</w:t>
      </w:r>
      <w:r>
        <w:t xml:space="preserve"> </w:t>
      </w:r>
      <w:r>
        <w:t xml:space="preserve">Warrant Coverage is a dollar value, not a percentage of the Company. Translate it for the board: $5,000,000 of commitment at 8% coverage equals $400,000 of Warrant value; at an Exercise Price of $4.00 that is 100,000 Warrant Shares, or 0.40% of a 25,000,000-share fully diluted capitalization. Coverage on unfunded tranches pays the lender for an option the Company may never exercise; the founder-protective position issues later-tranche coverage only upon funding. Warrant Coverage, the Final Payment and the Applicable Margin are interchangeable economics; a founder who expects a high-valuation exit should trade Warrant Coverage for cash fees, and one who expects a modest exit should do the opposite.</w:t>
      </w:r>
    </w:p>
    <w:p>
      <w:pPr>
        <w:pStyle w:val="Heading3"/>
      </w:pPr>
      <w:bookmarkStart w:id="74" w:name="class-of-security"/>
      <w:r>
        <w:t xml:space="preserve">9.2 Class of Security</w:t>
      </w:r>
      <w:bookmarkEnd w:id="74"/>
    </w:p>
    <w:p>
      <w:pPr>
        <w:pStyle w:val="FirstParagraph"/>
      </w:pPr>
      <w:r>
        <w:t xml:space="preserve">The Warrant will be exercisable for [shares of the Company's [SERIES] Preferred Stock, being the most senior series outstanding on the Closing Date] [shares of Common Stock] [shares of the series of preferred stock issued in the Company's next bona fide equity financing, or, if no such financing closes by [DATE], shares of [SERIES] Preferred Stock] (the</w:t>
      </w:r>
      <w:r>
        <w:t xml:space="preserve"> </w:t>
      </w:r>
      <w:r>
        <w:rPr>
          <w:b/>
        </w:rPr>
        <w:t xml:space="preserve">Warrant Shares</w:t>
      </w:r>
      <w:r>
        <w:t xml:space="preserve">).</w:t>
      </w:r>
    </w:p>
    <w:p>
      <w:pPr>
        <w:pStyle w:val="DraftingNote"/>
      </w:pPr>
      <w:r>
        <w:rPr>
          <w:b/>
        </w:rPr>
        <w:t xml:space="preserve">Drafting note:</w:t>
      </w:r>
      <w:r>
        <w:t xml:space="preserve"> </w:t>
      </w:r>
      <w:r>
        <w:t xml:space="preserve">The lender's opening ask is preferred stock of the most recent round, which carries a liquidation preference, price-based anti-dilution under the charter and conversion rights. The founder-protective position is Common Stock, which carries no preference, requires no charter amendment to authorize additional preferred and does not add the lender to the preferred class votes. Market practice is preferred of the last round, with the Warrant holder receiving limited information rights and not joining the investor agreements beyond a registration rights joinder and a drag-along undertaking. If preferred is used, confirm that enough authorized but unissued shares of that series exist; otherwise a charter amendment and preferred class vote will be required (Section 18).</w:t>
      </w:r>
    </w:p>
    <w:p>
      <w:pPr>
        <w:pStyle w:val="Heading3"/>
      </w:pPr>
      <w:bookmarkStart w:id="75" w:name="exercise-price"/>
      <w:r>
        <w:t xml:space="preserve">9.3 Exercise Price</w:t>
      </w:r>
      <w:bookmarkEnd w:id="75"/>
    </w:p>
    <w:p>
      <w:pPr>
        <w:pStyle w:val="FirstParagraph"/>
      </w:pPr>
      <w:r>
        <w:t xml:space="preserve">The exercise price per Warrant Share will be $[●] (the</w:t>
      </w:r>
      <w:r>
        <w:t xml:space="preserve"> </w:t>
      </w:r>
      <w:r>
        <w:rPr>
          <w:b/>
        </w:rPr>
        <w:t xml:space="preserve">Exercise Price</w:t>
      </w:r>
      <w:r>
        <w:t xml:space="preserve">), equal to [the price per share paid in the Company's most recent preferred stock financing] [the lower of (i) that price and (ii) the price per share in the first bona fide preferred stock financing that closes within [12] months after the Closing Date] [the fair market value of the Common Stock as determined in the Company's most recent independent valuation under Internal Revenue Code Section 409A].</w:t>
      </w:r>
    </w:p>
    <w:p>
      <w:pPr>
        <w:pStyle w:val="DraftingNote"/>
      </w:pPr>
      <w:r>
        <w:rPr>
          <w:b/>
        </w:rPr>
        <w:t xml:space="preserve">Drafting note:</w:t>
      </w:r>
      <w:r>
        <w:t xml:space="preserve"> </w:t>
      </w:r>
      <w:r>
        <w:t xml:space="preserve">A "lower of" formula is a lender request that converts the Warrant into a down-round hedge; because the share count equals the coverage amount divided by the Exercise Price, a lower price increases the number of Warrant Shares rather than merely lowering their cost. The founder-protective position fixes the Exercise Price at the last round price (for preferred) or the current Section 409A fair market value (for common). If a "lower of" formula is unavoidable, limit the window to the first priced round within six to twelve months and cap the share-count increase.</w:t>
      </w:r>
    </w:p>
    <w:p>
      <w:pPr>
        <w:pStyle w:val="Heading3"/>
      </w:pPr>
      <w:bookmarkStart w:id="76" w:name="term-and-exercise"/>
      <w:r>
        <w:t xml:space="preserve">9.4 Term and Exercise</w:t>
      </w:r>
      <w:bookmarkEnd w:id="76"/>
    </w:p>
    <w:p>
      <w:pPr>
        <w:pStyle w:val="FirstParagraph"/>
      </w:pPr>
      <w:r>
        <w:t xml:space="preserve">The Warrant will be exercisable in whole or in part for [7 / 10] years from issuance [or, if earlier, the [3]rd anniversary of the Company's initial public offering]. The holder may exercise for cash or on a net (cashless) basis by surrendering Warrant Shares with a fair market value equal to the aggregate Exercise Price, with fair market value determined by reference to the public trading price if the Warrant Shares are listed, the per-share consideration in a Liquidity Event, or otherwise the price per share in the Company's most recent bona fide equity financing or the good-faith determination of the board. The Warrant will be deemed automatically net exercised immediately before expiration or a Liquidity Event if it is then in the money, and will expire without payment if it is out of the money.</w:t>
      </w:r>
    </w:p>
    <w:p>
      <w:pPr>
        <w:pStyle w:val="DraftingNote"/>
      </w:pPr>
      <w:r>
        <w:rPr>
          <w:b/>
        </w:rPr>
        <w:t xml:space="preserve">Drafting note:</w:t>
      </w:r>
      <w:r>
        <w:t xml:space="preserve"> </w:t>
      </w:r>
      <w:r>
        <w:t xml:space="preserve">Ten years is the lender norm; seven years, or the earlier of ten years and a stated period after an initial public offering, is a common founder ask. Net exercise is universal. Confirm that an out-of-the-money Warrant expires at a Liquidity Event rather than converting to a cash claim (Section 9.7).</w:t>
      </w:r>
    </w:p>
    <w:p>
      <w:pPr>
        <w:pStyle w:val="Heading3"/>
      </w:pPr>
      <w:bookmarkStart w:id="77" w:name="adjustments-and-anti-dilution"/>
      <w:r>
        <w:t xml:space="preserve">9.5 Adjustments and Anti-Dilution</w:t>
      </w:r>
      <w:bookmarkEnd w:id="77"/>
    </w:p>
    <w:p>
      <w:pPr>
        <w:pStyle w:val="FirstParagraph"/>
      </w:pPr>
      <w:r>
        <w:t xml:space="preserve">The number of Warrant Shares and the Exercise Price will be adjusted proportionately for stock splits, stock dividends, combinations, reclassifications and similar recapitalizations. If the Warrant Shares are preferred stock, the holder will receive the benefit of the price-based anti-dilution adjustment applicable to that series under the charter only upon exercise, as a holder of that series, and the Warrant itself will contain no separate price-based anti-dilution protection. If the preferred series is converted or redeemed before exercise, the Warrant will become exercisable for the Common Stock or other consideration into which the Warrant Shares would have been converted.</w:t>
      </w:r>
    </w:p>
    <w:p>
      <w:pPr>
        <w:pStyle w:val="DraftingNote"/>
      </w:pPr>
      <w:r>
        <w:rPr>
          <w:b/>
        </w:rPr>
        <w:t xml:space="preserve">Drafting note:</w:t>
      </w:r>
      <w:r>
        <w:t xml:space="preserve"> </w:t>
      </w:r>
      <w:r>
        <w:t xml:space="preserve">The lender's form sometimes includes "most favored" or weighted-average anti-dilution within the Warrant, which would protect the lender against future down rounds independently of the preferred holders. Market practice and the founder-protective position are structural adjustments only, with charter-based protection available only to the extent the holder actually becomes a stockholder of the series.</w:t>
      </w:r>
    </w:p>
    <w:p>
      <w:pPr>
        <w:pStyle w:val="Heading3"/>
      </w:pPr>
      <w:bookmarkStart w:id="78" w:name="X3add24dec72594e31f48248a37ff0dd0ab565cc"/>
      <w:r>
        <w:t xml:space="preserve">9.6 Registration, Information and Transfer Rights</w:t>
      </w:r>
      <w:bookmarkEnd w:id="78"/>
    </w:p>
    <w:p>
      <w:pPr>
        <w:pStyle w:val="FirstParagraph"/>
      </w:pPr>
      <w:r>
        <w:t xml:space="preserve">The holder of the Warrant Shares will have piggyback registration rights on the same terms, and subject to the same cutbacks, as the holders of registrable securities under the Company's investors' rights agreement, implemented by [a joinder limited to the piggyback provisions / a separate side letter], and no demand or shelf registration rights. For so long as the Warrant or Warrant Shares are outstanding, the holder will receive the annual and quarterly financial statements delivered under Section 11 and no other information rights, and all information rights terminate upon an initial public offering. The Warrant may be transferred only to Affiliates of Lender, to assignees of the Advances permitted under Section 1.3 and, after an Event of Default, to any Person other than a Disqualified Lender. Warrant Shares will be subject to the Company's right of first refusal, the co-sale and drag-along provisions of the Company's investor agreements and a customary [180]-day lock-up in connection with an initial public offering, and the holder will agree to vote Warrant Shares in favor of any transaction approved under the drag-along provisions. The holder will not receive preemptive rights, a board seat or observer rights.</w:t>
      </w:r>
    </w:p>
    <w:p>
      <w:pPr>
        <w:pStyle w:val="Heading3"/>
      </w:pPr>
      <w:bookmarkStart w:id="79" w:name="put-and-repurchase-rights"/>
      <w:r>
        <w:t xml:space="preserve">9.7 Put and Repurchase Rights</w:t>
      </w:r>
      <w:bookmarkEnd w:id="79"/>
    </w:p>
    <w:p>
      <w:pPr>
        <w:pStyle w:val="FirstParagraph"/>
      </w:pPr>
      <w:r>
        <w:t xml:space="preserve">[The Warrant will contain no put, repurchase or cash settlement right.] [Alternatively, if Lender requires: Upon a Liquidity Event in which the Warrant is out of the money, the Company will pay the holder $[●], being [●]% of the Warrant Coverage, in full satisfaction of the Warrant.]</w:t>
      </w:r>
    </w:p>
    <w:p>
      <w:pPr>
        <w:pStyle w:val="DraftingNote"/>
      </w:pPr>
      <w:r>
        <w:rPr>
          <w:b/>
        </w:rPr>
        <w:t xml:space="preserve">Drafting note:</w:t>
      </w:r>
      <w:r>
        <w:t xml:space="preserve"> </w:t>
      </w:r>
      <w:r>
        <w:t xml:space="preserve">A put right converts the Warrant into a fixed cash obligation and may require liability classification under applicable accounting standards. Bank lenders do not customarily request puts; some non-bank lenders request a put at coverage value on a Liquidity Event. The founder-protective position is no put under any circumstances; the Warrant is equity risk the lender has chosen to take in exchange for its pricing.</w:t>
      </w:r>
    </w:p>
    <w:p>
      <w:pPr>
        <w:pStyle w:val="Heading3"/>
      </w:pPr>
      <w:bookmarkStart w:id="80" w:name="X4e0ca924570f0a8c34911eaf4d43ae9925dacca"/>
      <w:r>
        <w:t xml:space="preserve">9.8 Treatment on Change of Control, Initial Public Offering and Dissolution</w:t>
      </w:r>
      <w:bookmarkEnd w:id="80"/>
    </w:p>
    <w:p>
      <w:pPr>
        <w:pStyle w:val="FirstParagraph"/>
      </w:pPr>
      <w:r>
        <w:t xml:space="preserve">Upon a Change of Control in which the consideration is cash or marketable securities, the Warrant will be automatically net exercised immediately before the closing, and the holder will receive the consideration payable to holders of Warrant Shares [or, if the acquirer so elects and the Warrant is in the money, an assumed warrant for the acquirer's securities with equivalent economic terms]. Upon an initial public offering, a Warrant for preferred stock will become exercisable for the Common Stock into which the preferred would convert. Upon a dissolution or liquidation, the Warrant will be treated as exercised if in the money. The Warrant Shares will be included in the fully diluted capitalization used to allocate consideration in any Liquidity Event, and the Warrant holder will receive no payment if the Warrant is out of the money.</w:t>
      </w:r>
    </w:p>
    <w:p>
      <w:pPr>
        <w:pStyle w:val="Heading3"/>
      </w:pPr>
      <w:bookmarkStart w:id="81" w:name="X4ffe6671256b7ca898ca7000d04540983ae0e48"/>
      <w:r>
        <w:t xml:space="preserve">9.9 Approvals, Preemptive Rights and Securities Compliance</w:t>
      </w:r>
      <w:bookmarkEnd w:id="81"/>
    </w:p>
    <w:p>
      <w:pPr>
        <w:pStyle w:val="FirstParagraph"/>
      </w:pPr>
      <w:r>
        <w:t xml:space="preserve">The Company will obtain, before Closing: board approval of the Warrant and reservation of the Warrant Shares and any Common Stock issuable on conversion; any preferred class or series vote required under the charter's protective provisions for the issuance (including any increase in authorized shares); a waiver of, or confirmation that the Warrant is an excluded issuance under, the preemptive or pro rata rights in the investors' rights agreement; and any consent required under the right of first refusal and co-sale agreement or voting agreement. The Warrant will be issued in reliance on Rule 506(b) of Regulation D to an accredited investor, with a Form D filing and state notice filings as required, and will bear customary legends. Section 18 contains the approval matrix. The Company will not promise a class, price or share count that its charter, approvals, securities exemption or existing investor documents do not permit.</w:t>
      </w:r>
    </w:p>
    <w:p>
      <w:pPr>
        <w:pStyle w:val="Heading3"/>
      </w:pPr>
      <w:bookmarkStart w:id="82" w:name="tax-and-accounting"/>
      <w:r>
        <w:t xml:space="preserve">9.10 Tax and Accounting</w:t>
      </w:r>
      <w:bookmarkEnd w:id="82"/>
    </w:p>
    <w:p>
      <w:pPr>
        <w:pStyle w:val="FirstParagraph"/>
      </w:pPr>
      <w:r>
        <w:t xml:space="preserve">The Advances and the Warrant will be treated as an investment unit for federal income tax purposes, and the parties will agree on the allocation of issue price between the Advances and the Warrant under Internal Revenue Code Section 1273(c)(2), which will create original issue discount on the Advances. The parties will file consistently with that allocation. The Company's auditors will determine the balance sheet classification of the Warrant, and the Loan Documents will not condition any obligation on a particular accounting treatment. No provision of the Warrant will require cash settlement that could cause liability classification without the Company's informed consent.</w:t>
      </w:r>
    </w:p>
    <w:p>
      <w:pPr>
        <w:pStyle w:val="Heading2"/>
      </w:pPr>
      <w:bookmarkStart w:id="83" w:name="financial-covenants"/>
      <w:r>
        <w:t xml:space="preserve">10 Financial Covenants</w:t>
      </w:r>
      <w:bookmarkEnd w:id="83"/>
    </w:p>
    <w:p>
      <w:pPr>
        <w:pStyle w:val="Heading3"/>
      </w:pPr>
      <w:bookmarkStart w:id="84" w:name="covenant-package"/>
      <w:r>
        <w:t xml:space="preserve">10.1 Covenant Package</w:t>
      </w:r>
      <w:bookmarkEnd w:id="84"/>
    </w:p>
    <w:tbl>
      <w:tblPr>
        <w:tblStyle w:val="TableGrid"/>
        <w:tblW w:type="dxa" w:w="9360"/>
        <w:jc w:val="center"/>
        <w:tblLayout w:type="fixed"/>
        <w:tblLook w:firstColumn="1" w:firstRow="1" w:lastColumn="0" w:lastRow="0" w:noHBand="0" w:noVBand="1" w:val="04A0"/>
      </w:tblPr>
      <w:tblGrid>
        <w:gridCol w:w="1560"/>
        <w:gridCol w:w="1560"/>
        <w:gridCol w:w="1560"/>
        <w:gridCol w:w="1560"/>
        <w:gridCol w:w="1560"/>
        <w:gridCol w:w="1560"/>
      </w:tblGrid>
      <w:tr>
        <w:trPr>
          <w:cantSplit/>
          <w:tblHeader/>
        </w:trPr>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Covenant</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Measure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Proposed level</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Tested</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Cure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Reference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Minimum Cash</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Unrestricted Cash in accounts subject to Control Agreements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Greater of $[●] and [●] months of Net Cash Burn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on the last day of each month / at all times]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Equity Cure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10.2</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Minimum Revenue or ARR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Trailing [3 / 6]-month GAAP revenue [or ARR]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less than [●]% of board plan per covenant schedule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 quarterly]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Equity Cure; reset under Section 10.8</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10.3</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Performance to Plan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Cumulative revenue [and net burn] against plan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less than [●]% of plan revenue [and not more than [●]% of plan burn]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[Quarterly]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Reset under Section 10.8</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10.4</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Net Cash Burn or Burn Multiple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Trailing [3]-month Net Cash Burn; Burn Multiple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more than $[●]; not more than [●]x</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[Quarterly]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Equity Cure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10.5</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Remaining Months Liquidity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Liquidity divided by trailing [3]-month average Net Cash Burn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less than [●] months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Equity Cure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10.2</w:t>
            </w:r>
          </w:p>
        </w:tc>
      </w:tr>
    </w:tbl>
    <w:p>
      <w:pPr>
        <w:spacing w:before="0" w:after="120"/>
      </w:pPr>
    </w:p>
    <w:p>
      <w:pPr>
        <w:pStyle w:val="BodyText"/>
      </w:pPr>
      <w:r>
        <w:t xml:space="preserve">The Company will select no more than [two] of the above. Financial covenants will be tested only at month-end or quarter-end as stated, on the basis of the financial statements delivered under Section 11, and will be certified in the Compliance Certificate.</w:t>
      </w:r>
    </w:p>
    <w:p>
      <w:pPr>
        <w:pStyle w:val="DraftingNote"/>
      </w:pPr>
      <w:r>
        <w:rPr>
          <w:b/>
        </w:rPr>
        <w:t xml:space="preserve">Drafting note:</w:t>
      </w:r>
      <w:r>
        <w:t xml:space="preserve"> </w:t>
      </w:r>
      <w:r>
        <w:t xml:space="preserve">Lenders open with three or more covenants tested monthly; market practice for an early- or growth-stage borrower is one or two covenants (typically Minimum Cash and either a revenue or performance-to-plan test). Every additional covenant is another path to default and another reason to negotiate a waiver fee. The founder-protective package is a single Minimum Cash or Remaining Months Liquidity covenant tested monthly, no revenue covenant until the Interest-Only Period ends or a covenant that falls away upon a Qualified Equity Financing, and Equity Cure rights.</w:t>
      </w:r>
    </w:p>
    <w:p>
      <w:pPr>
        <w:pStyle w:val="Heading3"/>
      </w:pPr>
      <w:bookmarkStart w:id="85" w:name="minimum-cash-and-liquidity"/>
      <w:r>
        <w:t xml:space="preserve">10.2 Minimum Cash and Liquidity</w:t>
      </w:r>
      <w:bookmarkEnd w:id="85"/>
    </w:p>
    <w:p>
      <w:pPr>
        <w:pStyle w:val="FirstParagraph"/>
      </w:pPr>
      <w:r>
        <w:t xml:space="preserve">The Loan Parties will maintain Unrestricted Cash in accounts subject to Control Agreements (or with Lender) of not less than [the greater of (a) $[●] and (b) [●] times the trailing three-month average monthly Net Cash Burn] [[●]% of the outstanding principal of the Advances], tested [on the last day of each month]. Liquidity will include Unrestricted Cash and Permitted Investments with maturities of [90] days or less, and [undrawn availability under any revolving commitment].</w:t>
      </w:r>
    </w:p>
    <w:p>
      <w:pPr>
        <w:pStyle w:val="DraftingNote"/>
      </w:pPr>
      <w:r>
        <w:rPr>
          <w:b/>
        </w:rPr>
        <w:t xml:space="preserve">Drafting note:</w:t>
      </w:r>
      <w:r>
        <w:t xml:space="preserve"> </w:t>
      </w:r>
      <w:r>
        <w:t xml:space="preserve">The lender's opening ask is a Minimum Cash covenant tested at all times, held only at the lender and equal to the outstanding principal, which defeats the purpose of borrowing. Market practice is three to six months of net burn, or 25% to 50% of outstanding principal. The founder-protective position tests on month-end only, counts cash at any institution with a Control Agreement and short-term Permitted Investments, excludes restricted cash from the numerator, and falls away or steps down once the Company's runway exceeds [18] months.</w:t>
      </w:r>
    </w:p>
    <w:p>
      <w:pPr>
        <w:pStyle w:val="Heading3"/>
      </w:pPr>
      <w:bookmarkStart w:id="86" w:name="minimum-revenue-or-arr"/>
      <w:r>
        <w:t xml:space="preserve">10.3 Minimum Revenue or ARR</w:t>
      </w:r>
      <w:bookmarkEnd w:id="86"/>
    </w:p>
    <w:p>
      <w:pPr>
        <w:pStyle w:val="FirstParagraph"/>
      </w:pPr>
      <w:r>
        <w:t xml:space="preserve">Trailing [3 / 6]-month recognized revenue determined under GAAP [or ARR as defined in Schedule 5] measured on the last day of each [month / quarter] will be not less than the amounts stated in the covenant schedule to the Loan Agreement, which will be set at [●]% of the board-approved operating plan delivered to Lender before Closing. [No revenue covenant will apply during the first [●] months after the Closing Date.] The revenue covenant will cease to apply upon the closing of a Qualified Equity Financing of at least $[●] [or for so long as Remaining Months Liquidity exceeds [●] months].</w:t>
      </w:r>
    </w:p>
    <w:p>
      <w:pPr>
        <w:pStyle w:val="DraftingNote"/>
      </w:pPr>
      <w:r>
        <w:rPr>
          <w:b/>
        </w:rPr>
        <w:t xml:space="preserve">Drafting note:</w:t>
      </w:r>
      <w:r>
        <w:t xml:space="preserve"> </w:t>
      </w:r>
      <w:r>
        <w:t xml:space="preserve">The lender's opening ask is 80% to 90% of plan tested monthly for the life of the facility. Market practice is 70% to 80% of plan. The founder-protective position is 60% to 70% of plan, a covenant holiday during the early Interest-Only Period, automatic reset under Section 10.8 and a fall-away on a Qualified Equity Financing. ARR definitions must exclude one-time, implementation and non-recurring fees, state how churn, downgrades and usage overages are treated, and tie to the Company's actual reporting methodology.</w:t>
      </w:r>
    </w:p>
    <w:p>
      <w:pPr>
        <w:pStyle w:val="Heading3"/>
      </w:pPr>
      <w:bookmarkStart w:id="87" w:name="performance-to-plan"/>
      <w:r>
        <w:t xml:space="preserve">10.4 Performance to Plan</w:t>
      </w:r>
      <w:bookmarkEnd w:id="87"/>
    </w:p>
    <w:p>
      <w:pPr>
        <w:pStyle w:val="FirstParagraph"/>
      </w:pPr>
      <w:r>
        <w:t xml:space="preserve">[Alternatively to Section 10.3:] Cumulative revenue for each trailing [3 / 6]-month period will be not less than [●]% of the revenue in the board-approved plan for that period [and cumulative Net Cash Burn will not exceed [●]% of the plan burn for that period]. The plan will be reset annually to the board-approved operating plan delivered under Section 11, and the covenant will be mechanically reset at the same percentage of the new plan without Lender approval [or with Lender approval not to be unreasonably withheld, delayed or conditioned, and deemed given if Lender does not object within [15] Business Days after delivery].</w:t>
      </w:r>
    </w:p>
    <w:p>
      <w:pPr>
        <w:pStyle w:val="DraftingNote"/>
      </w:pPr>
      <w:r>
        <w:rPr>
          <w:b/>
        </w:rPr>
        <w:t xml:space="preserve">Drafting note:</w:t>
      </w:r>
      <w:r>
        <w:t xml:space="preserve"> </w:t>
      </w:r>
      <w:r>
        <w:t xml:space="preserve">A performance-to-plan covenant that requires lender approval of each year's plan gives the lender an effective veto over the budget. The founder-protective position is a mechanical reset at a fixed percentage of whatever plan the board approves, with a floor only if the Company's revenue declines in absolute terms.</w:t>
      </w:r>
    </w:p>
    <w:p>
      <w:pPr>
        <w:pStyle w:val="Heading3"/>
      </w:pPr>
      <w:bookmarkStart w:id="88" w:name="net-cash-burn-and-burn-multiple"/>
      <w:r>
        <w:t xml:space="preserve">10.5 Net Cash Burn and Burn Multiple</w:t>
      </w:r>
      <w:bookmarkEnd w:id="88"/>
    </w:p>
    <w:p>
      <w:pPr>
        <w:pStyle w:val="FirstParagraph"/>
      </w:pPr>
      <w:r>
        <w:t xml:space="preserve">[Trailing [3]-month Net Cash Burn will not exceed $[●] [or [●]% of the plan burn for the period].] [The Burn Multiple, calculated as Net Cash Burn divided by Net New ARR for the trailing [6]-month period, will not exceed [●]x, tested quarterly.] Net Cash Burn excludes proceeds of equity, Subordinated Debt and Permitted Indebtedness, one-time transaction costs, and capital expenditures financed with Permitted Indebtedness, and includes operating cash flow and unfinanced capital expenditures.</w:t>
      </w:r>
    </w:p>
    <w:p>
      <w:pPr>
        <w:pStyle w:val="Heading3"/>
      </w:pPr>
      <w:bookmarkStart w:id="89" w:name="definitions-and-calculation-conventions"/>
      <w:r>
        <w:t xml:space="preserve">10.6 Definitions and Calculation Conventions</w:t>
      </w:r>
      <w:bookmarkEnd w:id="89"/>
    </w:p>
    <w:p>
      <w:pPr>
        <w:pStyle w:val="FirstParagraph"/>
      </w:pPr>
      <w:r>
        <w:t xml:space="preserve">Financial covenants will be calculated under GAAP applied consistently with the Company's most recent annual financial statements, with GAAP frozen for covenant purposes so that later changes in accounting standards require a mutually agreed amendment. Acquired businesses will be included on a pro forma basis, foreign currency amounts will be converted at [the rate used in the Company's financial statements], deferred revenue and extraordinary items will be treated as stated in Schedule 5, and the Company's calculation in a Compliance Certificate will be final unless Lender objects in writing within [15] Business Days stating its reasons, with any dispute exceeding $[●] referred to an independent accounting firm whose determination is binding.</w:t>
      </w:r>
    </w:p>
    <w:p>
      <w:pPr>
        <w:pStyle w:val="Heading3"/>
      </w:pPr>
      <w:bookmarkStart w:id="90" w:name="equity-cure-rights"/>
      <w:r>
        <w:t xml:space="preserve">10.7 Equity Cure Rights</w:t>
      </w:r>
      <w:bookmarkEnd w:id="90"/>
    </w:p>
    <w:p>
      <w:pPr>
        <w:pStyle w:val="FirstParagraph"/>
      </w:pPr>
      <w:r>
        <w:t xml:space="preserve">If the Company fails to comply with a financial covenant as of any test date, the Company may cure the failure by receiving, within [15 / 30] days after the earlier of delivery of the related Compliance Certificate and its due date, net cash proceeds of an issuance of equity or Subordinated Debt (an</w:t>
      </w:r>
      <w:r>
        <w:t xml:space="preserve"> </w:t>
      </w:r>
      <w:r>
        <w:rPr>
          <w:b/>
        </w:rPr>
        <w:t xml:space="preserve">Equity Cure</w:t>
      </w:r>
      <w:r>
        <w:t xml:space="preserve">). Equity Cure proceeds will be added to Unrestricted Cash and Liquidity for the Minimum Cash and Remaining Months Liquidity covenants and will be deemed to reduce Net Cash Burn for the burn covenants as of the test date. The Company may exercise the Equity Cure not more than [2] times in any period of twelve consecutive months and not more than [4] times during the term, not in consecutive [months / quarters] for the same covenant, and only in the amount necessary to cure. No Default or Event of Default will exist, and Lender may not exercise remedies, during the Equity Cure period, and Equity Cure proceeds will not be applied as a mandatory prepayment.</w:t>
      </w:r>
    </w:p>
    <w:p>
      <w:pPr>
        <w:pStyle w:val="DraftingNote"/>
      </w:pPr>
      <w:r>
        <w:rPr>
          <w:b/>
        </w:rPr>
        <w:t xml:space="preserve">Drafting note:</w:t>
      </w:r>
      <w:r>
        <w:t xml:space="preserve"> </w:t>
      </w:r>
      <w:r>
        <w:t xml:space="preserve">The lender's opening ask is no Equity Cure or one cure over the life of the facility. Market practice is two cures per year and four over the term, not in consecutive test periods. The founder-protective position is an unlimited cure for the Minimum Cash covenant (because cash received is cash held), two to three cures per year for other covenants, and a standstill during the cure window. Revenue covenants cannot sensibly be cured with cash; the founder's remedy for a revenue covenant is the fall-away and reset mechanics in Sections 10.3 and 10.8.</w:t>
      </w:r>
    </w:p>
    <w:p>
      <w:pPr>
        <w:pStyle w:val="Heading3"/>
      </w:pPr>
      <w:bookmarkStart w:id="91" w:name="covenant-reset-and-fall-away"/>
      <w:r>
        <w:t xml:space="preserve">10.8 Covenant Reset and Fall-Away</w:t>
      </w:r>
      <w:bookmarkEnd w:id="91"/>
    </w:p>
    <w:p>
      <w:pPr>
        <w:pStyle w:val="FirstParagraph"/>
      </w:pPr>
      <w:r>
        <w:t xml:space="preserve">Upon the closing of a Qualified Equity Financing of at least $[●], the covenant levels in Sections 10.3 through 10.5 will be reset to [●]% of the board-approved plan delivered in connection with that financing. The revenue and performance covenants will cease to apply for any period during which Remaining Months Liquidity exceeds [●] months or Unrestricted Cash exceeds $[●]. [Alternatively, all financial covenants other than Minimum Cash will be springing and will apply only when Unrestricted Cash is less than $[●].]</w:t>
      </w:r>
    </w:p>
    <w:p>
      <w:pPr>
        <w:pStyle w:val="DraftingNote"/>
      </w:pPr>
      <w:r>
        <w:rPr>
          <w:b/>
        </w:rPr>
        <w:t xml:space="preserve">Drafting note:</w:t>
      </w:r>
      <w:r>
        <w:t xml:space="preserve"> </w:t>
      </w:r>
      <w:r>
        <w:t xml:space="preserve">Springing financial covenants are the founder-protective structure: so long as the Company holds ample cash, the lender has no basis to test operating performance. Lenders resist because the cash covenant is the only remaining protection; the compromise is a higher Minimum Cash level in exchange for springing performance covenants.</w:t>
      </w:r>
    </w:p>
    <w:p>
      <w:pPr>
        <w:pStyle w:val="Heading2"/>
      </w:pPr>
      <w:bookmarkStart w:id="92" w:name="reporting-covenants"/>
      <w:r>
        <w:t xml:space="preserve">11 Reporting Covenants</w:t>
      </w:r>
      <w:bookmarkEnd w:id="92"/>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Deliverable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Frequency</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Deadline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Content and standard</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Certified by</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financial statements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 days after month-end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Unaudited balance sheet, income statement and cash flow statement, with comparison to budget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Chief financial officer or controller</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Compliance Certificate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 each [monthly / quarterly] statement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Same as statements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calculations, Default certification and schedule updates (EF-101)</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Responsible officer</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Quarterly financial statements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Quarterly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[45] days after quarter-end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Unaudited consolidated statements with management discussion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Responsible officer</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 financial statements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Annually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[180] days after fiscal year-end [or [30] days after receipt, if the Company otherwise obtains an audit]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[Audited / reviewed / management-prepared] statements; any audit opinion unqualified except as described in Section 14.5</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Independent accountants or responsible officer</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 operating plan and budget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Annually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 days after board approval and not later than [60] days after fiscal year-end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Board-approved operating plan with monthly projections for the fiscal year</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Responsible officer</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materials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After each board meeting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 Business Days after the meeting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Materials delivered to directors, excluding privileged material, material relating to Lender or any financing proposal under consideration, and individual compensation detail</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certified</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Capitalization table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Annually and upon material change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 days after fiscal year-end; [10] Business Days after any equity financing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Fully diluted capitalization including options, warrants and convertible instruments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Responsible officer</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Key metrics report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 monthly statements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ARR, bookings, churn and other metrics the Company reports to its board, in the Company's format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certified</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Notices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Upon occurrence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 / 5] Business Days after a responsible officer's knowledge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Default or Event of Default; litigation exceeding $[●] or seeking injunctive relief; material governmental investigation; change of name, jurisdiction or chief executive office; new deposit account or subsidiary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Responsible officer</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Insurance certificates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Annually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Upon renewal</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Evidence of coverage and endorsements under Section 8.8</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Broker</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Financing documents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Upon closing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 Business Days after any equity or debt financing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Executed principal documents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certified</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Inspection and management call</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[Quarterly] call; [annual] inspection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On [10] Business Days' notice during business hours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Collateral and books and records; once per year at the Company's expense capped at $[●] absent an Event of Default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applicable</w:t>
            </w:r>
          </w:p>
        </w:tc>
      </w:tr>
    </w:tbl>
    <w:p>
      <w:pPr>
        <w:spacing w:before="0" w:after="120"/>
      </w:pPr>
    </w:p>
    <w:p>
      <w:pPr>
        <w:pStyle w:val="BodyText"/>
      </w:pPr>
      <w:r>
        <w:t xml:space="preserve">Reporting deadlines will match the Company's actual closing calendar, and no officer will be required to certify compliance before reliable data exists. Board materials may be withheld to the extent necessary to preserve privilege, protect a conflict of interest or comply with law, and the Company may redact information concerning its negotiations with other financing sources.</w:t>
      </w:r>
    </w:p>
    <w:p>
      <w:pPr>
        <w:pStyle w:val="DraftingNote"/>
      </w:pPr>
      <w:r>
        <w:rPr>
          <w:b/>
        </w:rPr>
        <w:t xml:space="preserve">Drafting note:</w:t>
      </w:r>
      <w:r>
        <w:t xml:space="preserve"> </w:t>
      </w:r>
      <w:r>
        <w:t xml:space="preserve">The lender's form requires audited annual statements within 120 days, monthly statements within 20 days, all board materials without exception and tax returns. Market practice is 30 days for monthly statements, 180 days for annual statements with an audit requirement only if the Company otherwise obtains one or exceeds a revenue threshold, and board materials with the privilege and conflict carve-outs above. The founder-protective position adds the fundraising-process carve-out, drops tax returns, confines inspection to one visit per year and ties the key-metrics report to the Company's own board format rather than a lender template.</w:t>
      </w:r>
    </w:p>
    <w:p>
      <w:pPr>
        <w:pStyle w:val="Heading2"/>
      </w:pPr>
      <w:bookmarkStart w:id="93" w:name="affirmative-covenants"/>
      <w:r>
        <w:t xml:space="preserve">12 Affirmative Covenants</w:t>
      </w:r>
      <w:bookmarkEnd w:id="93"/>
    </w:p>
    <w:p>
      <w:pPr>
        <w:pStyle w:val="FirstParagraph"/>
      </w:pPr>
      <w:r>
        <w:t xml:space="preserve">The Loan Documents will contain affirmative covenants customary for facilities of this type, limited to the following and subject to the qualifications noted: (a) maintenance of existence, good standing and qualification where failure would reasonably be expected to have a Material Adverse Effect; (b) compliance with laws in all material respects, including anti-corruption, sanctions and anti-money-laundering laws; (c) payment of taxes when due, other than taxes contested in good faith with adequate reserves; (d) maintenance of insurance under Section 8.8; (e) maintenance of books and records and the inspection rights described in Section 11; (f) maintenance of property in good working order, ordinary wear excepted; (g) protection, maintenance and prosecution of registered Intellectual Property material to the business, except where abandonment is a reasonable business judgment; (h) notices under Section 11; (i) joinder of new domestic subsidiaries as Guarantors within [30] days after formation or acquisition; (j) maintenance of deposit accounts under Section 8.4; (k) use of proceeds under Section 7; (l) further assurances reasonably requested by Lender to perfect its liens, at the Company's expense subject to Section 5.5; (m) delivery of beneficial ownership information required under applicable regulations; and (n) [participation in a management call with Lender [quarterly]].</w:t>
      </w:r>
    </w:p>
    <w:p>
      <w:pPr>
        <w:pStyle w:val="DraftingNote"/>
      </w:pPr>
      <w:r>
        <w:rPr>
          <w:b/>
        </w:rPr>
        <w:t xml:space="preserve">Drafting note:</w:t>
      </w:r>
      <w:r>
        <w:t xml:space="preserve"> </w:t>
      </w:r>
      <w:r>
        <w:t xml:space="preserve">The affirmative covenants in a lender form are rarely controversial individually but collectively create many technical default paths. Add a materiality qualifier to each compliance covenant, confine inspection rights as described in Section 11, limit "further assurances" to perfection steps within the agreed collateral structure (so the clause cannot be used to require a foreign pledge or an IP lien that Section 8 excludes) and reject any covenant requiring Lender's approval of hiring, compensation or the operating plan.</w:t>
      </w:r>
    </w:p>
    <w:p>
      <w:pPr>
        <w:pStyle w:val="Heading2"/>
      </w:pPr>
      <w:bookmarkStart w:id="94" w:name="negative-covenants"/>
      <w:r>
        <w:t xml:space="preserve">13 Negative Covenants</w:t>
      </w:r>
      <w:bookmarkEnd w:id="94"/>
    </w:p>
    <w:p>
      <w:pPr>
        <w:pStyle w:val="FirstParagraph"/>
      </w:pPr>
      <w:r>
        <w:t xml:space="preserve">The Loan Documents will restrict the Loan Parties as described in this Section 13, in each case subject to the permitted exceptions, baskets and ordinary-course carve-outs described below and defined in Schedule 5. Each basket amount is a negotiated figure that should be set by reference to the Company's actual operating plan, not the lender's template.</w:t>
      </w:r>
    </w:p>
    <w:p>
      <w:pPr>
        <w:pStyle w:val="Heading3"/>
      </w:pPr>
      <w:bookmarkStart w:id="95" w:name="indebtedness"/>
      <w:r>
        <w:t xml:space="preserve">13.1 Indebtedness</w:t>
      </w:r>
      <w:bookmarkEnd w:id="95"/>
    </w:p>
    <w:p>
      <w:pPr>
        <w:pStyle w:val="FirstParagraph"/>
      </w:pPr>
      <w:r>
        <w:t xml:space="preserve">No Loan Party will incur Indebtedness other than</w:t>
      </w:r>
      <w:r>
        <w:t xml:space="preserve"> </w:t>
      </w:r>
      <w:r>
        <w:rPr>
          <w:b/>
        </w:rPr>
        <w:t xml:space="preserve">Permitted Indebtedness</w:t>
      </w:r>
      <w:r>
        <w:t xml:space="preserve">: (a) the Obligations; (b) trade payables and accrued expenses in the ordinary course; (c) purchase-money Indebtedness and capital lease obligations for equipment not exceeding $[●] outstanding at any time; (d) corporate credit card and procurement card programs not exceeding $[●]; (e) Subordinated Debt, including convertible promissory notes, subject to a subordination agreement reasonably acceptable to Lender [in an unlimited amount / not exceeding $[●]]; (f) intercompany Indebtedness among Loan Parties and Investments permitted under Section 13.5; (g) letters of credit and surety obligations supporting leases, utilities and workers' compensation not exceeding $[●]; (h) insurance premium financing; (i) guaranties of Permitted Indebtedness; (j) Indebtedness refinancing Permitted Indebtedness on terms no less favorable in any material respect; (k) deferred compensation and earn-out obligations arising from Permitted Acquisitions; and (l) other unsecured Indebtedness not exceeding $[●] at any time. SAFEs and other convertible equity instruments without a repayment obligation are not Indebtedness.</w:t>
      </w:r>
    </w:p>
    <w:p>
      <w:pPr>
        <w:pStyle w:val="Heading3"/>
      </w:pPr>
      <w:bookmarkStart w:id="96" w:name="liens"/>
      <w:r>
        <w:t xml:space="preserve">13.2 Liens</w:t>
      </w:r>
      <w:bookmarkEnd w:id="96"/>
    </w:p>
    <w:p>
      <w:pPr>
        <w:pStyle w:val="FirstParagraph"/>
      </w:pPr>
      <w:r>
        <w:t xml:space="preserve">No Loan Party will grant or suffer any Lien other than</w:t>
      </w:r>
      <w:r>
        <w:t xml:space="preserve"> </w:t>
      </w:r>
      <w:r>
        <w:rPr>
          <w:b/>
        </w:rPr>
        <w:t xml:space="preserve">Permitted Liens</w:t>
      </w:r>
      <w:r>
        <w:t xml:space="preserve">: (a) Liens in favor of Lender; (b) purchase-money and capital lease Liens on the financed equipment securing Indebtedness permitted under Section 13.1(c); (c) Liens for taxes not yet delinquent or contested in good faith with adequate reserves; (d) statutory Liens of landlords, carriers, warehousemen, mechanics and materialmen for amounts not overdue by more than [60] days or contested in good faith; (e) cash collateral and deposits securing Indebtedness permitted under Sections 13.1(d) and (g) not exceeding the amounts stated there; (f) deposits securing leases, utilities, workers' compensation and similar obligations in the ordinary course; (g) non-exclusive licenses and other Permitted Transfers of Intellectual Property; (h) bankers' Liens and rights of setoff of depository institutions arising by law; (i) judgment Liens that do not constitute an Event of Default; (j) Liens securing insurance premium financing; (k) Liens on Excluded Accounts in favor of the institution maintaining them; and (l) other Liens securing obligations not exceeding $[●] at any time. No Loan Party will agree with any other Person to a negative pledge or restriction on granting Liens to Lender, other than restrictions in leases, licenses and purchase-money documents as to the subject asset and customary restrictions in Permitted Indebtedness documents.</w:t>
      </w:r>
    </w:p>
    <w:p>
      <w:pPr>
        <w:pStyle w:val="Heading3"/>
      </w:pPr>
      <w:bookmarkStart w:id="97" w:name="dispositions"/>
      <w:r>
        <w:t xml:space="preserve">13.3 Dispositions</w:t>
      </w:r>
      <w:bookmarkEnd w:id="97"/>
    </w:p>
    <w:p>
      <w:pPr>
        <w:pStyle w:val="FirstParagraph"/>
      </w:pPr>
      <w:r>
        <w:t xml:space="preserve">No Loan Party will sell, lease, license, transfer or otherwise dispose of any property other than</w:t>
      </w:r>
      <w:r>
        <w:t xml:space="preserve"> </w:t>
      </w:r>
      <w:r>
        <w:rPr>
          <w:b/>
        </w:rPr>
        <w:t xml:space="preserve">Permitted Transfers</w:t>
      </w:r>
      <w:r>
        <w:t xml:space="preserve">: (a) sales of inventory in the ordinary course; (b) dispositions of worn-out, obsolete or surplus equipment; (c) non-exclusive licenses of Intellectual Property in the ordinary course; (d) exclusive licenses of Intellectual Property limited by field of use, territory or term in the ordinary course [with notice to Lender]; (e) use or transfer of cash and Permitted Investments in the ordinary course and as otherwise permitted; (f) abandonment or lapse of Intellectual Property that is no longer useful in the Company's reasonable business judgment; (g) transfers among Loan Parties; (h) dispositions of equipment subject to Permitted Liens to the holder of the Lien; (i) Permitted Distributions and Permitted Investments; (j) leases or subleases of real property in the ordinary course; and (k) other dispositions not exceeding $[●] in any fiscal year.</w:t>
      </w:r>
    </w:p>
    <w:p>
      <w:pPr>
        <w:pStyle w:val="Heading3"/>
      </w:pPr>
      <w:bookmarkStart w:id="98" w:name="distributions-and-equity-repurchases"/>
      <w:r>
        <w:t xml:space="preserve">13.4 Distributions and Equity Repurchases</w:t>
      </w:r>
      <w:bookmarkEnd w:id="98"/>
    </w:p>
    <w:p>
      <w:pPr>
        <w:pStyle w:val="FirstParagraph"/>
      </w:pPr>
      <w:r>
        <w:t xml:space="preserve">No Loan Party will declare or pay any dividend or distribution or redeem, repurchase or retire any equity interest other than</w:t>
      </w:r>
      <w:r>
        <w:t xml:space="preserve"> </w:t>
      </w:r>
      <w:r>
        <w:rPr>
          <w:b/>
        </w:rPr>
        <w:t xml:space="preserve">Permitted Distributions</w:t>
      </w:r>
      <w:r>
        <w:t xml:space="preserve">: (a) dividends payable solely in equity; (b) conversion of convertible securities into equity and cash in lieu of fractional shares; (c) repurchases of equity from current or former employees, directors and consultants under equity plans or restricted stock agreements upon termination of service, at the lower of cost and fair market value, not exceeding $[●] in any fiscal year, provided no Event of Default exists; (d) net settlement of equity awards for tax withholding not exceeding $[●] in any fiscal year; (e) distributions by subsidiaries to the Company or another Loan Party; and (f) [accruing, but not cash, dividends on preferred stock]. No redemption of preferred stock, including any redemption required by the charter, will be permitted while the Obligations are outstanding without Lender's consent.</w:t>
      </w:r>
    </w:p>
    <w:p>
      <w:pPr>
        <w:pStyle w:val="DraftingNote"/>
      </w:pPr>
      <w:r>
        <w:rPr>
          <w:b/>
        </w:rPr>
        <w:t xml:space="preserve">Drafting note:</w:t>
      </w:r>
      <w:r>
        <w:t xml:space="preserve"> </w:t>
      </w:r>
      <w:r>
        <w:t xml:space="preserve">Review the charter for mandatory redemption rights. Lender will require that any such right be unexercisable while the Obligations are outstanding, which in turn may require investor consent (Section 18). Confirm the employee repurchase basket covers the Company's actual turnover and vesting patterns.</w:t>
      </w:r>
    </w:p>
    <w:p>
      <w:pPr>
        <w:pStyle w:val="Heading3"/>
      </w:pPr>
      <w:bookmarkStart w:id="99" w:name="investments-and-acquisitions"/>
      <w:r>
        <w:t xml:space="preserve">13.5 Investments and Acquisitions</w:t>
      </w:r>
      <w:bookmarkEnd w:id="99"/>
    </w:p>
    <w:p>
      <w:pPr>
        <w:pStyle w:val="FirstParagraph"/>
      </w:pPr>
      <w:r>
        <w:t xml:space="preserve">No Loan Party will make any Investment other than</w:t>
      </w:r>
      <w:r>
        <w:t xml:space="preserve"> </w:t>
      </w:r>
      <w:r>
        <w:rPr>
          <w:b/>
        </w:rPr>
        <w:t xml:space="preserve">Permitted Investments</w:t>
      </w:r>
      <w:r>
        <w:t xml:space="preserve">: (a) cash equivalents and marketable securities under an investment policy approved by the board [and reasonably acceptable to Lender]; (b) Investments in other Loan Parties; (c) Investments in non-Guarantor subsidiaries, including foreign subsidiaries, not exceeding $[●] in any fiscal year [plus amounts reimbursed under intercompany services agreements]; (d) loans and advances to employees for travel, relocation and similar purposes not exceeding $[●] outstanding; (e) notes receivable from employees in connection with equity purchases, to the extent permitted by law; (f) Investments consisting of deposits, prepayments and security deposits in the ordinary course; (g) Investments received in settlement of accounts or in bankruptcy of account debtors; (h) joint ventures and strategic Investments not exceeding $[●] in any fiscal year; (i) Permitted Acquisitions; and (j) other Investments not exceeding $[●] at any time.</w:t>
      </w:r>
      <w:r>
        <w:t xml:space="preserve"> </w:t>
      </w:r>
      <w:r>
        <w:rPr>
          <w:b/>
        </w:rPr>
        <w:t xml:space="preserve">Permitted Acquisitions</w:t>
      </w:r>
      <w:r>
        <w:t xml:space="preserve"> </w:t>
      </w:r>
      <w:r>
        <w:t xml:space="preserve">are acquisitions of businesses or assets in the same or a complementary line of business in which (i) total cash consideration (including assumed Indebtedness) does not exceed $[●] per transaction and $[●] in the aggregate, (ii) no Event of Default exists or would result, (iii) the Company is in pro forma compliance with the financial covenants, (iv) any acquired domestic subsidiary joins as a Guarantor, and (v) consideration paid in the Company's equity is unlimited.</w:t>
      </w:r>
    </w:p>
    <w:p>
      <w:pPr>
        <w:pStyle w:val="Heading3"/>
      </w:pPr>
      <w:bookmarkStart w:id="100" w:name="X755998a08a4c00a8c127223b4e2aeaaf786eefa"/>
      <w:r>
        <w:t xml:space="preserve">13.6 Fundamental Changes, Mergers and Change of Control</w:t>
      </w:r>
      <w:bookmarkEnd w:id="100"/>
    </w:p>
    <w:p>
      <w:pPr>
        <w:pStyle w:val="FirstParagraph"/>
      </w:pPr>
      <w:r>
        <w:t xml:space="preserve">No Loan Party will merge or consolidate with any Person, liquidate or dissolve, or acquire all or substantially all of the assets or equity of any Person, other than (a) mergers among Loan Parties in which a Loan Party survives, (b) Permitted Acquisitions in which the Company or a Guarantor is the surviving entity, (c) dissolution of an inactive subsidiary whose assets are transferred to a Loan Party, and (d) any transaction in connection with which the Obligations are repaid in full at closing in accordance with Section 6.2. A</w:t>
      </w:r>
      <w:r>
        <w:t xml:space="preserve"> </w:t>
      </w:r>
      <w:r>
        <w:rPr>
          <w:b/>
        </w:rPr>
        <w:t xml:space="preserve">Change of Control</w:t>
      </w:r>
      <w:r>
        <w:t xml:space="preserve"> </w:t>
      </w:r>
      <w:r>
        <w:t xml:space="preserve">means (i) any Person or group (within the meaning of the Securities Exchange Act of 1934) other than the Company's existing investors and their Affiliates acquiring beneficial ownership of more than [50]% of the voting power of the Company's equity, excluding any acquisition in a bona fide equity financing approved by the board; (ii) a sale of all or substantially all of the assets of the Loan Parties taken as a whole; or (iii) the Company ceasing to own, directly or indirectly, all of the equity of any Guarantor other than through a Permitted Transfer. A change in the composition of the board, the departure of any founder or officer, or an initial public offering is not a Change of Control.</w:t>
      </w:r>
    </w:p>
    <w:p>
      <w:pPr>
        <w:pStyle w:val="DraftingNote"/>
      </w:pPr>
      <w:r>
        <w:rPr>
          <w:b/>
        </w:rPr>
        <w:t xml:space="preserve">Drafting note:</w:t>
      </w:r>
      <w:r>
        <w:t xml:space="preserve"> </w:t>
      </w:r>
      <w:r>
        <w:t xml:space="preserve">The lender's form often defines Change of Control to include board turnover, founder departure and any investor crossing a percentage threshold, each of which can be triggered by an ordinary financing. The founder-protective position is the definition above, which excludes board-approved equity financings and initial public offerings, and treats a sale of the Company as a mandatory prepayment event at a known cost rather than as a prohibited transaction requiring consent.</w:t>
      </w:r>
    </w:p>
    <w:p>
      <w:pPr>
        <w:pStyle w:val="Heading3"/>
      </w:pPr>
      <w:bookmarkStart w:id="101" w:name="affiliate-transactions"/>
      <w:r>
        <w:t xml:space="preserve">13.7 Affiliate Transactions</w:t>
      </w:r>
      <w:bookmarkEnd w:id="101"/>
    </w:p>
    <w:p>
      <w:pPr>
        <w:pStyle w:val="FirstParagraph"/>
      </w:pPr>
      <w:r>
        <w:t xml:space="preserve">No Loan Party will enter into any transaction with an Affiliate other than on terms no less favorable than arm's length, except (a) compensation, benefits, equity awards and indemnification arrangements for directors, officers, employees and consultants approved by the board or its compensation committee; (b) issuances of equity to investors and payment of customary investor expenses approved by the board; (c) transactions among Loan Parties; (d) Permitted Investments and Permitted Distributions; and (e) customary directors' and officers' indemnification and insurance.</w:t>
      </w:r>
    </w:p>
    <w:p>
      <w:pPr>
        <w:pStyle w:val="Heading3"/>
      </w:pPr>
      <w:bookmarkStart w:id="102" w:name="payments-on-subordinated-debt"/>
      <w:r>
        <w:t xml:space="preserve">13.8 Payments on Subordinated Debt</w:t>
      </w:r>
      <w:bookmarkEnd w:id="102"/>
    </w:p>
    <w:p>
      <w:pPr>
        <w:pStyle w:val="FirstParagraph"/>
      </w:pPr>
      <w:r>
        <w:t xml:space="preserve">No Loan Party will make any payment of principal, interest, fees or other amounts on Subordinated Debt, or amend the terms of Subordinated Debt in a manner adverse to Lender, except as expressly permitted by the applicable subordination agreement, which will permit at least (a) conversion of Subordinated Debt into equity, (b) payment of accrued interest [in kind / in cash if no Default exists and the Company is in pro forma compliance with the financial covenants], and (c) repayment at or after the Maturity Date once the Obligations have been paid in full.</w:t>
      </w:r>
    </w:p>
    <w:p>
      <w:pPr>
        <w:pStyle w:val="Heading3"/>
      </w:pPr>
      <w:bookmarkStart w:id="103" w:name="X4c9a3885e2b4ff2396044f87b68d6c38240a67e"/>
      <w:r>
        <w:t xml:space="preserve">13.9 Changes in Business, Fiscal Year and Governing Documents</w:t>
      </w:r>
      <w:bookmarkEnd w:id="103"/>
    </w:p>
    <w:p>
      <w:pPr>
        <w:pStyle w:val="FirstParagraph"/>
      </w:pPr>
      <w:r>
        <w:t xml:space="preserve">No Loan Party will (a) engage in any material line of business substantially different from the business conducted on the Closing Date and businesses reasonably related, complementary or ancillary to it; (b) change its fiscal year without [30] days' prior notice [and Lender's consent, not to be unreasonably withheld]; (c) amend its charter, bylaws or investor agreements in a manner that would materially and adversely affect Lender's rights under the Loan Documents or the Warrant, create a cash redemption or dividend obligation, or restrict the grant of Liens to Lender, it being understood that amendments in connection with a bona fide equity financing are permitted; or (d) change its legal name, jurisdiction of organization, organizational form or chief executive office without [10 / 30] days' prior written notice to Lender.</w:t>
      </w:r>
    </w:p>
    <w:p>
      <w:pPr>
        <w:pStyle w:val="DraftingNote"/>
      </w:pPr>
      <w:r>
        <w:rPr>
          <w:b/>
        </w:rPr>
        <w:t xml:space="preserve">Drafting note:</w:t>
      </w:r>
      <w:r>
        <w:t xml:space="preserve"> </w:t>
      </w:r>
      <w:r>
        <w:t xml:space="preserve">The lender's form prohibits any amendment to governing documents without consent, which would give the lender a veto over every equity financing. The founder-protective position limits the restriction to amendments that impair the Warrant, create cash payment obligations or restrict the lien grant, and requires notice rather than consent for name and jurisdiction changes.</w:t>
      </w:r>
    </w:p>
    <w:p>
      <w:pPr>
        <w:pStyle w:val="Heading3"/>
      </w:pPr>
      <w:bookmarkStart w:id="104" w:name="X5b2825800e4d6175fe56d0d5f6b1b2fd1136f9f"/>
      <w:r>
        <w:t xml:space="preserve">13.10 Deposit Accounts, Subsidiaries and Collateral Locations</w:t>
      </w:r>
      <w:bookmarkEnd w:id="104"/>
    </w:p>
    <w:p>
      <w:pPr>
        <w:pStyle w:val="FirstParagraph"/>
      </w:pPr>
      <w:r>
        <w:t xml:space="preserve">No Loan Party will (a) open a deposit or securities account other than an Excluded Account without notice to Lender and delivery of a Control Agreement within [30] days after opening; (b) form or acquire a subsidiary without causing it to comply with Section 8.5 within [30] days; or (c) move tangible Collateral with a value exceeding $[●] to a location not disclosed to Lender without [10] Business Days' notice.</w:t>
      </w:r>
    </w:p>
    <w:p>
      <w:pPr>
        <w:pStyle w:val="Heading3"/>
      </w:pPr>
      <w:bookmarkStart w:id="105" w:name="fundraising-and-sale-process-protection"/>
      <w:r>
        <w:t xml:space="preserve">13.11 Fundraising and Sale Process Protection</w:t>
      </w:r>
      <w:bookmarkEnd w:id="105"/>
    </w:p>
    <w:p>
      <w:pPr>
        <w:pStyle w:val="FirstParagraph"/>
      </w:pPr>
      <w:r>
        <w:t xml:space="preserve">The Company may solicit, negotiate and close equity financings, convertible equity instruments and Subordinated Debt, and may evaluate and negotiate strategic transactions, without Lender's consent, subject only to the Lien, payment and Change of Control provisions of this Term Sheet. Lender will have no right of first refusal, right of first offer, most-favored-lender right or matching right with respect to any future debt or equity financing [other than a right to receive [10] Business Days' notice of, and to submit a proposal for, any refinancing of the Obligations, without any obligation of the Company to accept it]. No information or notice covenant will require the Company to disclose the terms or existence of financing negotiations before signing, to waive privilege, to breach a confidentiality obligation or to violate securities laws.</w:t>
      </w:r>
    </w:p>
    <w:p>
      <w:pPr>
        <w:pStyle w:val="DraftingNote"/>
      </w:pPr>
      <w:r>
        <w:rPr>
          <w:b/>
        </w:rPr>
        <w:t xml:space="preserve">Drafting note:</w:t>
      </w:r>
      <w:r>
        <w:t xml:space="preserve"> </w:t>
      </w:r>
      <w:r>
        <w:t xml:space="preserve">Rights of first refusal on future debt and most-favored-lender clauses chill competitive refinancing and should be rejected; a non-binding notice-and-proposal right is an acceptable compromise with a relationship lender. Information covenants that reach financing negotiations give the lender insight into the Company's leverage in a refinancing and should be confined to board materials with the Section 11 carve-outs.</w:t>
      </w:r>
    </w:p>
    <w:p>
      <w:pPr>
        <w:pStyle w:val="Heading3"/>
      </w:pPr>
      <w:bookmarkStart w:id="106" w:name="negative-covenant-basket-summary"/>
      <w:r>
        <w:t xml:space="preserve">13.12 Negative Covenant Basket Summary</w:t>
      </w:r>
      <w:bookmarkEnd w:id="106"/>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Covenant</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Lender typical opening basket</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Current market range</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Founder-protective position</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Equipment and capital lease debt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$[250,000]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$[500,000] to $[2,000,000] depending on capital intensity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Sized to the capital expenditure plan plus 25%</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Corporate cards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$[100,000]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$[250,000] to $[1,000,000]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Sized to monthly spend times three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Subordinated convertible notes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Consent required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with subordination agreement on lender form</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without cap on the firm's subordination form</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General debt basket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$[100,000] to $[500,000]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$[250,000] or more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Employee equity repurchases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$[100,000] per year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$[250,000] to $[500,000] per year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Sized to headcount and vesting schedule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Foreign subsidiary investments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Consent required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$[250,000] to $[1,000,000] per year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Sized to foreign payroll and operating budget</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Acquisitions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Consent required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Cash consideration capped; equity unlimited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Cash consideration cap sized to plan; equity unlimited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Other dispositions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$[100,000] per year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$[250,000] to $[1,000,000] per year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$[500,000] or more, plus exclusive field-of-use licenses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Judgment default threshold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$[100,000]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$[250,000] to $[500,000] net of insurance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Greater of $[500,000] and [5]% of Total Commitment</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Cross-default threshold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Indebtedness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$[250,000] to $[500,000]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Greater of $[500,000] and [5]% of Total Commitment, acceleration only</w:t>
            </w:r>
          </w:p>
        </w:tc>
      </w:tr>
    </w:tbl>
    <w:p>
      <w:pPr>
        <w:spacing w:before="0" w:after="120"/>
      </w:pPr>
    </w:p>
    <w:p>
      <w:pPr>
        <w:pStyle w:val="Heading2"/>
      </w:pPr>
      <w:bookmarkStart w:id="107" w:name="events-of-default"/>
      <w:r>
        <w:t xml:space="preserve">14 Events of Default</w:t>
      </w:r>
      <w:bookmarkEnd w:id="107"/>
    </w:p>
    <w:p>
      <w:pPr>
        <w:pStyle w:val="Heading3"/>
      </w:pPr>
      <w:bookmarkStart w:id="108" w:name="enumerated-events-of-default"/>
      <w:r>
        <w:t xml:space="preserve">14.1 Enumerated Events of Default</w:t>
      </w:r>
      <w:bookmarkEnd w:id="108"/>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Event</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Lender typical opening ask</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Current market range</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Founder-protective position</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Failure to pay principal when due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 grace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 grace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 grace, but payment deemed made if initiated by ACH on the due date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Failure to pay interest, fees or other amounts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 grace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 to 5 Business Days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 Business Days after written notice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Breach of financial covenant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Immediate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Immediate, subject to Equity Cure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Immediate, subject to Equity Cure and standstill under Section 10.7</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Breach of reporting covenant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 to 10 days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 to 15 days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15 days after written notice; 30 days for annual statements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Breach of other affirmative or negative covenant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 days or none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15 to 30 days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 days after written notice, extended to 60 days if the breach is curable and the Company is diligently pursuing cure; negative covenant breaches that have been reversed within the cure period are deemed cured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Representation incorrect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 any respect when made or deemed made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Incorrect in any material respect when made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Incorrect in any material respect when made, without double materiality for representations already qualified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Cross-default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default under any Indebtedness or material agreement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Payment default or acceleration of Indebtedness exceeding $[●]</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Acceleration only, of Indebtedness exceeding the greater of $[●] and [5]% of Total Commitment, excluding Subordinated Debt and equipment financing being contested in good faith</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Judgments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Exceeding $[●], unsatisfied for 10 days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Exceeding $[●] net of insurance, unstayed for 30 to 45 days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Exceeding $[●] net of insurance, unstayed and unbonded for 60 days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Attachment or levy on Collateral</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not released in 10 days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Material Collateral, not released in 30 days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Material Collateral exceeding $[●], not released or bonded in 30 days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Insolvency, voluntary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Immediate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Immediate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Immediate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Insolvency, involuntary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dismissed in 30 days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dismissed in 45 to 60 days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dismissed in 60 days, with no acceleration during the period if the Company is contesting in good faith</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Invalidity of Loan Documents or Liens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Loan Document ceases to be effective or any Lien ceases to be perfected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Loan Party contests validity, or a material portion is unenforceable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Only if asserted in writing by a Loan Party or caused by a Loan Party's act, and not for lapse caused by Lender's failure to file a continuation</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Breach of subordination agreement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breach by any party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Breach by a Loan Party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Breach by a Loan Party only; subordinated creditor breaches are not Company defaults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Change of Control</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Event of Default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Mandatory prepayment event and Event of Default if not repaid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Mandatory prepayment event only; no Event of Default if the Obligations are repaid at 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Material Adverse Change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Event of Default on lender's determination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Negotiated; see Section 14.2</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 abandonment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Event of Default on lender's determination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Negotiated; see Section 14.2</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Key person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Departure of named founder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Negotiated; see Section 14.3</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or commitment termination only</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Going-concern qualification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qualification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Qualification other than for maturity or runway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see Section 14.5</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ERISA event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ERISA event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Event with liability exceeding $[●]</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if the Company has no defined benefit plan; see Section 14.6</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Governmental approval revocation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Revocation of a material license with a Material Adverse Effect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Revocation of a license material to the business, not cured in 30 days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Indictment or forfeiture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Indictment of Company or any officer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Forfeiture proceeding against material Collateral</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Forfeiture proceeding against material Collateral not dismissed in 60 days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Loss of key customer or contract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Event of Default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included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Breach of Warrant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Event of Default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included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the Warrant has its own remedies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Fraud or misappropriation by senior officer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removed within a stated period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Officer not removed within 30 days after the board becomes aware</w:t>
            </w:r>
          </w:p>
        </w:tc>
      </w:tr>
    </w:tbl>
    <w:p>
      <w:pPr>
        <w:spacing w:before="0" w:after="120"/>
      </w:pPr>
    </w:p>
    <w:p>
      <w:pPr>
        <w:pStyle w:val="BodyText"/>
      </w:pPr>
      <w:r>
        <w:t xml:space="preserve">Cross-default thresholds, grace periods and acceleration mechanics will be express in the Loan Agreement and will not be supplemented by any general "insecurity" clause.</w:t>
      </w:r>
    </w:p>
    <w:p>
      <w:pPr>
        <w:pStyle w:val="Heading3"/>
      </w:pPr>
      <w:bookmarkStart w:id="109" w:name="X84115b77e49b94734579fc95991e2a8f7cf2774"/>
      <w:r>
        <w:t xml:space="preserve">14.2 Material Adverse Change and Investor-Support Clauses</w:t>
      </w:r>
      <w:bookmarkEnd w:id="109"/>
    </w:p>
    <w:p>
      <w:pPr>
        <w:pStyle w:val="FirstParagraph"/>
      </w:pPr>
      <w:r>
        <w:t xml:space="preserve">[No Material Adverse Change Event of Default and no investor-abandonment or investor-support Event of Default will be included.]</w:t>
      </w:r>
    </w:p>
    <w:p>
      <w:pPr>
        <w:pStyle w:val="BodyText"/>
      </w:pPr>
      <w:r>
        <w:t xml:space="preserve">[Alternatively, if Lender insists on a Material Adverse Change default, it will be limited to: (a) a material adverse change in the business, operations or financial condition of the Loan Parties taken as a whole, excluding changes resulting from general economic, industry or capital-market conditions, changes in law or GAAP, the Company's failure in itself to meet projections, the announcement or performance of the Loan Documents, or actions required by the Loan Documents; or (b) a material impairment of the perfection or priority of Lender's Liens caused by a Loan Party. Any clause referring to a "material impairment of the prospect of repayment" or to Lender's determination in its discretion will be deleted. Lender will deliver written notice specifying the facts constituting the asserted change, and no Event of Default will exist for [30] days after the notice during which the Company may demonstrate that no such change has occurred or may close an equity financing, with no Default Rate accruing during that period.]</w:t>
      </w:r>
    </w:p>
    <w:p>
      <w:pPr>
        <w:pStyle w:val="BodyText"/>
      </w:pPr>
      <w:r>
        <w:t xml:space="preserve">[Alternatively, if Lender insists on an investor-support provision, it will be stated as an objective trigger: an Event of Default occurs only if (a) the board has approved a plan of dissolution or an assignment for the benefit of creditors, or (b) Unrestricted Cash is less than $[●] on any test date. No provision will permit Lender to declare a default based on its belief, determination or communication with investors about their intentions.]</w:t>
      </w:r>
    </w:p>
    <w:p>
      <w:pPr>
        <w:pStyle w:val="DraftingNote"/>
      </w:pPr>
      <w:r>
        <w:rPr>
          <w:b/>
        </w:rPr>
        <w:t xml:space="preserve">Drafting note:</w:t>
      </w:r>
      <w:r>
        <w:t xml:space="preserve"> </w:t>
      </w:r>
      <w:r>
        <w:t xml:space="preserve">The Material Adverse Change and investor-abandonment defaults are the two provisions most often invoked by venture lenders to stop funding or demand payment when a company's prospects dim, and they are the two most common sources of founder-lender disputes because they turn on the lender's judgment rather than an objective fact. The founder-protective position is to exclude both in exchange for a Minimum Cash covenant, which gives the lender an objective early warning without discretion. If a Material Adverse Change default survives, it must be objective, carve out the Company's own projections, require notice and a demonstration period, and never be a condition to funding a committed tranche beyond a bring-down of the Material Adverse Effect representation.</w:t>
      </w:r>
    </w:p>
    <w:p>
      <w:pPr>
        <w:pStyle w:val="Heading3"/>
      </w:pPr>
      <w:bookmarkStart w:id="110" w:name="key-person-event"/>
      <w:r>
        <w:t xml:space="preserve">14.3 Key-Person Event</w:t>
      </w:r>
      <w:bookmarkEnd w:id="110"/>
    </w:p>
    <w:p>
      <w:pPr>
        <w:pStyle w:val="FirstParagraph"/>
      </w:pPr>
      <w:r>
        <w:t xml:space="preserve">[No key-person Event of Default will be included.] [Alternatively: If [NAME] ceases to serve as the Company's [TITLE] for any reason and the board has not appointed a successor within [90 / 120] days, Lender may terminate any undrawn commitment, and no other remedy will apply. A successor appointed by the board after a good-faith search is deemed acceptable to Lender.]</w:t>
      </w:r>
    </w:p>
    <w:p>
      <w:pPr>
        <w:pStyle w:val="DraftingNote"/>
      </w:pPr>
      <w:r>
        <w:rPr>
          <w:b/>
        </w:rPr>
        <w:t xml:space="preserve">Drafting note:</w:t>
      </w:r>
      <w:r>
        <w:t xml:space="preserve"> </w:t>
      </w:r>
      <w:r>
        <w:t xml:space="preserve">A key-person default gives a lender leverage over founder succession decisions that belong to the board. Market practice for institutional-backed companies is to omit it or to confine the consequence to termination of unfunded commitments; the founder-protective position is omission.</w:t>
      </w:r>
    </w:p>
    <w:p>
      <w:pPr>
        <w:pStyle w:val="Heading3"/>
      </w:pPr>
      <w:bookmarkStart w:id="111" w:name="cross-default-thresholds"/>
      <w:r>
        <w:t xml:space="preserve">14.4 Cross-Default Thresholds</w:t>
      </w:r>
      <w:bookmarkEnd w:id="111"/>
    </w:p>
    <w:p>
      <w:pPr>
        <w:pStyle w:val="FirstParagraph"/>
      </w:pPr>
      <w:r>
        <w:t xml:space="preserve">Cross-default will be limited to the acceleration of other Indebtedness (not a mere default or event of default) exceeding the greater of $[●] and [5]% of the Total Commitment in the aggregate, and will exclude Subordinated Debt (which is addressed by the subordination agreement), Indebtedness being contested in good faith, and nonmonetary defaults under equipment financings and leases. No cross-default to material contracts, leases or licenses will be included; termination of a material contract will be relevant only to the extent it results in a breach of a financial covenant.</w:t>
      </w:r>
    </w:p>
    <w:p>
      <w:pPr>
        <w:pStyle w:val="Heading3"/>
      </w:pPr>
      <w:bookmarkStart w:id="112" w:name="going-concern-qualification"/>
      <w:r>
        <w:t xml:space="preserve">14.5 Going-Concern Qualification</w:t>
      </w:r>
      <w:bookmarkEnd w:id="112"/>
    </w:p>
    <w:p>
      <w:pPr>
        <w:pStyle w:val="FirstParagraph"/>
      </w:pPr>
      <w:r>
        <w:t xml:space="preserve">[The delivery of annual financial statements accompanied by an audit opinion containing a going-concern explanatory paragraph will not constitute an Event of Default.] [Alternatively: an Event of Default will occur only if the going-concern qualification arises other than from (a) the Maturity Date or any scheduled amortization occurring within twelve months after the opinion date or (b) the Company's projected cash runway being less than twelve months, which is addressed by the Minimum Cash covenant.]</w:t>
      </w:r>
    </w:p>
    <w:p>
      <w:pPr>
        <w:pStyle w:val="DraftingNote"/>
      </w:pPr>
      <w:r>
        <w:rPr>
          <w:b/>
        </w:rPr>
        <w:t xml:space="preserve">Drafting note:</w:t>
      </w:r>
      <w:r>
        <w:t xml:space="preserve"> </w:t>
      </w:r>
      <w:r>
        <w:t xml:space="preserve">Applicable accounting standards require management to evaluate going-concern uncertainty for the year following the date the financial statements are issued, and most venture-backed companies with less than twelve months of runway will receive an explanatory paragraph in the ordinary course. Treating that paragraph as a default converts an accounting disclosure into a lender remedy and duplicates the Minimum Cash covenant.</w:t>
      </w:r>
    </w:p>
    <w:p>
      <w:pPr>
        <w:pStyle w:val="Heading3"/>
      </w:pPr>
      <w:bookmarkStart w:id="113" w:name="erisa-and-other-statutory-defaults"/>
      <w:r>
        <w:t xml:space="preserve">14.6 ERISA and Other Statutory Defaults</w:t>
      </w:r>
      <w:bookmarkEnd w:id="113"/>
    </w:p>
    <w:p>
      <w:pPr>
        <w:pStyle w:val="FirstParagraph"/>
      </w:pPr>
      <w:r>
        <w:t xml:space="preserve">[Because no Loan Party sponsors a defined benefit pension plan, no ERISA Event of Default will be included.] [Alternatively: an ERISA event with respect to a Title IV plan resulting in liability exceeding $[●] will be an Event of Default.] A breach of sanctions, anti-corruption or anti-money-laundering representations or covenants will be an Event of Default only if material and not cured within [30] days after notice to the extent curable. A Loan Party becoming required to register as an investment company will be an Event of Default.</w:t>
      </w:r>
    </w:p>
    <w:p>
      <w:pPr>
        <w:pStyle w:val="Heading3"/>
      </w:pPr>
      <w:bookmarkStart w:id="114" w:name="notice-knowledge-and-cure-mechanics"/>
      <w:r>
        <w:t xml:space="preserve">14.7 Notice, Knowledge and Cure Mechanics</w:t>
      </w:r>
      <w:bookmarkEnd w:id="114"/>
    </w:p>
    <w:p>
      <w:pPr>
        <w:pStyle w:val="FirstParagraph"/>
      </w:pPr>
      <w:r>
        <w:t xml:space="preserve">Cure periods for covenant defaults will run from [the earlier of a responsible officer's knowledge of the breach and] Lender's written notice of the breach. Lender will deliver written notice of any Default before exercising remedies, other than upon an insolvency Event of Default. The conditions to each Advance will be tied to the absence of an Event of Default (Section 16.2) rather than to the absence of any Default, so that an unmatured technical breach within its cure period does not block a committed funding.</w:t>
      </w:r>
    </w:p>
    <w:p>
      <w:pPr>
        <w:pStyle w:val="Heading2"/>
      </w:pPr>
      <w:bookmarkStart w:id="115" w:name="remedies"/>
      <w:r>
        <w:t xml:space="preserve">15 Remedies</w:t>
      </w:r>
      <w:bookmarkEnd w:id="115"/>
    </w:p>
    <w:p>
      <w:pPr>
        <w:pStyle w:val="Heading3"/>
      </w:pPr>
      <w:bookmarkStart w:id="116" w:name="acceleration-and-enforcement"/>
      <w:r>
        <w:t xml:space="preserve">15.1 Acceleration and Enforcement</w:t>
      </w:r>
      <w:bookmarkEnd w:id="116"/>
    </w:p>
    <w:p>
      <w:pPr>
        <w:pStyle w:val="FirstParagraph"/>
      </w:pPr>
      <w:r>
        <w:t xml:space="preserve">Upon the occurrence and during the continuance of an Event of Default, Lender may, by written notice to the Company (and automatically upon an insolvency Event of Default), terminate the commitments, declare the Obligations immediately due and payable, apply the Default Rate under Section 3.4 and exercise the rights of a secured party under the Uniform Commercial Code and the Loan Documents, including collection of accounts and disposition of Collateral. The Final Payment and Prepayment Premium will be payable upon acceleration only as stated in Sections 5.3 and 5.4.</w:t>
      </w:r>
    </w:p>
    <w:p>
      <w:pPr>
        <w:pStyle w:val="Heading3"/>
      </w:pPr>
      <w:bookmarkStart w:id="117" w:name="cash-dominion-sweep-and-setoff"/>
      <w:r>
        <w:t xml:space="preserve">15.2 Cash Dominion, Sweep and Setoff</w:t>
      </w:r>
      <w:bookmarkEnd w:id="117"/>
    </w:p>
    <w:p>
      <w:pPr>
        <w:pStyle w:val="FirstParagraph"/>
      </w:pPr>
      <w:r>
        <w:t xml:space="preserve">Lender may deliver a notice of exclusive control under any Control Agreement, sweep collections and exercise setoff only after an Event of Default has occurred and is continuing and Lender has delivered written notice of acceleration or its intent to exercise remedies. [For [●] Business Days after any such notice, the Company may continue to pay payroll, payroll taxes and benefits then due from the swept accounts.]</w:t>
      </w:r>
    </w:p>
    <w:p>
      <w:pPr>
        <w:pStyle w:val="DraftingNote"/>
      </w:pPr>
      <w:r>
        <w:rPr>
          <w:b/>
        </w:rPr>
        <w:t xml:space="preserve">Drafting note:</w:t>
      </w:r>
      <w:r>
        <w:t xml:space="preserve"> </w:t>
      </w:r>
      <w:r>
        <w:t xml:space="preserve">The lender's form permits control notices upon any Default. Market practice is springing control upon an Event of Default. The founder-protective position adds a notice requirement and a short payroll carve-out so that a sweep does not create wage-and-hour liability for officers; lenders resist the carve-out but will often agree to a brief window for amounts already due.</w:t>
      </w:r>
    </w:p>
    <w:p>
      <w:pPr>
        <w:pStyle w:val="Heading3"/>
      </w:pPr>
      <w:bookmarkStart w:id="118" w:name="X108e36752a59fbf6d690cebb90fd857796b8189"/>
      <w:r>
        <w:t xml:space="preserve">15.3 Notice, Standstill and Commercially Reasonable Disposition</w:t>
      </w:r>
      <w:bookmarkEnd w:id="118"/>
    </w:p>
    <w:p>
      <w:pPr>
        <w:pStyle w:val="FirstParagraph"/>
      </w:pPr>
      <w:r>
        <w:t xml:space="preserve">Lender will give the Company at least [10 days / 15 Business Days] notice of any public or private disposition of Collateral, which the parties agree is commercially reasonable notice. Any disposition will comply with Section 9-610 of the Uniform Commercial Code and applicable law. [If the Event of Default is not a payment or insolvency default and the Collateral to be disposed of consists principally of Intellectual Property, Lender will not dispose of it for [60] days after acceleration while the Company conducts a sale or refinancing process in good faith, provided the Company shares the process information with Lender.] Lender may credit bid at any disposition. The Company's obligations remain subject to applicable law, any intercreditor arrangements and any required regulatory approvals.</w:t>
      </w:r>
    </w:p>
    <w:p>
      <w:pPr>
        <w:pStyle w:val="Heading3"/>
      </w:pPr>
      <w:bookmarkStart w:id="119" w:name="X241239f441b10f1aa56d0987c7bace1b038c51e"/>
      <w:r>
        <w:t xml:space="preserve">15.4 Intellectual Property, Source Code and Data in Enforcement</w:t>
      </w:r>
      <w:bookmarkEnd w:id="119"/>
    </w:p>
    <w:p>
      <w:pPr>
        <w:pStyle w:val="FirstParagraph"/>
      </w:pPr>
      <w:r>
        <w:t xml:space="preserve">The Loan Documents will grant Lender, effective only after an Event of Default and acceleration, a non-exclusive license to use Intellectual Property solely to the extent necessary to complete, market and dispose of Collateral, which license is not a general license and terminates upon payment in full. No source code escrow, deposit or disclosure obligation will apply before an Event of Default. Lender's handling of personal information in enforcement will comply with applicable privacy and data-protection law and the Company's customer contracts, and Lender will coordinate with the Company to preserve customer continuity and the value of the Collateral. Lender will not dispose of Intellectual Property to a Disqualified Lender or in a manner that breaches an inbound license disclosed to Lender.</w:t>
      </w:r>
    </w:p>
    <w:p>
      <w:pPr>
        <w:pStyle w:val="Heading3"/>
      </w:pPr>
      <w:bookmarkStart w:id="120" w:name="X4c4f90b052bd13c7e457b037a8fcd8f9be5e0a1"/>
      <w:r>
        <w:t xml:space="preserve">15.5 Protective Advances, Expenses, Receiver and Power of Attorney</w:t>
      </w:r>
      <w:bookmarkEnd w:id="120"/>
    </w:p>
    <w:p>
      <w:pPr>
        <w:pStyle w:val="FirstParagraph"/>
      </w:pPr>
      <w:r>
        <w:t xml:space="preserve">After an Event of Default, Lender may make protective advances to preserve Collateral, which will be added to the Obligations and bear interest at the Default Rate, and the Company will reimburse Lender's reasonable and documented enforcement costs. [No consent to the appointment of a receiver will be included.] [Alternatively: the Company consents to appointment of a receiver only after a judgment in Lender's favor or an insolvency Event of Default.] Any power of attorney granted to Lender will be exercisable only after an Event of Default and only for the purposes of perfecting Liens and disposing of Collateral.</w:t>
      </w:r>
    </w:p>
    <w:p>
      <w:pPr>
        <w:pStyle w:val="Heading3"/>
      </w:pPr>
      <w:bookmarkStart w:id="121" w:name="amendments-waivers-and-required-lenders"/>
      <w:r>
        <w:t xml:space="preserve">15.6 Amendments, Waivers and Required Lenders</w:t>
      </w:r>
      <w:bookmarkEnd w:id="121"/>
    </w:p>
    <w:p>
      <w:pPr>
        <w:pStyle w:val="FirstParagraph"/>
      </w:pPr>
      <w:r>
        <w:t xml:space="preserve">Amendments and waivers of the Loan Documents require the written consent of the Company and Lender [or, if more than one lender, lenders holding more than 50% of the commitments and outstanding Advances (the</w:t>
      </w:r>
      <w:r>
        <w:t xml:space="preserve"> </w:t>
      </w:r>
      <w:r>
        <w:rPr>
          <w:b/>
        </w:rPr>
        <w:t xml:space="preserve">Required Lenders</w:t>
      </w:r>
      <w:r>
        <w:t xml:space="preserve">)]. Changes to the interest rate, fees, maturity, amortization, commitment amount or the release of all or substantially all Collateral require the consent of each lender directly affected. If any lender refuses to consent to an amendment approved by the Required Lenders and the Company, the Company may replace that lender at par without Prepayment Premium. No waiver will be effective unless in writing, and no course of dealing or delay will operate as a waiver. Amendment and waiver fees are limited as stated in Section 5.5.</w:t>
      </w:r>
    </w:p>
    <w:p>
      <w:pPr>
        <w:pStyle w:val="Heading2"/>
      </w:pPr>
      <w:bookmarkStart w:id="122" w:name="conditions-precedent"/>
      <w:r>
        <w:t xml:space="preserve">16 Conditions Precedent</w:t>
      </w:r>
      <w:bookmarkEnd w:id="122"/>
    </w:p>
    <w:p>
      <w:pPr>
        <w:pStyle w:val="Heading3"/>
      </w:pPr>
      <w:bookmarkStart w:id="123" w:name="X701194262b4f430858d9257653bc2c927d68dba"/>
      <w:r>
        <w:t xml:space="preserve">16.1 Conditions to Closing and the Initial Advance</w:t>
      </w:r>
      <w:bookmarkEnd w:id="123"/>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Condition</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Evidence</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Timing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Executed Loan Agreement, note (if requested), guaranty, security documents and Warrant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Both</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Execution versions compared to approved drafts (EF-104)</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Secretary's certificate with charter, bylaws, board resolutions and incumbency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Certified copies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Good-standing certificates for each Loan Party in its jurisdiction of organization [and chief executive office]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Certificates dated within [30] days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 and stockholder consents and waivers identified in Section 18</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Executed consents (EF-103)</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Perfection certificate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Completed and certified (EF-099)</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UCC, tax lien, judgment and IP searches showing no Liens other than Permitted Liens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Search reports dated within [30] days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Before 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UCC financing statement authorization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Authorization in Loan Agreement; filing after signing</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Payoff letters, releases and subordination agreements for Schedule 1 items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Executed documents; terminations in escrow</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Insurance certificates and endorsements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Certificates; endorsements may be post-closing within [30] days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or post-closing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Control Agreements for existing accounts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Executed agreements, or post-closing covenant under Section 8.4</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Post-closing [30 / 60] days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IP schedules and, if Option A, IP security agreement and recordation forms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Executed documents (EF-080 or EF-102)</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Landlord waivers and bailee letters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Commercially reasonable efforts only; not a condition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Post-closing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Legal opinion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[Limited to due authorization, execution and enforceability of the Loan Documents under the governing law, at the Company's cost not exceeding $[●]]</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Payment of Closing Fee and expenses within the Legal Fee Cap</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Funds flow</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Know-your-customer and beneficial ownership certification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Certification on lender form, delivered to a restricted file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Before 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Borrowing Request and funds flow memorandum</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Executed Borrowing Request (EF-100); verified wire instructions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 Event of Default; representations true in all material respects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Officer's certificate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 Material Adverse Change since [DATE]]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[Delete, or limit to bring-down of the Material Adverse Effect representation]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[Completion of Lender's diligence to its satisfaction]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[Delete; diligence to be completed before signing]</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Before signing</w:t>
            </w:r>
          </w:p>
        </w:tc>
      </w:tr>
    </w:tbl>
    <w:p>
      <w:pPr>
        <w:spacing w:before="0" w:after="120"/>
      </w:pPr>
    </w:p>
    <w:p>
      <w:pPr>
        <w:pStyle w:val="DraftingNote"/>
      </w:pPr>
      <w:r>
        <w:rPr>
          <w:b/>
        </w:rPr>
        <w:t xml:space="preserve">Drafting note:</w:t>
      </w:r>
      <w:r>
        <w:t xml:space="preserve"> </w:t>
      </w:r>
      <w:r>
        <w:t xml:space="preserve">Every condition that depends on a third party (Control Agreements, landlord waivers, insurance endorsements, foreign filings) should be a post-closing covenant with a reasonable deadline rather than a Closing condition. Conditions stated as "satisfactory to Lender" should be revised to "in form reasonably satisfactory to Lender" and limited to documents. A diligence-out at Closing means the term sheet has committed the Company to exclusivity without committing the lender to anything; require that diligence be completed and credit approval obtained before the Loan Agreement is signed. Legal opinions are customarily not delivered in venture debt; if a bank lender requires one, limit the scope and cap the cost.</w:t>
      </w:r>
    </w:p>
    <w:p>
      <w:pPr>
        <w:pStyle w:val="Heading3"/>
      </w:pPr>
      <w:bookmarkStart w:id="124" w:name="conditions-to-each-subsequent-advance"/>
      <w:r>
        <w:t xml:space="preserve">16.2 Conditions to Each Subsequent Advance</w:t>
      </w:r>
      <w:bookmarkEnd w:id="124"/>
    </w:p>
    <w:p>
      <w:pPr>
        <w:pStyle w:val="FirstParagraph"/>
      </w:pPr>
      <w:r>
        <w:t xml:space="preserve">Each Advance after the initial Advance is subject to: (a) delivery of a Borrowing Request; (b) no Event of Default [and no payment Default] having occurred and continuing on the funding date or resulting from the Advance; (c) the representations in the Loan Documents being true in all material respects on the funding date, with updates to the disclosure schedules permitted for matters that do not individually or in the aggregate constitute a Material Adverse Effect; (d) satisfaction of the Milestone applicable to the tranche under Schedule 2, or its deemed satisfaction under Section 2.3; (e) the funding date falling within the Availability Period; (f) payment of any Closing Fee applicable to the tranche; and (g) [issuance of any additional Warrant applicable to the tranche]. No condition will require the absence of a Material Adverse Change, Lender's satisfaction with the Company's performance or results, or the Company's continued compliance with projections.</w:t>
      </w:r>
    </w:p>
    <w:p>
      <w:pPr>
        <w:pStyle w:val="Heading3"/>
      </w:pPr>
      <w:bookmarkStart w:id="125" w:name="conditions-subsequent"/>
      <w:r>
        <w:t xml:space="preserve">16.3 Conditions Subsequent</w:t>
      </w:r>
      <w:bookmarkEnd w:id="125"/>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Item</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Deadline</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Consequence of failure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Control Agreements for accounts existing at Closing</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 / 60] days after Closing</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default with [15]-day cure; no Event of Default if funds are moved to a compliant account within the cure period</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Insurance endorsements naming Lender</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 days after Closing</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default with [15]-day cure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IP recordations (Option A)</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 days after Closing</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default with [15]-day cure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Landlord waivers and bailee letters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Commercially reasonable efforts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Delivery of original certificated equity of pledged subsidiaries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[15] Business Days after Closing</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default with [15]-day cure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Foreign qualification in [STATE]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[60] days after Closing</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default with [30]-day cure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Final executed copies of Schedule 1 releases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 Business Days after Closing</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default with [15]-day cure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Updated perfection certificate and schedules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 first Compliance Certificate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Reporting default with [15]-day cure</w:t>
            </w:r>
          </w:p>
        </w:tc>
      </w:tr>
    </w:tbl>
    <w:p>
      <w:pPr>
        <w:spacing w:before="0" w:after="120"/>
      </w:pPr>
    </w:p>
    <w:p>
      <w:pPr>
        <w:pStyle w:val="Heading3"/>
      </w:pPr>
      <w:bookmarkStart w:id="126" w:name="waiver-authority"/>
      <w:r>
        <w:t xml:space="preserve">16.4 Waiver Authority</w:t>
      </w:r>
      <w:bookmarkEnd w:id="126"/>
    </w:p>
    <w:p>
      <w:pPr>
        <w:pStyle w:val="FirstParagraph"/>
      </w:pPr>
      <w:r>
        <w:t xml:space="preserve">Each condition in Sections 16.1 and 16.2 may be waived only in a writing signed by Lender, and any condition in the Company's favor only in a writing signed by the Company. Waiver of a condition for one Advance is not a waiver for any other Advance. Funding of an Advance with knowledge of an unsatisfied condition constitutes a waiver of that condition for that Advance only.</w:t>
      </w:r>
    </w:p>
    <w:p>
      <w:pPr>
        <w:pStyle w:val="Heading2"/>
      </w:pPr>
      <w:bookmarkStart w:id="127" w:name="representations-and-warranties"/>
      <w:r>
        <w:t xml:space="preserve">17 Representations and Warranties</w:t>
      </w:r>
      <w:bookmarkEnd w:id="127"/>
    </w:p>
    <w:p>
      <w:pPr>
        <w:pStyle w:val="FirstParagraph"/>
      </w:pPr>
      <w:r>
        <w:t xml:space="preserve">The Loan Agreement will contain representations and warranties by the Loan Parties, made on the Closing Date and brought down on each funding date, limited to the following subjects and qualified as noted: (a) organization, existence, good standing and qualification, the last qualified by Material Adverse Effect; (b) power, authority, due authorization, execution and enforceability, subject to customary bankruptcy and equitable exceptions; (c) no conflict with law, charter documents or material agreements, and all required consents obtained; (d) capitalization as set forth in the capitalization table delivered to Lender, and due authorization and reservation of the Warrant Shares; (e) subsidiaries and equity interests as listed in the perfection certificate; (f) title to Collateral free of Liens other than Permitted Liens, and the creation, perfection and priority of Lender's Liens upon the filings and actions described in the Loan Documents; (g) accuracy in all material respects of the perfection certificate; (h) financial statements fairly presenting the Company's financial condition in all material respects, with unaudited statements subject to normal year-end adjustments and the absence of footnotes; (i) absence of undisclosed liabilities required under GAAP to be reflected, other than liabilities incurred in the ordinary course since the most recent statements; (j) no Material Adverse Effect since [DATE], made as of the Closing Date only [and brought down on each funding date only as to the Material Adverse Effect definition without reference to projections]; (k) litigation, other than matters that are not reasonably expected to result in liability exceeding $[●] or injunctive relief against the business; (l) compliance with laws in all material respects, including anti-corruption, sanctions, anti-money-laundering and data-protection laws; (m) taxes paid, other than taxes contested in good faith with adequate reserves; (n) ownership of or valid rights to use Intellectual Property material to the business, no written claim of infringement received other than as disclosed, invention assignment agreements from founders, employees and contractors who contributed to material Intellectual Property, and use of open-source software in a manner that does not, to the Company's knowledge, require disclosure or licensing of proprietary source code; (o) material contracts in full force and no material default by the Company; (p) insurance in force; (q) labor and employment matters in all material respects; (r) no Title IV employee benefit plans; (s) no material environmental liability; (t) no margin stock, and the Company is not an investment company; (u) solvency of the Loan Parties taken as a whole on the Closing Date after giving effect to the Advances; (v) accuracy of written information furnished to Lender taken as a whole in all material respects, with projections representing good-faith estimates based on assumptions believed reasonable when made and not a guarantee of results; (w) deposit accounts, Collateral locations and names used in the last five years as disclosed; (x) use of proceeds in compliance with Section 7; and (y) accuracy of the beneficial ownership certification.</w:t>
      </w:r>
    </w:p>
    <w:p>
      <w:pPr>
        <w:pStyle w:val="DraftingNote"/>
      </w:pPr>
      <w:r>
        <w:rPr>
          <w:b/>
        </w:rPr>
        <w:t xml:space="preserve">Drafting note:</w:t>
      </w:r>
      <w:r>
        <w:t xml:space="preserve"> </w:t>
      </w:r>
      <w:r>
        <w:t xml:space="preserve">The lender's form makes every representation flat and brings each one down on every Advance, so that an immaterial change blocks funding. Market practice qualifies factual representations by materiality or knowledge, limits the no-Material-Adverse-Effect representation to the Closing Date and permits schedule updates on bring-down. The founder-protective position adds the projections disclaimer, confines the data-protection and open-source representations to the Company's knowledge, defines the litigation threshold, and confirms that the solvency representation accounts for the contingent and unmatured nature of preferred stock liquidation preferences, which are equity and not liabilities. Representations in the Borrowing Request should cross-reference the Loan Agreement rather than restate them (EF-100).</w:t>
      </w:r>
    </w:p>
    <w:p>
      <w:pPr>
        <w:pStyle w:val="Heading2"/>
      </w:pPr>
      <w:bookmarkStart w:id="128" w:name="required-board-and-investor-approvals"/>
      <w:r>
        <w:t xml:space="preserve">18 Required Board and Investor Approvals</w:t>
      </w:r>
      <w:bookmarkEnd w:id="128"/>
    </w:p>
    <w:p>
      <w:pPr>
        <w:pStyle w:val="Heading3"/>
      </w:pPr>
      <w:bookmarkStart w:id="129" w:name="board-approval"/>
      <w:r>
        <w:t xml:space="preserve">18.1 Board Approval</w:t>
      </w:r>
      <w:bookmarkEnd w:id="129"/>
    </w:p>
    <w:p>
      <w:pPr>
        <w:pStyle w:val="FirstParagraph"/>
      </w:pPr>
      <w:r>
        <w:t xml:space="preserve">The Company's board will approve the Loan Documents, the grant of Liens, the issuance of the Warrant, the reservation of the Warrant Shares (and any Common Stock issuable on conversion), the officers' authority and the determination that the facility is in the best interests of the Company and its stockholders. The approval record (EF-103) should reflect the analysis required by Section 2.6 and the Schedule 4 model. If any director is affiliated with Lender or with an investor in Lender, the interest will be disclosed and the approval obtained from disinterested directors.</w:t>
      </w:r>
    </w:p>
    <w:p>
      <w:pPr>
        <w:pStyle w:val="Heading3"/>
      </w:pPr>
      <w:bookmarkStart w:id="130" w:name="charter-protective-provisions"/>
      <w:r>
        <w:t xml:space="preserve">18.2 Charter Protective Provisions</w:t>
      </w:r>
      <w:bookmarkEnd w:id="130"/>
    </w:p>
    <w:p>
      <w:pPr>
        <w:pStyle w:val="FirstParagraph"/>
      </w:pPr>
      <w:r>
        <w:t xml:space="preserve">The Company will review the protective provisions of its certificate of incorporation (or equivalent) for any class or series vote required to (a) incur Indebtedness exceeding a stated amount or outside the approved budget, (b) grant Liens on all or substantially all assets, (c) issue securities senior to or on parity with any series of preferred stock, or increase the authorized shares of any class or series, which may be implicated by a Warrant for preferred stock, (d) redeem or repurchase equity, or (e) change the nature of the business. The required consent of [the holders of a majority of the outstanding preferred stock / each affected series] will be obtained in writing before Closing.</w:t>
      </w:r>
    </w:p>
    <w:p>
      <w:pPr>
        <w:pStyle w:val="Heading3"/>
      </w:pPr>
      <w:bookmarkStart w:id="131" w:name="X21616cd05c0f68b19426e3da1ee74a817e2c32c"/>
      <w:r>
        <w:t xml:space="preserve">18.3 Investors' Rights Agreement and Other Investor Agreements</w:t>
      </w:r>
      <w:bookmarkEnd w:id="131"/>
    </w:p>
    <w:p>
      <w:pPr>
        <w:pStyle w:val="FirstParagraph"/>
      </w:pPr>
      <w:r>
        <w:t xml:space="preserve">The Company will review its investors' rights agreement, voting agreement, right of first refusal and co-sale agreement and any side letters for: (a) covenants requiring approval of the preferred directors or Major Investors for Indebtedness above a threshold, grants of exclusive licenses, or transactions outside the budget; (b) preemptive or right-of-first-offer provisions applicable to "New Securities" and whether the definition excludes securities issued to lenders or equipment lessors in a debt financing approved by the board (if excluded, a notice but no waiver is required; if not excluded, a waiver by the holders of the requisite percentage of registrable securities or Major Investors is required); (c) whether Warrant Shares must be subject to the right of first refusal and co-sale and drag-along provisions by joinder; (d) most-favored-nation provisions in side letters that may be triggered by the Warrant's terms; and (e) registration rights provisions that must be amended or joined to grant the piggyback rights in Section 9.6.</w:t>
      </w:r>
    </w:p>
    <w:p>
      <w:pPr>
        <w:pStyle w:val="Heading3"/>
      </w:pPr>
      <w:bookmarkStart w:id="132" w:name="X4994ab476a30c594bd899147762e2900b915ff9"/>
      <w:r>
        <w:t xml:space="preserve">18.4 Stockholder Approval and Statutory Requirements</w:t>
      </w:r>
      <w:bookmarkEnd w:id="132"/>
    </w:p>
    <w:p>
      <w:pPr>
        <w:pStyle w:val="FirstParagraph"/>
      </w:pPr>
      <w:r>
        <w:t xml:space="preserve">Stockholder approval will be required if the charter must be amended to authorize or reserve shares for the Warrant, and may be required under the Company's governing documents or applicable corporate statute for the grant of a security interest in all or substantially all assets. Company counsel will confirm whether the Company's jurisdiction permits the board alone to authorize a mortgage or pledge of corporate assets, and whether any operating agreement or stockholders' agreement imposes a member or stockholder vote on borrowing above a threshold.</w:t>
      </w:r>
    </w:p>
    <w:p>
      <w:pPr>
        <w:pStyle w:val="Heading3"/>
      </w:pPr>
      <w:bookmarkStart w:id="133" w:name="approval-matrix"/>
      <w:r>
        <w:t xml:space="preserve">18.5 Approval Matrix</w:t>
      </w:r>
      <w:bookmarkEnd w:id="133"/>
    </w:p>
    <w:tbl>
      <w:tblPr>
        <w:tblStyle w:val="TableGrid"/>
        <w:tblW w:type="dxa" w:w="9360"/>
        <w:jc w:val="center"/>
        <w:tblLayout w:type="fixed"/>
        <w:tblLook w:firstColumn="1" w:firstRow="1" w:lastColumn="0" w:lastRow="0" w:noHBand="0" w:noVBand="1" w:val="04A0"/>
      </w:tblPr>
      <w:tblGrid>
        <w:gridCol w:w="1560"/>
        <w:gridCol w:w="1560"/>
        <w:gridCol w:w="1560"/>
        <w:gridCol w:w="1560"/>
        <w:gridCol w:w="1560"/>
        <w:gridCol w:w="1560"/>
      </w:tblGrid>
      <w:tr>
        <w:trPr>
          <w:cantSplit/>
          <w:tblHeader/>
        </w:trPr>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Approval</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Source document and section</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Approving body</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Threshold</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Status</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Evidence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Loan Documents, Liens and officer authority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Charter, bylaws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[Majority of directors]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consent</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issuance and share reservation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Charter, bylaws, equity plan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[Majority of directors]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consent</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Indebtedness above protective provision threshold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Charter Article [●]</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[Preferred holders]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[Majority of preferred]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Written consent</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Issuance of preferred Warrant Shares or increase in authorized shares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Charter Article [●]</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[Preferred holders; all stockholders if amendment]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Written consent; filed amendment</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Matters requiring preferred director approval</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Investors' rights agreement Section [●] or voting agreement Section [●]</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including [preferred directors]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consent</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Preemptive or right-of-first-offer waiver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Investors' rights agreement Section [●]</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[Major Investors]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Waiver or excluded-securities confirmation</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ROFR, co-sale and drag-along joinder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Right of first refusal and co-sale agreement; voting agreement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 and Warrant holder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applicable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Joinder</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Registration rights joinder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Investors' rights agreement Section [●]</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[Holders of a majority of registrable securities]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Joinder or amendment</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Subordination of convertible notes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Note purchase agreement Section [●]</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[Majority noteholders]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Subordination agreement</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Restriction on charter redemption rights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Charter Article [●]</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[Preferred holders]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Written consent or amendment</w:t>
            </w:r>
          </w:p>
        </w:tc>
      </w:tr>
    </w:tbl>
    <w:p>
      <w:pPr>
        <w:spacing w:before="0" w:after="120"/>
      </w:pPr>
    </w:p>
    <w:p>
      <w:pPr>
        <w:pStyle w:val="Heading2"/>
      </w:pPr>
      <w:bookmarkStart w:id="134" w:name="definitive-documentation"/>
      <w:r>
        <w:t xml:space="preserve">19 Definitive Documentation</w:t>
      </w:r>
      <w:bookmarkEnd w:id="134"/>
    </w:p>
    <w:p>
      <w:pPr>
        <w:pStyle w:val="FirstParagraph"/>
      </w:pPr>
      <w:r>
        <w:t xml:space="preserve">The definitive documents (the</w:t>
      </w:r>
      <w:r>
        <w:t xml:space="preserve"> </w:t>
      </w:r>
      <w:r>
        <w:rPr>
          <w:b/>
        </w:rPr>
        <w:t xml:space="preserve">Loan Documents</w:t>
      </w:r>
      <w:r>
        <w:t xml:space="preserve">) are expected to include the Loan Agreement (EF-098), a promissory note if requested, a guaranty and joinder for each Guarantor (EF-077), a security agreement if separate (EF-076), an equity pledge (EF-079), the perfection certificate (EF-099), Control Agreements, the IP negative pledge or IP security agreement (EF-102 or EF-080), the Warrant, the subordination agreements (EF-078), the form of Borrowing Request (EF-100), the form of Compliance Certificate (EF-101), the board and investor approval record (EF-103) and the closing checklist and funds flow (EF-104). Lender will deliver a first draft of the Loan Agreement and Warrant within [5 / 10] Business Days after acceptance of this Term Sheet, and the parties will target a Closing Date of [DATE]. The Loan Documents will reflect the terms of this Term Sheet and otherwise contain only provisions that are consistent with this Term Sheet, customary for facilities of this type for similarly situated venture-backed borrowers and subject to the Company's reasonable comments. Inconsistent terms will be resolved in the definitive agreements, not by treating this Term Sheet as a hidden amendment to them.</w:t>
      </w:r>
    </w:p>
    <w:p>
      <w:pPr>
        <w:pStyle w:val="DraftingNote"/>
      </w:pPr>
      <w:r>
        <w:rPr>
          <w:b/>
        </w:rPr>
        <w:t xml:space="preserve">Drafting note:</w:t>
      </w:r>
      <w:r>
        <w:t xml:space="preserve"> </w:t>
      </w:r>
      <w:r>
        <w:t xml:space="preserve">The phrase "the Loan Agreement will contain Lender's customary provisions" is where term-sheet concessions are lost. Insist on the formulation above, request the lender's form Loan Agreement with the term sheet so that counsel can price the negotiation, and record in a decision log every open term that the term sheet leaves to the definitive documents.</w:t>
      </w:r>
    </w:p>
    <w:p>
      <w:pPr>
        <w:pStyle w:val="Heading2"/>
      </w:pPr>
      <w:bookmarkStart w:id="135" w:name="expenses-and-indemnification"/>
      <w:r>
        <w:t xml:space="preserve">20 Expenses and Indemnification</w:t>
      </w:r>
      <w:bookmarkEnd w:id="135"/>
    </w:p>
    <w:p>
      <w:pPr>
        <w:pStyle w:val="Heading3"/>
      </w:pPr>
      <w:bookmarkStart w:id="136" w:name="expenses"/>
      <w:r>
        <w:t xml:space="preserve">20.1 Expenses</w:t>
      </w:r>
      <w:bookmarkEnd w:id="136"/>
    </w:p>
    <w:p>
      <w:pPr>
        <w:pStyle w:val="FirstParagraph"/>
      </w:pPr>
      <w:r>
        <w:t xml:space="preserve">The Company will reimburse Lender's reasonable and documented out-of-pocket legal, search, filing and third-party diligence expenses incurred in connection with this Term Sheet and the Loan Documents, subject to the Legal Fee Cap, [whether or not the Closing occurs] [only if the Closing occurs or if the Closing fails to occur because of the Company's breach of the Binding Provisions]. No expense reimbursement is owed if Lender withdraws, fails to deliver a draft Loan Agreement by the date in Section 19, fails to obtain credit approval, or proposes terms materially less favorable to the Company than this Term Sheet. Lender will provide invoices with sufficient detail to evaluate the cap without disclosing privileged advice. This Section 20.1 is binding.</w:t>
      </w:r>
    </w:p>
    <w:p>
      <w:pPr>
        <w:pStyle w:val="DraftingNote"/>
      </w:pPr>
      <w:r>
        <w:rPr>
          <w:b/>
        </w:rPr>
        <w:t xml:space="preserve">Drafting note:</w:t>
      </w:r>
      <w:r>
        <w:t xml:space="preserve"> </w:t>
      </w:r>
      <w:r>
        <w:t xml:space="preserve">The lender's form makes the Company liable for all expenses whether or not the deal closes. Market practice caps the obligation and applies it regardless of closing. The founder-protective position conditions reimbursement on a Closing or a Company breach, so that the Company does not fund the lender's abandoned diligence, and credits the Deposit against the obligation.</w:t>
      </w:r>
    </w:p>
    <w:p>
      <w:pPr>
        <w:pStyle w:val="Heading3"/>
      </w:pPr>
      <w:bookmarkStart w:id="137" w:name="indemnification"/>
      <w:r>
        <w:t xml:space="preserve">20.2 Indemnification</w:t>
      </w:r>
      <w:bookmarkEnd w:id="137"/>
    </w:p>
    <w:p>
      <w:pPr>
        <w:pStyle w:val="FirstParagraph"/>
      </w:pPr>
      <w:r>
        <w:t xml:space="preserve">The Loan Documents will provide that the Company indemnifies Lender, its Affiliates and their respective directors, officers, employees and agents against losses, claims and expenses arising from third-party claims relating to the Loan Documents, the use of proceeds or the Collateral, excluding losses resulting from the indemnitee's gross negligence, willful misconduct or bad faith, material breach of the Loan Documents, or disputes solely among lenders. Neither party will be liable to the other for consequential, special or punitive damages except to the extent included in a third-party claim. This Term Sheet itself imposes no indemnification obligation.</w:t>
      </w:r>
    </w:p>
    <w:p>
      <w:pPr>
        <w:pStyle w:val="DraftingNote"/>
      </w:pPr>
      <w:r>
        <w:rPr>
          <w:b/>
        </w:rPr>
        <w:t xml:space="preserve">Drafting note:</w:t>
      </w:r>
      <w:r>
        <w:t xml:space="preserve"> </w:t>
      </w:r>
      <w:r>
        <w:t xml:space="preserve">Lenders sometimes include a binding indemnity in the term sheet; the founder-protective position confines indemnification to the Loan Documents, where it is subject to negotiated exclusions, and limits the term sheet's binding financial obligation to expense reimbursement.</w:t>
      </w:r>
    </w:p>
    <w:p>
      <w:pPr>
        <w:pStyle w:val="Heading3"/>
      </w:pPr>
      <w:bookmarkStart w:id="138" w:name="X448722a11dcffce76717fe8a2b4a7b31b8e1576"/>
      <w:r>
        <w:t xml:space="preserve">20.3 Taxes, Increased Costs and Yield Protection</w:t>
      </w:r>
      <w:bookmarkEnd w:id="138"/>
    </w:p>
    <w:p>
      <w:pPr>
        <w:pStyle w:val="FirstParagraph"/>
      </w:pPr>
      <w:r>
        <w:t xml:space="preserve">Payments will be made free of withholding taxes, with a gross-up for taxes other than Excluded Taxes (taxes on Lender's overall net income, taxes imposed because of Lender's failure to deliver required tax forms, and taxes under the Foreign Account Tax Compliance Act). [If Lender is a bank: increased-cost and capital-adequacy provisions will apply only to changes in law after the Closing Date, only if Lender is seeking compensation from similarly situated borrowers generally, and only for costs incurred within [180] days before the claim, and the Company may prepay the affected Advances without Prepayment Premium.] [If Lender is not a bank: no increased-cost, capital-adequacy or yield-protection provisions will apply.]</w:t>
      </w:r>
    </w:p>
    <w:p>
      <w:pPr>
        <w:pStyle w:val="Heading2"/>
      </w:pPr>
      <w:bookmarkStart w:id="139" w:name="confidentiality"/>
      <w:r>
        <w:t xml:space="preserve">21 Confidentiality</w:t>
      </w:r>
      <w:bookmarkEnd w:id="139"/>
    </w:p>
    <w:p>
      <w:pPr>
        <w:pStyle w:val="FirstParagraph"/>
      </w:pPr>
      <w:r>
        <w:t xml:space="preserve">Each party will keep this Term Sheet, its terms and the nonpublic information of the other party confidential, except for disclosure (a) to its Affiliates, directors, officers, employees, advisers, auditors, financing sources and existing and prospective investors, in each case who are bound by confidentiality obligations; (b) by Lender, to prospective participants and assignees permitted under Section 1.3 that have agreed in writing to confidentiality; (c) to regulators and as required by law, subpoena or legal process, with prompt notice to the other party where lawful; and (d) in connection with the enforcement of rights under the Binding Provisions or the Loan Documents. Lender will not use the Company's or any founder's name or logo in marketing, announcements, tombstones or portfolio listings without the Company's prior written consent. The Company may disclose this Term Sheet to other prospective lenders only after the Exclusivity Period ends. Confidentiality obligations survive for [2] years after the expiration or termination of this Term Sheet. This Section 21 is binding.</w:t>
      </w:r>
    </w:p>
    <w:p>
      <w:pPr>
        <w:pStyle w:val="Heading2"/>
      </w:pPr>
      <w:bookmarkStart w:id="140" w:name="X4343c58d7602cbc4573b2317fac06b5a77cd89b"/>
      <w:r>
        <w:t xml:space="preserve">22 Exclusivity, No-Shop and Expense Reimbursement</w:t>
      </w:r>
      <w:bookmarkEnd w:id="140"/>
    </w:p>
    <w:p>
      <w:pPr>
        <w:pStyle w:val="Heading3"/>
      </w:pPr>
      <w:bookmarkStart w:id="141" w:name="no-shop"/>
      <w:r>
        <w:t xml:space="preserve">22.1 No-Shop</w:t>
      </w:r>
      <w:bookmarkEnd w:id="141"/>
    </w:p>
    <w:p>
      <w:pPr>
        <w:pStyle w:val="FirstParagraph"/>
      </w:pPr>
      <w:r>
        <w:t xml:space="preserve">For [●] days after the Company's acceptance of this Term Sheet (the</w:t>
      </w:r>
      <w:r>
        <w:t xml:space="preserve"> </w:t>
      </w:r>
      <w:r>
        <w:rPr>
          <w:b/>
        </w:rPr>
        <w:t xml:space="preserve">Exclusivity Period</w:t>
      </w:r>
      <w:r>
        <w:t xml:space="preserve">), the Company will not solicit, negotiate or accept a proposal from any other lender for a senior secured term loan facility of the type described in this Term Sheet. The Exclusivity Period does not restrict (a) equity financings, SAFEs, convertible notes or other convertible equity instruments; (b) equipment leases and financings not exceeding $[●]; (c) corporate card and payment-processing arrangements; (d) amendments, extensions or payoffs of existing financing; (e) strategic transactions, acquisitions or a sale of the Company; or (f) responding to an unsolicited proposal by stating that the Company is subject to exclusivity.</w:t>
      </w:r>
    </w:p>
    <w:p>
      <w:pPr>
        <w:pStyle w:val="Heading3"/>
      </w:pPr>
      <w:bookmarkStart w:id="142" w:name="termination-of-exclusivity"/>
      <w:r>
        <w:t xml:space="preserve">22.2 Termination of Exclusivity</w:t>
      </w:r>
      <w:bookmarkEnd w:id="142"/>
    </w:p>
    <w:p>
      <w:pPr>
        <w:pStyle w:val="FirstParagraph"/>
      </w:pPr>
      <w:r>
        <w:t xml:space="preserve">The Exclusivity Period ends automatically, without notice, if (a) Lender withdraws or indicates that it will not proceed; (b) Lender proposes terms that are materially less favorable to the Company than this Term Sheet in economics, collateral, covenants or structure; (c) Lender fails to deliver a first draft of the Loan Agreement and Warrant within the period in Section 19; (d) Lender fails to confirm final credit approval by [DATE]; or (e) Lender fails to complete its diligence by [DATE]. The Company may also terminate the Exclusivity Period on written notice if Lender is not negotiating in good faith toward the Closing Date.</w:t>
      </w:r>
    </w:p>
    <w:p>
      <w:pPr>
        <w:pStyle w:val="Heading3"/>
      </w:pPr>
      <w:bookmarkStart w:id="143" w:name="break-up-fee-and-expense-reimbursement"/>
      <w:r>
        <w:t xml:space="preserve">22.3 Break-Up Fee and Expense Reimbursement</w:t>
      </w:r>
      <w:bookmarkEnd w:id="143"/>
    </w:p>
    <w:p>
      <w:pPr>
        <w:pStyle w:val="FirstParagraph"/>
      </w:pPr>
      <w:r>
        <w:t xml:space="preserve">[No break-up fee will apply.] If, during the Exclusivity Period and in breach of Section 22.1, the Company accepts a proposal for a competing facility, the Company will reimburse Lender's documented expenses up to the Legal Fee Cap [and pay a break-up fee of $[●]]. If Lender withdraws for a reason other than the Company's breach, Lender will refund the unapplied Deposit and bear its own expenses. This Section 22 is binding.</w:t>
      </w:r>
    </w:p>
    <w:p>
      <w:pPr>
        <w:pStyle w:val="DraftingNote"/>
      </w:pPr>
      <w:r>
        <w:rPr>
          <w:b/>
        </w:rPr>
        <w:t xml:space="preserve">Drafting note:</w:t>
      </w:r>
      <w:r>
        <w:t xml:space="preserve"> </w:t>
      </w:r>
      <w:r>
        <w:t xml:space="preserve">The lender's opening ask is 45 to 60 days of exclusivity with a break-up fee of approximately 1% of the Total Commitment. Market practice is 30 to 45 days with expense reimbursement only. The founder-protective position is 21 to 30 days, the automatic termination triggers above, and expense reimbursement (capped) only upon the Company's actual breach. Term sheets are frequently issued before final credit or investment committee approval; require disclosure of the approval status in Section 23 and make failure to obtain approval by a stated date an exclusivity terminator.</w:t>
      </w:r>
    </w:p>
    <w:p>
      <w:pPr>
        <w:pStyle w:val="Heading2"/>
      </w:pPr>
      <w:bookmarkStart w:id="144" w:name="Xbc0c9584adeb612dc0bde8b76102d421f74a2f4"/>
      <w:r>
        <w:t xml:space="preserve">23 No Commitment, Credit Approval Status and No Reliance</w:t>
      </w:r>
      <w:bookmarkEnd w:id="144"/>
    </w:p>
    <w:p>
      <w:pPr>
        <w:pStyle w:val="FirstParagraph"/>
      </w:pPr>
      <w:r>
        <w:t xml:space="preserve">No financing commitment exists until the Loan Documents are executed and the conditions in them are satisfied or waived. Lender confirms that this Term Sheet [has been approved by its credit or investment committee / remains subject to credit or investment committee approval, which Lender expects to obtain by [DATE]], and will notify the Company promptly if approval is denied or conditioned. Neither party may rely on a forecast, approval expectation or oral assurance not included in a signed writing. During the Exclusivity Period, each party will negotiate in good faith toward the Loan Documents, but neither party is obligated to agree to any term not set forth in this Term Sheet. This Section 23 is binding.</w:t>
      </w:r>
    </w:p>
    <w:p>
      <w:pPr>
        <w:pStyle w:val="Heading2"/>
      </w:pPr>
      <w:bookmarkStart w:id="145" w:name="governing-law-venue-and-jury-waiver"/>
      <w:r>
        <w:t xml:space="preserve">24 Governing Law, Venue and Jury Waiver</w:t>
      </w:r>
      <w:bookmarkEnd w:id="145"/>
    </w:p>
    <w:p>
      <w:pPr>
        <w:pStyle w:val="FirstParagraph"/>
      </w:pPr>
      <w:r>
        <w:t xml:space="preserve">The Binding Provisions, and the Loan Documents when executed, will be governed by the laws of the State of [STATE], without regard to its conflicts-of-law rules, except that the creation, perfection and priority of security interests will be governed by the law applicable under the Uniform Commercial Code. Each party consents to the exclusive jurisdiction of the state and federal courts located in [COUNTY, STATE] for any dispute relating to the Binding Provisions, waives objection to venue, and agrees that either party may seek temporary or preliminary equitable relief in any court of competent jurisdiction. EACH PARTY WAIVES TRIAL BY JURY TO THE FULLEST EXTENT PERMITTED BY APPLICABLE LAW. [If the governing law does not enforce a pre-dispute jury waiver, the parties agree to judicial reference or another mechanism permitted by that law.] This Section 24 is binding.</w:t>
      </w:r>
    </w:p>
    <w:p>
      <w:pPr>
        <w:pStyle w:val="DraftingNote"/>
      </w:pPr>
      <w:r>
        <w:rPr>
          <w:b/>
        </w:rPr>
        <w:t xml:space="preserve">Drafting note:</w:t>
      </w:r>
      <w:r>
        <w:t xml:space="preserve"> </w:t>
      </w:r>
      <w:r>
        <w:t xml:space="preserve">Lenders propose their home-state law and forum. The choice affects the usury analysis in Section 3.7, the enforceability of the jury waiver, the Prepayment Premium and Default Rate, and the cost of enforcement. Founders should prefer a jurisdiction with developed commercial law and, where the Company is organized or headquartered elsewhere, confirm with counsel that the choice is enforceable for a commercial loan of this size.</w:t>
      </w:r>
    </w:p>
    <w:p>
      <w:pPr>
        <w:pStyle w:val="Heading2"/>
      </w:pPr>
      <w:bookmarkStart w:id="146" w:name="binding-and-nonbinding-provisions"/>
      <w:r>
        <w:t xml:space="preserve">25 Binding and Nonbinding Provisions</w:t>
      </w:r>
      <w:bookmarkEnd w:id="146"/>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Section</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Subject</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Binding</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Survival after expiration or termination</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Sections 1 through 19</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Facility, economics, collateral, Warrant, covenants, defaults, remedies, conditions, representations, approvals and documentation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applicable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20.1</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Expenses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Survives as to amounts properly incurred before termination</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Sections 20.2 and 20.3</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Indemnification, taxes and yield protection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 (to be set forth in the Loan Documents)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applicable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21</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Confidentiality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 years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22</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Exclusivity and expense reimbursement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Through the end of the Exclusivity Period; reimbursement claims survive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23</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 commitment, credit approval status and no reliance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Indefinitely</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24</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Governing law, venue and jury waiver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Indefinitely as to the Binding Provisions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25</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Binding and nonbinding provisions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Indefinitely</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26</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Expiration and acceptance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Indefinitely</w:t>
            </w:r>
          </w:p>
        </w:tc>
      </w:tr>
    </w:tbl>
    <w:p>
      <w:pPr>
        <w:spacing w:before="0" w:after="120"/>
      </w:pPr>
    </w:p>
    <w:p>
      <w:pPr>
        <w:pStyle w:val="BodyText"/>
      </w:pPr>
      <w:r>
        <w:t xml:space="preserve">The Binding Provisions are the only legally binding obligations created by this Term Sheet. No other provision creates an obligation to lend, borrow, issue securities or agree to any term, and no course of conduct, exchange of drafts or partial performance will create such an obligation. This Term Sheet is not an offer to sell or a solicitation of an offer to buy securities, and the Warrant terms are nonbinding until the Warrant is issued. There are no third-party beneficiaries of this Term Sheet.</w:t>
      </w:r>
    </w:p>
    <w:p>
      <w:pPr>
        <w:pStyle w:val="Heading2"/>
      </w:pPr>
      <w:bookmarkStart w:id="147" w:name="expiration-and-acceptance"/>
      <w:r>
        <w:t xml:space="preserve">26 Expiration and Acceptance</w:t>
      </w:r>
      <w:bookmarkEnd w:id="147"/>
    </w:p>
    <w:p>
      <w:pPr>
        <w:pStyle w:val="FirstParagraph"/>
      </w:pPr>
      <w:r>
        <w:t xml:space="preserve">This Term Sheet expires at [TIME AND TIME ZONE] on [DATE] unless countersigned by the Company and delivered to Lender before that time or extended in a writing signed by both parties. Acceptance may be delivered by electronic signature or portable document format, and counterparts are permitted. Acceptance does not waive any board, stockholder, investor, regulatory or other approval, and the Company's obligations under the Loan Documents remain subject to those approvals. Upon expiration or termination, the nonbinding provisions cease to have effect and the Binding Provisions survive as stated in Section 25.</w:t>
      </w:r>
    </w:p>
    <w:p>
      <w:pPr>
        <w:pStyle w:val="Heading2"/>
      </w:pPr>
      <w:bookmarkStart w:id="148" w:name="signature-blocks"/>
      <w:r>
        <w:t xml:space="preserve">27 Signature Blocks</w:t>
      </w:r>
      <w:bookmarkEnd w:id="148"/>
    </w:p>
    <w:p>
      <w:pPr>
        <w:pStyle w:val="FirstParagraph"/>
      </w:pPr>
      <w:r>
        <w:t xml:space="preserve">The undersigned acknowledge that Sections 20.1 and 21 through 26 are binding and that all other provisions are nonbinding expressions of intent.</w:t>
      </w:r>
    </w:p>
    <w:p>
      <w:pPr>
        <w:pStyle w:val="BodyText"/>
      </w:pPr>
      <w:r>
        <w:t xml:space="preserve">LENDER: [LENDER LEGAL NAME]</w:t>
      </w:r>
      <w:r>
        <w:br/>
      </w:r>
      <w:r>
        <w:t xml:space="preserve">By: [●]</w:t>
      </w:r>
      <w:r>
        <w:br/>
      </w:r>
      <w:r>
        <w:t xml:space="preserve">Name: [●]</w:t>
      </w:r>
      <w:r>
        <w:br/>
      </w:r>
      <w:r>
        <w:t xml:space="preserve">Title: [●]</w:t>
      </w:r>
      <w:r>
        <w:br/>
      </w:r>
      <w:r>
        <w:t xml:space="preserve">Date: [●]</w:t>
      </w:r>
    </w:p>
    <w:p>
      <w:pPr>
        <w:pStyle w:val="BodyText"/>
      </w:pPr>
      <w:r>
        <w:t xml:space="preserve">COMPANY: [BORROWER LEGAL NAME]</w:t>
      </w:r>
      <w:r>
        <w:br/>
      </w:r>
      <w:r>
        <w:t xml:space="preserve">By: [●]</w:t>
      </w:r>
      <w:r>
        <w:br/>
      </w:r>
      <w:r>
        <w:t xml:space="preserve">Name: [●]</w:t>
      </w:r>
      <w:r>
        <w:br/>
      </w:r>
      <w:r>
        <w:t xml:space="preserve">Title: [●]</w:t>
      </w:r>
      <w:r>
        <w:br/>
      </w:r>
      <w:r>
        <w:t xml:space="preserve">Date: [●]</w:t>
      </w:r>
    </w:p>
    <w:p>
      <w:pPr>
        <w:pStyle w:val="BodyText"/>
      </w:pPr>
      <w:r>
        <w:t xml:space="preserve">[ACKNOWLEDGED AS TO SECTIONS 1.2 AND 8.5 ONLY:</w:t>
      </w:r>
      <w:r>
        <w:br/>
      </w:r>
      <w:r>
        <w:t xml:space="preserve">GUARANTOR: [GUARANTOR LEGAL NAME]</w:t>
      </w:r>
      <w:r>
        <w:br/>
      </w:r>
      <w:r>
        <w:t xml:space="preserve">By: [●]</w:t>
      </w:r>
      <w:r>
        <w:br/>
      </w:r>
      <w:r>
        <w:t xml:space="preserve">Name: [●]</w:t>
      </w:r>
      <w:r>
        <w:br/>
      </w:r>
      <w:r>
        <w:t xml:space="preserve">Title: [●]</w:t>
      </w:r>
      <w:r>
        <w:br/>
      </w:r>
      <w:r>
        <w:t xml:space="preserve">Date: [●]]</w:t>
      </w:r>
    </w:p>
    <w:p>
      <w:pPr>
        <w:pStyle w:val="Heading2"/>
      </w:pPr>
      <w:bookmarkStart w:id="149" w:name="X830ab906899b127558f4a256ccd989d6b36c0ff"/>
      <w:r>
        <w:t xml:space="preserve">Schedule 1 — Existing Debt, Liens and Required Consents</w:t>
      </w:r>
      <w:bookmarkEnd w:id="149"/>
    </w:p>
    <w:p>
      <w:pPr>
        <w:pStyle w:val="FirstParagraph"/>
      </w:pPr>
      <w:r>
        <w:t xml:space="preserve">Complete this Schedule from the lien searches, the debt schedule, the capitalization table and a review of every material contract for liens, negative pledges, anti-assignment clauses and payment rights. Lien searches were conducted on [DATE] in [JURISDICTIONS] against [NAMES SEARCHED, INCLUDING PRIOR NAMES].</w:t>
      </w:r>
    </w:p>
    <w:tbl>
      <w:tblPr>
        <w:tblStyle w:val="TableGrid"/>
        <w:tblW w:type="dxa" w:w="9360"/>
        <w:jc w:val="center"/>
        <w:tblLayout w:type="fixed"/>
        <w:tblLook w:firstColumn="1" w:firstRow="1" w:lastColumn="0" w:lastRow="0" w:noHBand="0" w:noVBand="1" w:val="04A0"/>
      </w:tblPr>
      <w:tblGrid>
        <w:gridCol w:w="936"/>
        <w:gridCol w:w="936"/>
        <w:gridCol w:w="936"/>
        <w:gridCol w:w="936"/>
        <w:gridCol w:w="936"/>
        <w:gridCol w:w="936"/>
        <w:gridCol w:w="936"/>
        <w:gridCol w:w="936"/>
        <w:gridCol w:w="936"/>
        <w:gridCol w:w="936"/>
      </w:tblGrid>
      <w:tr>
        <w:trPr>
          <w:cantSplit/>
          <w:tblHeader/>
        </w:trPr>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Item</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Type</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Amount or scope</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Holder or counterparty</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Document and section</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Priority or restriction</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Required action</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Evidence</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Status</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Convertible promissory notes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Indebtedness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principal plus accrued interest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[NOTEHOLDERS]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Note purchase agreement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Unsecured; maturity [DATE]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Subordination agreement (EF-078); confirm conversion mechanics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SAFEs and convertible equity instruments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Equity instrument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SAFE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Indebtedness; confirm no lien, negative pledge or repayment right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Confirmation memo; no action if clean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Equipment lease or financing</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Indebtedness and Lien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[LESSOR]</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Master lease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Purchase-money Lien on financed equipment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Lien; confirm UCC filing scope limited to financed equipment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Corporate card program</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Indebtedness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limit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[ISSUER]</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Card agreement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Cash collateral $[●] or security interest in deposit account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Lien within basket; amend if blanket lien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Existing venture or bank facility</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Indebtedness and Lien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Loan agreement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First-priority all-asset Lien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Payoff letter, release and UCC-3 termination at Closing</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Landlord letter of credit or security deposit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Contingent obligation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[LANDLORD]</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Lease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Cash collateral for letter of credit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Lien within basket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Prior UCC financing statements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Lien of record</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[SCOPE]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[SECURED PARTY]</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File number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Lapsed, terminated or active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UCC-3 termination or amendment; confirm with secured party</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Inbound IP license with negative pledge or anti-assignment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Contractual restriction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[LICENSED IP]</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[LICENSOR]</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License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Prohibits lien or assignment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 from Collateral or obtain consent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Government grant or contract with IP rights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Contractual restriction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[AGENCY]</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Award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March-in, reporting or lien restrictions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Disclose; exclude affected IP if required</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Customer contract with anti-assignment affecting receivables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Contractual restriction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annual revenue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[CUSTOMER]</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Agreement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Anti-assignment of receivables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Confirm UCC override; disclose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Charter redemption or dividend rights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Equity right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[SERIES]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[PREFERRED HOLDERS]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Charter Article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Mandatory redemption on [DATE]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 consent restricting exercise while Obligations outstanding</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[RELEASE / CONSENT / SUBORDINATION / PERMITTED LIEN / EXCLUDE]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150" w:name="schedule-2-tranche-and-milestone-matrix"/>
      <w:r>
        <w:t xml:space="preserve">Schedule 2 — Tranche and Milestone Matrix</w:t>
      </w:r>
      <w:bookmarkEnd w:id="150"/>
    </w:p>
    <w:p>
      <w:pPr>
        <w:pStyle w:val="Heading3"/>
      </w:pPr>
      <w:bookmarkStart w:id="151" w:name="part-a-tranche-terms"/>
      <w:r>
        <w:t xml:space="preserve">Part A — Tranche Terms</w:t>
      </w:r>
      <w:bookmarkEnd w:id="151"/>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Term</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Tranche A</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Tranche B</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Tranche C</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Revolving</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Commitment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Availability Period begins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Date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Availability Period ends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Date / 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Draw conditions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16.1</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Milestone B; Section 16.2</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Milestone C; Section 16.2</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Borrowing base; Section 2.5</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Minimum draw and increments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Maximum number of draws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Unlimited</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Fee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at Closing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on funding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on funding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at Closing</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Unused fee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Coverage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at Closing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on funding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on funding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Interest-Only Period ends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 / same as Tranche A]</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 / same as Tranche A]</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applicable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Amortization installments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applicable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Maturity 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First amortizing month debt service (per Schedule 4)</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applicable</w:t>
            </w:r>
          </w:p>
        </w:tc>
      </w:tr>
    </w:tbl>
    <w:p>
      <w:pPr>
        <w:spacing w:before="0" w:after="120"/>
      </w:pPr>
    </w:p>
    <w:p>
      <w:pPr>
        <w:pStyle w:val="Heading3"/>
      </w:pPr>
      <w:bookmarkStart w:id="152" w:name="part-b-milestone-design"/>
      <w:r>
        <w:t xml:space="preserve">Part B — Milestone Design</w:t>
      </w:r>
      <w:bookmarkEnd w:id="152"/>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Element</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Milestone B</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Milestone C</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Metric and definition</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[Trailing three-month GAAP revenue / ARR as defined in Schedule 5 / product or regulatory event]</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Target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or [EVENT]</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Measurement date or period</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month-end during the Availability Period]</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Accounting basis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GAAP consistent with annual statements; ARR per Company board methodology</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Evidence to be delivered</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Compliance Certificate, management financial statements and [CUSTOMER CONTRACT SUMMARY / REGULATORY CORRESPONDENCE]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Determined by</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 certification; Lender confirmation limited to verifying evidence within [5] Business Days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Re-test or cure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Re-tested at each month-end during the Availability Period</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Dispute mechanism</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10.6 accounting-firm process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Consequence of failure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 terminates at end of Availability Period; not a Default</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Deemed satisfaction on Qualified Equity Financing</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[Yes, of at least $[●]]</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discretion</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beyond verification of evidence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t xml:space="preserve">Milestones must be measurable from the Company's existing reporting without a lender-specific calculation. A Milestone that depends on "Lender's satisfaction" or on the absence of a Material Adverse Change is not a Milestone for purposes of this Term Sheet and should be struck or converted to an objective test.</w:t>
      </w:r>
    </w:p>
    <w:p>
      <w:pPr>
        <w:pStyle w:val="Heading2"/>
      </w:pPr>
      <w:bookmarkStart w:id="153" w:name="schedule-3-founder-negotiation-matrix"/>
      <w:r>
        <w:t xml:space="preserve">Schedule 3 — Founder Negotiation Matrix</w:t>
      </w:r>
      <w:bookmarkEnd w:id="153"/>
    </w:p>
    <w:p>
      <w:pPr>
        <w:pStyle w:val="FirstParagraph"/>
      </w:pPr>
      <w:r>
        <w:t xml:space="preserve">This Schedule consolidates, for every economic and structural term, the lender's typical opening ask, the current market range, the founder-protective position and the trade-offs between them. Bracketed dollar amounts are illustrative scale markers for a facility of $[3,000,000] to $[15,000,000] and must be resized to the actual facility. Market ranges are practitioner observations as of the version date and must be verified against current proposals. Use the final column to record the Company's priority (High, Medium or Low) and the term it is willing to concede in exchange.</w:t>
      </w:r>
    </w:p>
    <w:tbl>
      <w:tblPr>
        <w:tblStyle w:val="TableGrid"/>
        <w:tblW w:type="dxa" w:w="9360"/>
        <w:jc w:val="center"/>
        <w:tblLayout w:type="fixed"/>
        <w:tblLook w:firstColumn="1" w:firstRow="1" w:lastColumn="0" w:lastRow="0" w:noHBand="0" w:noVBand="1" w:val="04A0"/>
      </w:tblPr>
      <w:tblGrid>
        <w:gridCol w:w="1560"/>
        <w:gridCol w:w="1560"/>
        <w:gridCol w:w="1560"/>
        <w:gridCol w:w="1560"/>
        <w:gridCol w:w="1560"/>
        <w:gridCol w:w="1560"/>
      </w:tblGrid>
      <w:tr>
        <w:trPr>
          <w:cantSplit/>
          <w:tblHeader/>
        </w:trPr>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Term</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Lender typical opening ask</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Current market range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Founder-protective position</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Trade-offs and what to give to get it</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Company priority and decision</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Total Commitment and tranche structure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Large headline with most of the commitment in milestone-gated tranches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40% to 60% funded at Closing; balance in one or two tranches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Maximize Tranche A; objective Milestones; deemed satisfaction on equity raise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Accept a smaller headline for a larger funded Tranche A; lenders price unfunded tranches cheaply because they rarely fund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Milestone standard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Lender's sole discretion; no Material Adverse Change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Objective metric with lender verification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Objective metric, month-end re-test, no discretion, failure is not a default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Offer a higher Milestone target in exchange for objectivity and re-testing</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Minimum draw and draws per tranche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Full tranche in one draw</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One or two draws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Two or three draws of $[500,000] minimum; undrawn balance preserved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Accept an unused fee on the Revolving only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 rate basis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Floating (Prime or SOFR) with floor at current index</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Floating with floor at or near current index, or fixed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Fixed, or floating with floor well below index and a step-down on equity raise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Fixed rate usually costs 50 to 150 basis points over the floating opening coupon; worth it if the Interest-Only Period is long</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Applicable Margin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Prime plus 1.5% to 2.5% (bank); SOFR plus 8% to 10% or 13% to 15% fixed (non-bank)</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Prime plus 0% to 2% (bank); SOFR plus 6% to 9% or 11% to 14% fixed (non-bank)</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 end of range plus step-down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Trade Warrant Coverage or Final Payment for margin depending on expected hold and exit valuation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Floor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Index at Closing</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Index at Closing to 100 basis points below</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100 to 200 basis points below index, or no floor, or paired with a cap</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Accept the floor if the rate is fixed-equivalent anyway; otherwise concede a small Closing Fee increase for a lower floor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Default Rate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Plus 5% on all Obligations, automatic</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Plus 3% to 5%</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Plus 2% to 3% on overdue amounts, after notice, not for cured technical defaults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 priority if the Event of Default definitions are tight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Day count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Actual/360</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Actual/360</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Actual/365 or modeled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Worth approximately 17 basis points on a 12% coupon; concede if the margin is reduced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PIK option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or lender-elected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Company-elected toggle of 2% to 4% at non-bank lenders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Company-elected, excluded from fee bases, modeled separately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Useful only as a covenant-relief tool; otherwise decline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Interest-Only Period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6 to 12 months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12 to 24 months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18 to 24 months ending at least six months after the expected next round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Longer interest-only costs Warrant Coverage or Final Payment; it is usually the most valuable concession to buy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Interest-Only extension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Lender's satisfaction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Objective equity or revenue trigger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Automatic on objective trigger with corresponding maturity extension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Accept a higher trigger threshold in exchange for automatic extension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Amortization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24 to 30 months after a short interest-only period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24 to 36 months straight-line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Straight-line beginning after the expected next round; per-tranche schedules for late draws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Mortgage-style lowers early payments; straight-line lowers total cost; choose based on the runway model</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Term and Maturity Date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36 months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36 to 48 months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48 months or longer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longer term with a longer Interest-Only Period is the single most valuable structural term</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Fee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 to 1.5% of Total Commitment at Closing</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0.5% to 1.0%</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On funded Advances only, payable as funded, Deposit credited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Concede the rate if the base is funded Advances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Unused fee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0.25% to 0.50% on all undrawn amounts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0% on term tranches; 0.25% to 0.50% on Revolving</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on milestone-gated tranches; Company may cancel undrawn commitments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 priority; trade for Milestone objectivity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Final Payment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 to 10% of Total Commitment on any payoff or acceleration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 to 7% of funded Advances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 or less of funded Advances, prorated, not on acceleration except payment or insolvency default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most expensive term on a short hold; trade margin for Final Payment if early repayment is likely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Prepayment Premium</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 / 2% / 1% with no exceptions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 to 3% / 1% to 2% / 0.5% to 1%</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 to 2% / 1% / 0%, with Change of Control, equity-raise, refinancing-by-lender and lender-breach exceptions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Change of Control exception is the priority; equity-raise exception at 50% is a common compromise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Legal Fee Cap</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or $[100,000]</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$[25,000] to $[75,000] inclusive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$[40,000] inclusive of searches and filings, applying whether or not Closing occurs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Agree to pay promptly in exchange for an inclusive cap</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Diligence fee and Deposit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Nonrefundable $[25,000] to $[50,000]</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$[10,000] to $[25,000], credited to Closing Fee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Refundable if Lender withdraws; credited to Closing Fee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Medium priority; signals lender commitment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Success Fee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 to 3% of Total Commitment on exit in addition to Warrant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Alternative to Warrant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or in lieu of Warrant at low valuation expectations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Model against Warrant in Schedule 4</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Coverage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 to 15% of Total Commitment at Closing</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Bank 2% to 8%; non-bank 6% to 12%</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 or less; later-tranche coverage only on funding</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Trade coverage for Final Payment or margin depending on exit expectations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class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Preferred of last round with full investor rights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Preferred of last round with limited rights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Common Stock</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Preferred adds charter and investor-consent work; concede preferred if coverage is reduced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Exercise Price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Lower of last round and next round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Last round price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Last round price (preferred) or Section 409A fair market value (common)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"Lower of" increases share count; limit window if unavoidable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term</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 years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7 to 10 years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7 years or earlier of 7 years and 3 years after IPO</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 priority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other rights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Put, price-based anti-dilution, demand registration, information and observer rights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Structural adjustments, piggyback, limited information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 put, structural adjustments only, piggyback only, financials only, ROFR and drag-along apply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Put right is a non-negotiable refusal</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Minimum Cash covenant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At all times, at Lender, equal to outstanding principal</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 to 6 months of burn or 25% to 50% of principal, month-end test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Month-end test, cash at any Control Agreement bank, falls away or steps down with runway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Accept a higher Minimum Cash in exchange for deleting the Material Adverse Change default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Revenue or ARR covenant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80% to 90% of plan, monthly, life of loan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70% to 80% of plan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60% to 70%, covenant holiday, falls away on equity raise, mechanical reset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Trade a tighter cash covenant for no revenue covenant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Performance to Plan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approval of each plan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Mechanical reset at fixed percentage of board plan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Mechanical reset; lender approval deemed given absent objection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Decline any lender approval right over the budget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Burn covenant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net burn cap at plan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Quarterly, trailing three months, with add-backs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Springing only when cash is below threshold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 priority if the cash covenant is in place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Equity Cure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or one over life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Two per year, four over life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Unlimited for cash covenant; two to three per year otherwise; standstill during cure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Accept the market cap on cures for non-cash covenants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Reporting</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in 20 days; audited annual in 120 days; all board materials; tax returns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in 30 days; annual in 180 days; board materials with carve-outs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As market, audit only if otherwise obtained, fundraising carve-out, no tax returns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 cost to concede timing if the Company's close process supports it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Primary banking relationship (bank lenders)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100% of cash at Lender, active control</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50% to 100% with Excluded Accounts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Springing control, meaningful exclusions, insured-sweep flexibility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Concede a higher percentage in exchange for springing control and diversification above insurance limits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IP collateral</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Current lien with worldwide recordations and source code escrow</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Negative pledge (bank) or current lien with U.S. notice filings (non-bank)</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Negative pledge, then springing lien with objective triggers, then limited current lien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Non-bank lenders rarely concede the lien; negotiate licensing freedom and clean release mechanics instead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Control Agreements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All accounts, active, at Closing</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Springing, post-closing delivery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Springing, 60-day post-closing covenant, no default for uncooperative banks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 cost to lender; high priority for the Company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Foreign subsidiaries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Guaranties and local-law pledges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65% voting equity pledge of first-tier CFCs; no foreign guaranties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unless Material Foreign Subsidiary; intercompany basket sized to budget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Offer an information covenant on foreign cash in exchange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Material Adverse Change default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Lender's determination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Negotiated and narrowed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Trade for Minimum Cash covenant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Investor-abandonment default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Lender's determination based on investor communications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Negotiated or excluded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or objective board wind-down trigger only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Trade for Minimum Cash covenant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Key-person default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Named founder departure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Omitted or commitment termination only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Omitted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Offer prompt notice of officer departures instead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Cross-default threshold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Indebtedness or material agreement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Payment default or acceleration above $[250,000] to $[500,000]</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Acceleration only above the greater of $[500,000] and 5% of commitment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 cost to lender; high priority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Change of Control treatment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Event of Default; consent required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Mandatory prepayment with Prepayment Premium</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Mandatory prepayment at a known cost; no Event of Default if repaid; equity financings excluded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Concede a modest premium on Change of Control for certainty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Going-concern qualification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Event of Default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for maturity or runway causes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a default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 cost to lender once a cash covenant exists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Legal opinion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 counsel opinion on all matters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or limited enforceability opinion</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Concede a limited opinion with a cost cap if the lender is a bank</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Expense reimbursement if no Closing</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Full, uncapped, regardless of cause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Capped, regardless of cause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Only if Closing occurs or Company breaches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Accept a modest nonrefundable diligence fee instead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Exclusivity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45 to 60 days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 to 45 days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21 to 30 days with automatic terminators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Offer a longer period in exchange for a first-draft deadline and credit approval disclosure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Break-up fee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 of Total Commitment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Expense reimbursement only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Non-negotiable refusal for most companies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Governing law and jury waiver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Lender's home state; jury waiver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Delaware, New York or California commonly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Jurisdiction with developed commercial law and favorable usury treatment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 priority unless usury or jury-waiver enforceability is affected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Amendment and waiver fees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Uncapped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Reasonable and documented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Capped per request; no monitoring fee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 cost to lender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Assignment restrictions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Free assignability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Consent before default, not unreasonably withheld</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Consent before default plus Disqualified Lender list applying at all times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Medium priority; protects against loan-to-own purchasers</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Right of first refusal on future debt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ROFR or most-favored-lender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Notice and proposal right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or non-binding notice right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Concede the notice right with a relationship lender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154" w:name="Xbf32c6eada0940e69e04b873a6821fd8421887b"/>
      <w:r>
        <w:t xml:space="preserve">Schedule 4 — Total Cost of Capital Model Inputs</w:t>
      </w:r>
      <w:bookmarkEnd w:id="154"/>
    </w:p>
    <w:p>
      <w:pPr>
        <w:pStyle w:val="FirstParagraph"/>
      </w:pPr>
      <w:r>
        <w:t xml:space="preserve">The board should see an all-in cost of capital under at least three scenarios before accepting any proposal: a</w:t>
      </w:r>
      <w:r>
        <w:t xml:space="preserve"> </w:t>
      </w:r>
      <w:r>
        <w:rPr>
          <w:b/>
        </w:rPr>
        <w:t xml:space="preserve">base case</w:t>
      </w:r>
      <w:r>
        <w:t xml:space="preserve"> </w:t>
      </w:r>
      <w:r>
        <w:t xml:space="preserve">in which the next equity round closes as planned and the facility is repaid or refinanced; a</w:t>
      </w:r>
      <w:r>
        <w:t xml:space="preserve"> </w:t>
      </w:r>
      <w:r>
        <w:rPr>
          <w:b/>
        </w:rPr>
        <w:t xml:space="preserve">delayed-raise case</w:t>
      </w:r>
      <w:r>
        <w:t xml:space="preserve"> </w:t>
      </w:r>
      <w:r>
        <w:t xml:space="preserve">in which the next round closes [12] months late and the Company carries the facility through amortization; and a</w:t>
      </w:r>
      <w:r>
        <w:t xml:space="preserve"> </w:t>
      </w:r>
      <w:r>
        <w:rPr>
          <w:b/>
        </w:rPr>
        <w:t xml:space="preserve">no-raise case</w:t>
      </w:r>
      <w:r>
        <w:t xml:space="preserve"> </w:t>
      </w:r>
      <w:r>
        <w:t xml:space="preserve">in which no further equity is raised and the Company must service the facility from operations or face a covenant breach. Complete Part A for each case, compute the Part B outputs, and record the Part D runway outcomes. The firm's compliance certificate form (EF-101) supplies the covenant calculation conventions.</w:t>
      </w:r>
    </w:p>
    <w:p>
      <w:pPr>
        <w:pStyle w:val="Heading3"/>
      </w:pPr>
      <w:bookmarkStart w:id="155" w:name="part-a-inputs"/>
      <w:r>
        <w:t xml:space="preserve">Part A — Inputs</w:t>
      </w:r>
      <w:bookmarkEnd w:id="155"/>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Input</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Base case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Delayed-raise case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No-raise case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Source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Total Commitment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2.1</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 A funded at Closing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 2</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Later tranches funded (amount and month)</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in month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in month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assumed]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 2</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Base Rate assumption (forward curve or fixed)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3.1</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Floor</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3.3</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Applicable Margin and step-down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3.1</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Day-count convention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[Actual/360]</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[Actual/360]</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[Actual/360]</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3.5</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PIK election (rate and months)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for [●] months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for [●] months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3.6</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Interest-Only Period (months) and extension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Sections 4.1 and 4.2</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Amortization months and method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straight-line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straight-line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straight-line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4.3</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Maturity (months from Closing)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4.4</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Fee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of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of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of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5.1</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Unused fee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on $[●] for [●] months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5.2</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Final Payment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of funded Advances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of funded Advances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of funded Advances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5.3</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Legal, diligence and filing fees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5.5</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Prepayment month and Prepayment Premium</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 [●] at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 [●] at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prepaid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5.4</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Coverage (dollar value)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9.1</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Exercise Price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9.3</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Shares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9.1</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Fully diluted shares before Warrant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Capitalization table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Assumed exit or next-round price per share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valuation assumptions</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Assumed exit month</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plan</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Next equity round (month and amount)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 [●],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 [●],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plan</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Starting Unrestricted Cash at Closing (after fees)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Funds flow</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Net Cash Burn (by month, per plan)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 plan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 plan plus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 plan plus [●]% with cost reductions in month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plan</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Minimum Cash covenant level</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10.2</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Revenue covenant level and plan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of plan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of plan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of plan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10.3</w:t>
            </w:r>
          </w:p>
        </w:tc>
      </w:tr>
    </w:tbl>
    <w:p>
      <w:pPr>
        <w:spacing w:before="0" w:after="120"/>
      </w:pPr>
    </w:p>
    <w:p>
      <w:pPr>
        <w:pStyle w:val="Heading3"/>
      </w:pPr>
      <w:bookmarkStart w:id="156" w:name="part-b-outputs"/>
      <w:r>
        <w:t xml:space="preserve">Part B — Outputs</w:t>
      </w:r>
      <w:bookmarkEnd w:id="156"/>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Output</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Base case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Delayed-raise case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No-raise case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Method</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Total cash interest paid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Sum of monthly interest on outstanding balance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Total fees (Closing, unused, legal, diligence)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5.8</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Final Payment paid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5.3</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Prepayment Premium paid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5.4</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Total cash cost of the facility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Sum of the above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Effective annual rate excluding Warrant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Internal rate of return of monthly cash flows (net Advances in; interest, principal, fees and Final Payment out), annualized</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dilution (fully diluted percentage)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Shares divided by fully diluted shares including Warrant Shares</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value at assumed exit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Shares times (exit price less Exercise Price), or option-pricing model</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Effective annual rate including Warrant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Internal rate of return including Warrant value as a cash outflow at exit month</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Months of runway added by the facility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Cash-out month with facility less cash-out month without facility</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 in which amortization begins relative to cash-out month without facility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 2 and board plan</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Peak monthly debt service as percentage of monthly Net Cash Burn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First amortizing month principal plus interest divided by burn</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First month of Minimum Cash covenant breach</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cash projection against Section 10.2</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First month of revenue covenant breach</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revenue projection against Section 10.3</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Equity Cure amount required to avoid breach</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10.7</w:t>
            </w:r>
          </w:p>
        </w:tc>
      </w:tr>
    </w:tbl>
    <w:p>
      <w:pPr>
        <w:spacing w:before="0" w:after="120"/>
      </w:pPr>
    </w:p>
    <w:p>
      <w:pPr>
        <w:pStyle w:val="Heading3"/>
      </w:pPr>
      <w:bookmarkStart w:id="157" w:name="part-c-illustrative-calculation"/>
      <w:r>
        <w:t xml:space="preserve">Part C — Illustrative Calculation</w:t>
      </w:r>
      <w:bookmarkEnd w:id="157"/>
    </w:p>
    <w:p>
      <w:pPr>
        <w:pStyle w:val="FirstParagraph"/>
      </w:pPr>
      <w:r>
        <w:t xml:space="preserve">The following illustration uses hypothetical inputs for a single tranche and is included only to show the mechanics. It is not a projection for any company and must be replaced with the Company's actual figures.</w:t>
      </w:r>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Assumption or result</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Value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Advance funded at Closing</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$5,000,000</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Fixed rate, 30/360 monthly accrual</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12.00% per annum</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Interest-Only Period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18 months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Straight-line amortization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 months; 48-month term</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Fee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1.00% ($50,000)</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Legal and diligence fees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$40,000</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Final Payment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5.00% of funded Advances ($250,000)</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Prepayment Premium</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 in year one; 2% in year two; 1% thereafter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interest during Interest-Only Period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$50,000</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First amortizing month debt service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Approximately $216,700</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Held to maturity: total interest, fees and Final Payment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Approximately $2,015,000</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Held to maturity: effective annual rate (nominal, monthly IRR times twelve)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Approximately 14.1%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Held to maturity: effective annual rate without the Final Payment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Approximately 12.8%</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Prepaid at month 24 with 2% premium: total cash cost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Approximately $1,595,000</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Prepaid at month 24: effective annual rate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Approximately 16.0%</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Prepaid at month 12 with 3% premium: effective annual rate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Approximately 21.3%</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8% coverage ($400,000) at $4.00 Exercise Price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100,000 Warrant Shares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dilution on 25,000,000 fully diluted shares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0.40%</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value at a $12.00 per share exit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$800,000</w:t>
            </w:r>
          </w:p>
        </w:tc>
      </w:tr>
    </w:tbl>
    <w:p>
      <w:pPr>
        <w:spacing w:before="0" w:after="120"/>
      </w:pPr>
    </w:p>
    <w:p>
      <w:pPr>
        <w:pStyle w:val="BodyText"/>
      </w:pPr>
      <w:r>
        <w:t xml:space="preserve">The illustration shows that the Final Payment and Prepayment Premium dominate the cost of capital on a short hold, that the effective rate on a facility repaid at the next round can exceed the stated coupon by approximately four percentage points, and that amortization multiplies monthly debt service by more than four times when the Interest-Only Period ends. Converting the stated rate from a 360-day to a 365-day basis adds approximately 0.17 percentage points at a 12% coupon.</w:t>
      </w:r>
    </w:p>
    <w:p>
      <w:pPr>
        <w:pStyle w:val="Heading3"/>
      </w:pPr>
      <w:bookmarkStart w:id="158" w:name="X300f1296d2054304165ed1d26f3d805df8addf1"/>
      <w:r>
        <w:t xml:space="preserve">Part D — Runway and Covenant Scenario Summary</w:t>
      </w:r>
      <w:bookmarkEnd w:id="158"/>
    </w:p>
    <w:tbl>
      <w:tblPr>
        <w:tblStyle w:val="TableGrid"/>
        <w:tblW w:type="dxa" w:w="9360"/>
        <w:jc w:val="center"/>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rPr>
          <w:cantSplit/>
          <w:tblHeader/>
        </w:trPr>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Case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Funding assumed</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Cash interest and fees through exit</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Amortization start (month)</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Warrant dilution</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Ending cash at exit or cash-out</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Covenant headroom at tightest month</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Months to first covenant breach</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Board conclusion</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Base case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Delayed-raise case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No-raise case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t xml:space="preserve">Reconcile the Part D figures to the Company's board-approved operating plan and record the model version, preparer and date. The board record should state in which month amortization begins relative to the Company's cash-out date without the facility and whether, in the no-raise case, the facility extends or compresses the period in which the Company can execute a sale or restructuring.</w:t>
      </w:r>
    </w:p>
    <w:p>
      <w:pPr>
        <w:pStyle w:val="Heading2"/>
      </w:pPr>
      <w:bookmarkStart w:id="159" w:name="schedule-5-definitions"/>
      <w:r>
        <w:t xml:space="preserve">Schedule 5 — Definitions</w:t>
      </w:r>
      <w:bookmarkEnd w:id="159"/>
    </w:p>
    <w:p>
      <w:pPr>
        <w:pStyle w:val="FirstParagraph"/>
      </w:pPr>
      <w:r>
        <w:t xml:space="preserve">Capitalized terms used in this Term Sheet have the meanings below. Where a definition refers to a negotiated amount or percentage, the figure is stated in the referenced Section. The Loan Agreement definitions will control once executed and must be conformed to these.</w:t>
      </w:r>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Term</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Definition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Advance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Each loan made by Lender to the Company under any Tranche.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Affiliate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Person that directly or indirectly controls, is controlled by or is under common control with another Person; for the Company, excluding Lender and any portfolio company of an investor solely by reason of common investor ownership.</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in its capacity as administrative and collateral agent for the lenders under the Loan Agreement, if applicable (Section 1.3).</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Applicable Margin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percentage per annum added to the Base Rate under Section 3.1, as reduced by any step-down.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ARR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Annualized recurring revenue, being twelve times the monthly recurring subscription revenue under customer contracts in effect on the measurement date, excluding one-time, implementation, professional services and non-recurring usage fees, net of credits, and calculated consistently with the methodology the Company reports to its board.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Availability Period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For each Tranche, the period during which Advances may be requested under Section 2.2 and Schedule 2.</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Base Rate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index rate selected in Section 3.1 (Term SOFR, Daily Simple SOFR or the Prime Rate), subject to the Floor, or the fixed rate if a fixed rate is selected.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Benchmark Replacement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successor rate determined under Section 3.2.</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Benchmark Transition Event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public statement by the administrator of the Base Rate or its regulator that the Base Rate has ceased or will cease to be provided or is no longer representative.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Binding Provisions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Sections 20.1 and 21 through 26 of this Term Sheet.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Borrowing Request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notice described in Section 2.4 requesting an Advance.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Burn Multiple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Net Cash Burn for a period divided by Net New ARR for the same period (Section 10.5).</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Business Day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day other than a Saturday, Sunday or day on which commercial banks in [CITY, STATE] are authorized or required to close.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CFC</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controlled foreign corporation within the meaning of Section 957 of the Internal Revenue Code.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Change of Control</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events described in Section 13.6.</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Closing Date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execution of the Loan Documents and funding of the initial Advance, and the date on which they occur.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Fee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fee described in Section 5.1.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Collateral</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property described in Section 8.1, excluding Excluded Assets.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Common Stock</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Company's common stock, par value $[●] per share.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[BORROWER LEGAL NAME], together with any co-borrower.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Compliance Certificate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certificate of a responsible officer delivered under Section 11 setting forth covenant calculations and certifying the absence of any Default, in the form of EF-101.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Control Agreement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deposit account, securities account or commodity account control agreement among a Loan Party, Lender and the depository institution or intermediary, in the springing form described in Section 8.4.</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Daily Simple SOFR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SOFR applied daily in arrears with the lookback stated in Section 3.2.</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Default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event that, with notice, passage of time or both, would become an Event of Default.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Default Rate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rate described in Section 3.4.</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Deposit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good-faith deposit described in Section 5.7.</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Disposition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sale, lease, license, transfer, exclusive license or other disposition of property, other than a Permitted Transfer.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Disqualified Lender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Person identified in a list delivered by the Company to Lender before acceptance of this Term Sheet, as supplemented with Lender's reasonable consent, consisting of competitors of the Company, their Affiliates and specified distressed-debt investors.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Eligible Accounts; Eligible Inventory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Accounts receivable and inventory meeting the eligibility criteria in Section 2.5 and the Loan Agreement, if a Revolving Tranche is included.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Eligible Assignee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commercial bank, finance company, fund or other institutional lender that regularly extends credit of the type contemplated by this Term Sheet, other than a Disqualified Lender or a natural person.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Equity Cure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right described in Section 10.7.</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Event of Default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Each event described in Section 14, after the expiration of any applicable grace or cure period.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Accounts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accounts described in Section 8.4.</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Assets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property described in Section 8.2.</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Subsidiary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subsidiary that is (a) not wholly owned, (b) a foreign subsidiary that is not a Material Foreign Subsidiary, (c) a holding company whose only material assets are equity of one or more CFCs, (d) immaterial, holding less than [5]% of consolidated assets and generating less than [5]% of consolidated revenue, or (e) prohibited by law or by a contract existing at the time it became a subsidiary from providing a guaranty.</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Taxes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Taxes imposed on or measured by Lender's overall net income, branch profits taxes, taxes resulting from Lender's failure to deliver required tax documentation, and taxes imposed under the Foreign Account Tax Compliance Act.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Exclusivity Period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period described in Section 22.1.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Exercise Price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price per Warrant Share described in Section 9.3.</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Final Payment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fee described in Section 5.3.</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Floor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minimum Base Rate described in Section 3.3.</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GAAP</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Generally accepted accounting principles in the United States, applied consistently with the Company's most recent annual financial statements and frozen for covenant purposes as described in Section 10.6.</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Guarantor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Each Person described in Section 1.2.</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Indebtedness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Obligations for borrowed money, purchase-money obligations, capital lease obligations, reimbursement obligations under letters of credit, obligations under interest-rate or currency hedges (at termination value), guaranties of the foregoing and earn-out obligations once due and payable; excluding trade payables, accrued expenses, deferred revenue, deferred compensation, operating leases, and SAFEs and other convertible equity instruments without a repayment obligation.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Intellectual Property; IP</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property described in Section 8.3.</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Interest-Only Period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period described in Section 4.1, as extended under Section 4.2.</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acquisition of equity, debt or other securities of, loan or advance to, capital contribution to, or guaranty of obligations of, any other Person, and any acquisition of a business or business unit.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IP Negative Pledge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covenant described in Section 8.3, Option B.</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Legal Fee Cap</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cap described in Section 5.5.</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LEGAL NAME] and its permitted successors and assigns.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Lien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mortgage, pledge, security interest, charge, encumbrance, lien or other preferential arrangement in the nature of security, including the interest of a lessor under a capital lease.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Liquidity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Unrestricted Cash plus Permitted Investments with maturities of [90] days or less held in accounts subject to Control Agreements [plus undrawn availability under any Revolving Tranche].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Liquidity Event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Change of Control, an initial public offering or a liquidation or dissolution of the Company.</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Loan Agreement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definitive loan and security agreement described in Section 19.</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Loan Documents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documents described in Section 19, including the Warrant for purposes of representations and approvals but not for purposes of Events of Default.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Loan Parties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Company and each Guarantor.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Major Investors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holders of preferred stock designated as such in the Company's investors' rights agreement for purposes of preemptive, information or consent rights.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Material Adverse Effect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material adverse effect on (a) the business, assets, operations or financial condition of the Loan Parties taken as a whole, (b) the ability of the Loan Parties taken as a whole to pay the Obligations when due, or (c) the validity or enforceability of the Loan Documents or the perfection or priority of Lender's Liens on a material portion of the Collateral, in each case excluding effects resulting from general economic, industry or capital-market conditions, changes in law or GAAP, the Company's failure in itself to meet projections, or the announcement or performance of the Loan Documents.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Material Foreign Subsidiary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foreign subsidiary holding more than [●]% of consolidated assets or generating more than [●]% of consolidated revenue.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Maturity Date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date described in Section 4.4.</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Milestone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Each condition described in Section 2.3 and Schedule 2.</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Minimum Cash</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covenant level described in Section 10.2.</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Net Cash Burn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For any period, the net decrease in Unrestricted Cash and Liquidity, excluding proceeds of equity, Subordinated Debt and Permitted Indebtedness, one-time transaction costs and capital expenditures financed with Permitted Indebtedness, and expressed as a positive number; if Unrestricted Cash increased, Net Cash Burn is zero.</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Net Cash Proceeds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Cash proceeds of a Disposition, casualty or condemnation, net of reasonable transaction costs, taxes payable, amounts required to repay Permitted Indebtedness secured by the asset and reasonable reserves for indemnity obligations.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Net New ARR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ARR at the end of a period less ARR at the beginning of that period.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Obligations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All principal, interest (including PIK Interest and Default Rate interest), the Final Payment, Prepayment Premium, fees, expenses, indemnities and other amounts owing by the Loan Parties under the Loan Documents, excluding obligations under the Warrant.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Performance to Plan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covenant described in Section 10.4.</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Acquisitions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acquisitions described in Section 13.5.</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Distributions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distributions and repurchases described in Section 13.4.</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Indebtedness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Indebtedness described in Section 13.1.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Investments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Investments described in Section 13.5.</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Liens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Liens described in Section 13.2.</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Transfers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Dispositions described in Section 13.3.</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Person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natural person, corporation, limited liability company, partnership, trust, governmental authority or other entity.</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PIK Interest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 paid in kind under Section 3.6.</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Preferred Stock</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Company's preferred stock, of any series, having the rights set forth in the charter.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Prepayment Premium</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premium described in Section 5.4.</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Prime Rate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rate of interest published as the prime rate in [NAMED NATIONAL FINANCIAL PUBLICATION], or if more than one rate is published, the highest; changing when and as that published rate changes.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Qualified Equity Financing</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bona fide issuance of equity securities (including convertible preferred stock and convertible equity instruments that convert into equity) by the Company to investors for cash in an aggregate amount of not less than $[●], excluding issuances under equity incentive plans, the Warrant and any Success Fee.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Relevant Governmental Body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Board of Governors of the Federal Reserve System or the Federal Reserve Bank of New York, or a committee officially endorsed or convened by either.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Remaining Months Liquidity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Liquidity on a test date divided by the average monthly Net Cash Burn for the trailing three months.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Required Lenders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lenders described in Section 15.6, if more than one lender is party to the Loan Agreement.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Revolving; Revolving Tranche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revolving commitment described in Section 2.5, if included.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SOFR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secured overnight financing rate administered by the Federal Reserve Bank of New York or a successor administrator.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Springing Lien Trigger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Each event described in Section 8.3, Option C.</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Subordinated Debt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Indebtedness subordinated in right of payment and lien priority to the Obligations under a written subordination agreement reasonably acceptable to Lender, including convertible promissory notes so subordinated.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Success Fee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fee described in Section 5.6, if applicable.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Term Sheet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This summary of proposed terms, including its Schedules.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Term SOFR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forward-looking term rate based on SOFR for the applicable tenor published by CME Group Benchmark Administration Limited or a successor administrator, determined with the lookback in Section 3.2.</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Total Commitment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aggregate commitment described in Section 2.1.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Each separate commitment described in Section 2.2 and Schedule 2 (Tranche A, Tranche B, Tranche C and the Revolving Tranche, as applicable).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Unrestricted Cash</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Cash and cash equivalents of the Loan Parties that are not subject to any Lien other than Liens in favor of Lender and bankers' Liens, are not held in Excluded Accounts and are not restricted from use by contract or law; including cash in accounts subject to Control Agreements at any institution.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 Government Securities Business Day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day other than a Saturday, Sunday or day on which the Securities Industry and Financial Markets Association recommends that fixed-income departments be closed for trading in U.S. government securities.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warrant described in Section 9.</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Coverage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percentage and dollar amount described in Section 9.1.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Shares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shares described in Section 9.2.</w:t>
            </w:r>
          </w:p>
        </w:tc>
      </w:tr>
    </w:tbl>
    <w:p>
      <w:pPr>
        <w:spacing w:before="0" w:after="120"/>
      </w:pPr>
    </w:p>
    <w:p>
      <w:pPr>
        <w:pStyle w:val="Heading2"/>
      </w:pPr>
      <w:bookmarkStart w:id="160" w:name="Xdeb8999584c2354e2bc911db9122fda00c3647a"/>
      <w:r>
        <w:t xml:space="preserve">Website Posting README — Not Part of the Agreement</w:t>
      </w:r>
      <w:bookmarkEnd w:id="160"/>
    </w:p>
    <w:p>
      <w:pPr>
        <w:pStyle w:val="Heading3"/>
      </w:pPr>
      <w:bookmarkStart w:id="161" w:name="what-this-form-is-for"/>
      <w:r>
        <w:t xml:space="preserve">What this form is for</w:t>
      </w:r>
      <w:bookmarkEnd w:id="161"/>
    </w:p>
    <w:p>
      <w:pPr>
        <w:pStyle w:val="FirstParagraph"/>
      </w:pPr>
      <w:r>
        <w:t xml:space="preserve">This founder-focused term sheet organizes every business and legal decision that determines the real cost and risk of venture debt. It is deliberately more detailed than a lender's summary of terms so that the Company can expose undefined lender discretion, hidden back-end economics, covenant paths to default and closing dependencies before definitive documents are drafted. The form covers parties, facility and tranche structure, interest and benchmark mechanics, interest-only and amortization design, each fee, prepayment, use of proceeds, the full collateral package including the intellectual-property structure and account control, the warrant, financial and reporting covenants, affirmative and negative covenants with basket guidance, events of default and remedies, conditions precedent and subsequent, representations, required board and investor approvals, the binding provisions and signature blocks. Schedule 3 states the lender's opening ask, the market range and the founder-protective position for every economic term, and Schedule 4 supplies the inputs for an all-in cost of capital model under base, delayed-raise and no-raise cases. Schedule 5 defines every capitalized term. It is designed to be used with the firm's companion forms EF-098 through EF-104 and the security, guaranty, subordination, pledge and IP security forms EF-076 through EF-080.</w:t>
      </w:r>
    </w:p>
    <w:p>
      <w:pPr>
        <w:pStyle w:val="Heading3"/>
      </w:pPr>
      <w:bookmarkStart w:id="162" w:name="completion-checklist"/>
      <w:r>
        <w:t xml:space="preserve">Completion checklist</w:t>
      </w:r>
      <w:bookmarkEnd w:id="162"/>
    </w:p>
    <w:p>
      <w:pPr>
        <w:pStyle w:val="Compact"/>
        <w:numPr>
          <w:ilvl w:val="0"/>
          <w:numId w:val="1001"/>
        </w:numPr>
      </w:pPr>
      <w:r>
        <w:t xml:space="preserve">Complete the Matter Completion Sheet from the capitalization table, governing documents, investor agreements, debt schedule, lien searches, board plan and the lender's proposal.</w:t>
      </w:r>
    </w:p>
    <w:p>
      <w:pPr>
        <w:pStyle w:val="Compact"/>
        <w:numPr>
          <w:ilvl w:val="0"/>
          <w:numId w:val="1001"/>
        </w:numPr>
      </w:pPr>
      <w:r>
        <w:t xml:space="preserve">Confirm every tranche, Availability Period, Milestone, minimum draw and draw count in Section 2 and Schedule 2, and strike any Milestone that depends on lender discretion.</w:t>
      </w:r>
    </w:p>
    <w:p>
      <w:pPr>
        <w:pStyle w:val="Compact"/>
        <w:numPr>
          <w:ilvl w:val="0"/>
          <w:numId w:val="1001"/>
        </w:numPr>
      </w:pPr>
      <w:r>
        <w:t xml:space="preserve">Select the interest basis, Floor, Default Rate, day count and PIK position in Section 3; conform the benchmark-replacement language to the index actually used.</w:t>
      </w:r>
    </w:p>
    <w:p>
      <w:pPr>
        <w:pStyle w:val="Compact"/>
        <w:numPr>
          <w:ilvl w:val="0"/>
          <w:numId w:val="1001"/>
        </w:numPr>
      </w:pPr>
      <w:r>
        <w:t xml:space="preserve">Set the Interest-Only Period, extension trigger, amortization method and Maturity Date in Section 4 by reference to the expected next-round date and the cash-out date without the facility.</w:t>
      </w:r>
    </w:p>
    <w:p>
      <w:pPr>
        <w:pStyle w:val="Compact"/>
        <w:numPr>
          <w:ilvl w:val="0"/>
          <w:numId w:val="1001"/>
        </w:numPr>
      </w:pPr>
      <w:r>
        <w:t xml:space="preserve">Price every fee in Section 5 against the Schedule 3 ranges and confirm that the fee summary table lists every fee in the proposal and any fee letter.</w:t>
      </w:r>
    </w:p>
    <w:p>
      <w:pPr>
        <w:pStyle w:val="Compact"/>
        <w:numPr>
          <w:ilvl w:val="0"/>
          <w:numId w:val="1001"/>
        </w:numPr>
      </w:pPr>
      <w:r>
        <w:t xml:space="preserve">Negotiate the Prepayment Premium exceptions, the Change of Control treatment and the absence of equity-proceeds sweeps in Section 6.</w:t>
      </w:r>
    </w:p>
    <w:p>
      <w:pPr>
        <w:pStyle w:val="Compact"/>
        <w:numPr>
          <w:ilvl w:val="0"/>
          <w:numId w:val="1001"/>
        </w:numPr>
      </w:pPr>
      <w:r>
        <w:t xml:space="preserve">Select the intellectual-property structure, Excluded Assets, Excluded Accounts, Control Agreement timing, foreign-subsidiary treatment and landlord-waiver standard in Section 8 only after UCC and IP specialist review.</w:t>
      </w:r>
    </w:p>
    <w:p>
      <w:pPr>
        <w:pStyle w:val="Compact"/>
        <w:numPr>
          <w:ilvl w:val="0"/>
          <w:numId w:val="1001"/>
        </w:numPr>
      </w:pPr>
      <w:r>
        <w:t xml:space="preserve">Translate Warrant Coverage into a share count and fully diluted percentage, select the class and Exercise Price formula, and reject put rights and price-based anti-dilution in Section 9.</w:t>
      </w:r>
    </w:p>
    <w:p>
      <w:pPr>
        <w:pStyle w:val="Compact"/>
        <w:numPr>
          <w:ilvl w:val="0"/>
          <w:numId w:val="1001"/>
        </w:numPr>
      </w:pPr>
      <w:r>
        <w:t xml:space="preserve">Choose no more than two financial covenants, set Equity Cure and reset mechanics, and align reporting deadlines with the Company's close calendar in Sections 10 and 11.</w:t>
      </w:r>
    </w:p>
    <w:p>
      <w:pPr>
        <w:pStyle w:val="Compact"/>
        <w:numPr>
          <w:ilvl w:val="0"/>
          <w:numId w:val="1001"/>
        </w:numPr>
      </w:pPr>
      <w:r>
        <w:t xml:space="preserve">Size every negative covenant basket in Section 13 to the operating plan using the basket summary table.</w:t>
      </w:r>
    </w:p>
    <w:p>
      <w:pPr>
        <w:pStyle w:val="Compact"/>
        <w:numPr>
          <w:ilvl w:val="0"/>
          <w:numId w:val="1001"/>
        </w:numPr>
      </w:pPr>
      <w:r>
        <w:t xml:space="preserve">Work through each row of the Events of Default table in Section 14, resolve the Material Adverse Change, investor-abandonment, key-person and going-concern positions, and conform cure periods.</w:t>
      </w:r>
    </w:p>
    <w:p>
      <w:pPr>
        <w:pStyle w:val="Compact"/>
        <w:numPr>
          <w:ilvl w:val="0"/>
          <w:numId w:val="1001"/>
        </w:numPr>
      </w:pPr>
      <w:r>
        <w:t xml:space="preserve">Move every third-party deliverable in Section 16 to a conditions-subsequent covenant with a deadline.</w:t>
      </w:r>
    </w:p>
    <w:p>
      <w:pPr>
        <w:pStyle w:val="Compact"/>
        <w:numPr>
          <w:ilvl w:val="0"/>
          <w:numId w:val="1001"/>
        </w:numPr>
      </w:pPr>
      <w:r>
        <w:t xml:space="preserve">Complete the approval matrix in Section 18 against the charter, investors' rights agreement, voting agreement, ROFR and co-sale agreement and side letters, and confirm whether the Warrant is an excluded issuance.</w:t>
      </w:r>
    </w:p>
    <w:p>
      <w:pPr>
        <w:pStyle w:val="Compact"/>
        <w:numPr>
          <w:ilvl w:val="0"/>
          <w:numId w:val="1001"/>
        </w:numPr>
      </w:pPr>
      <w:r>
        <w:t xml:space="preserve">Complete Schedules 1 through 5; build the Schedule 4 model with actual projections and present it to the board with the Section 2.6 analysis.</w:t>
      </w:r>
    </w:p>
    <w:p>
      <w:pPr>
        <w:pStyle w:val="Compact"/>
        <w:numPr>
          <w:ilvl w:val="0"/>
          <w:numId w:val="1001"/>
        </w:numPr>
      </w:pPr>
      <w:r>
        <w:t xml:space="preserve">Confirm the Binding Provisions, credit approval status, exclusivity terminators and term sheet expiration, delete unused alternatives and bracketed options, and conform the governing-law choice to the usury and licensing analysis.</w:t>
      </w:r>
    </w:p>
    <w:p>
      <w:pPr>
        <w:pStyle w:val="Heading3"/>
      </w:pPr>
      <w:bookmarkStart w:id="163" w:name="ai-completion-prompt"/>
      <w:r>
        <w:t xml:space="preserve">AI completion prompt</w:t>
      </w:r>
      <w:bookmarkEnd w:id="163"/>
    </w:p>
    <w:p>
      <w:pPr>
        <w:pStyle w:val="FirstParagraph"/>
      </w:pPr>
      <w:r>
        <w:t xml:space="preserve">Act as senior company-side venture-debt counsel. Using the completed Matter Completion Sheet, capitalization table, charter, bylaws, investors' rights agreement, voting agreement, right of first refusal and co-sale agreement, side letters, debt schedule, lien searches, board-approved operating plan, projections and the lender's proposal, customize EF-097 without inventing facts. Create a decision log for every bracketed term stating the lender's ask, the market range, the Company's position and the trade-off selected; populate Schedule 3 with the Company's priority and concession for each row; build the Schedule 4 model under base, delayed-raise and no-raise cases and compute total cash cost, Warrant dilution, effective annual rate with and without the Warrant, months of runway added, the first month of amortization relative to the cash-out date and the first month of any covenant breach; identify every provision that depends on lender discretion and propose an objective replacement; complete the Section 18 approval matrix and Schedule 1 from the governing documents and searches; conform Schedule 5 to the terms actually used; and return a clean draft plus an unresolved-issues list. Do not resolve usury, tax, securities, UCC, IP-perfection, foreign-law or regulatory questions without a dated specialist conclusion, and do not weaken any informational or educational disclaimer.</w:t>
      </w:r>
    </w:p>
    <w:p>
      <w:pPr>
        <w:pStyle w:val="Heading3"/>
      </w:pPr>
      <w:bookmarkStart w:id="164" w:name="three-pass-review"/>
      <w:r>
        <w:t xml:space="preserve">Three pass review</w:t>
      </w:r>
      <w:bookmarkEnd w:id="164"/>
    </w:p>
    <w:p>
      <w:pPr>
        <w:pStyle w:val="FirstParagraph"/>
      </w:pPr>
      <w:r>
        <w:rPr>
          <w:b/>
        </w:rPr>
        <w:t xml:space="preserve">Pass 1 Completeness.</w:t>
      </w:r>
      <w:r>
        <w:t xml:space="preserve"> </w:t>
      </w:r>
      <w:r>
        <w:t xml:space="preserve">Verify parties and Guarantors, every Tranche and Milestone, interest and benchmark mechanics, Interest-Only Period and amortization, Maturity Date, every fee, prepayment terms, use of proceeds, collateral and IP structure, account control, foreign subsidiaries, Warrant terms, financial and reporting covenants, affirmative and negative covenants with baskets, Events of Default with cure periods, remedies, conditions precedent and subsequent, representations, approvals, documentation, Binding Provisions, signature blocks and all five Schedules, and confirm every Section cross-reference and every defined term resolves.</w:t>
      </w:r>
      <w:r>
        <w:br/>
      </w:r>
      <w:r>
        <w:rPr>
          <w:b/>
        </w:rPr>
        <w:t xml:space="preserve">Pass 2 Risk.</w:t>
      </w:r>
      <w:r>
        <w:t xml:space="preserve"> </w:t>
      </w:r>
      <w:r>
        <w:t xml:space="preserve">Test runway compression at amortization start, Milestone failure, next-round delay, no-raise cash-out, IP enforcement, Control Agreement sweep, investor-consent failure, Change of Control cost, Material Adverse Change and investor-abandonment exposure, cross-default exposure, Warrant dilution at low and high exit valuations, and the all-in effective rate at each likely repayment month.</w:t>
      </w:r>
      <w:r>
        <w:br/>
      </w:r>
      <w:r>
        <w:rPr>
          <w:b/>
        </w:rPr>
        <w:t xml:space="preserve">Pass 3 Publication.</w:t>
      </w:r>
      <w:r>
        <w:t xml:space="preserve"> </w:t>
      </w:r>
      <w:r>
        <w:t xml:space="preserve">Remove matter facts, lender branding, private projections, model outputs and internal comments; confirm the educational disclaimer, Pandoc-compatible formatting, table integrity, links and the downloadable Word file; confirm no first-person narratives, real names, outcome guarantees or firm signature attribution appear.</w:t>
      </w:r>
    </w:p>
    <w:p>
      <w:pPr>
        <w:pStyle w:val="Heading3"/>
      </w:pPr>
      <w:bookmarkStart w:id="165" w:name="attorney-review-warning"/>
      <w:r>
        <w:t xml:space="preserve">Attorney review warning</w:t>
      </w:r>
      <w:bookmarkEnd w:id="165"/>
    </w:p>
    <w:p>
      <w:pPr>
        <w:pStyle w:val="FirstParagraph"/>
      </w:pPr>
      <w:r>
        <w:t xml:space="preserve">This is a practitioner master and educational resource, not a commitment, opinion or matter-cleared instrument. Market ranges stated in this form are practitioner observations as of the version date and may not reflect the terms available to any particular company. Responsible counsel must confirm the current law, the lender's regulatory status, the usury and licensing analysis, the tax and accounting treatment of the Warrant and fees, the Company's governing documents and the actual transaction before signing or publication.</w:t>
      </w:r>
    </w:p>
    <w:sectPr w:rsidR="00FC693F" w:rsidRPr="0006063C" w:rsidSect="00034616">
      <w:headerReference w:type="default" r:id="rId9"/>
      <w:headerReference w:type="first" r:id="rId10"/>
      <w:footerReference w:type="default" r:id="rId12"/>
      <w:footerReference w:type="first" r:id="rId13"/>
      <w:headerReference w:type="even" r:id="rId11"/>
      <w:pgSz w:w="12240" w:h="15840"/>
      <w:pgMar w:top="1440" w:right="1440" w:bottom="1440" w:left="1440" w:header="518" w:footer="518" w:gutter="0"/>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b/>
        <w:color w:val="000000"/>
        <w:sz w:val="16"/>
      </w:rPr>
      <w:t>PRACTITIONER MASTER — INFORMATIONAL PURPOSES ONLY — COUNSEL REVIEW REQUIRED</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b/>
        <w:color w:val="000000"/>
        <w:sz w:val="16"/>
      </w:rPr>
      <w:t>PRACTITIONER MASTER — INFORMATIONAL PURPOSES ONLY — COUNSEL REVIEW REQUIRED</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b/>
        <w:color w:val="000000"/>
        <w:sz w:val="16"/>
      </w:rPr>
      <w:t>PRACTITIONER MASTER — INFORMATIONAL PURPOSES ONLY — COUNSEL REVIEW REQUIRED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 w:type="paragraph" w:customStyle="1" w:styleId="DraftingNote">
    <w:name w:val="DraftingNote"/>
    <w:basedOn w:val="Normal"/>
    <w:qFormat/>
    <w:pPr>
      <w:spacing w:before="60" w:after="120"/>
      <w:ind w:left="720"/>
    </w:pPr>
    <w:rPr>
      <w:rFonts w:ascii="Times New Roman" w:hAnsi="Times New Roman" w:cs="Times New Roman"/>
      <w:i/>
      <w:color w:val="000000"/>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Venture Debt Term Sheet Extended Form</dc:title>
  <dc:creator/>
  <cp:keywords/>
  <dcterms:created xsi:type="dcterms:W3CDTF">2026-10-07T02:58:36Z</dcterms:created>
  <dcterms:modified xsi:type="dcterms:W3CDTF">2026-10-07T02:58:36Z</dcterms:modified>
</cp:coreProperties>
</file>

<file path=docProps/custom.xml><?xml version="1.0" encoding="utf-8"?>
<Properties xmlns="http://schemas.openxmlformats.org/officeDocument/2006/custom-properties" xmlns:vt="http://schemas.openxmlformats.org/officeDocument/2006/docPropsVTypes"/>
</file>