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sz w:val="32"/>
          <w:szCs w:val="32"/>
        </w:rPr>
        <w:t xml:space="preserve">BUY-SIDE TERM SHEET</w:t>
      </w:r>
    </w:p>
    <w:p>
      <w:pPr>
        <w:spacing w:after="80"/>
        <w:jc w:val="center"/>
      </w:pPr>
      <w:r>
        <w:rPr>
          <w:b/>
          <w:bCs/>
          <w:sz w:val="24"/>
          <w:szCs w:val="24"/>
        </w:rPr>
        <w:t xml:space="preserve">Private Equity Acquisition of [TARGET COMPANY NAME]</w:t>
      </w:r>
    </w:p>
    <w:p>
      <w:pPr>
        <w:spacing w:after="360"/>
        <w:jc w:val="center"/>
      </w:pPr>
      <w:r>
        <w:rPr>
          <w:i/>
          <w:iCs/>
          <w:color w:val="666666"/>
          <w:sz w:val="20"/>
          <w:szCs w:val="20"/>
        </w:rPr>
        <w:t xml:space="preserve">Form FMA-015 — Montague Law Buy-Side M&amp;A Template</w:t>
      </w:r>
    </w:p>
    <w:p>
      <w:pPr>
        <w:spacing w:after="160"/>
        <w:jc w:val="both"/>
      </w:pPr>
      <w:r>
        <w:rPr>
          <w:b w:val="false"/>
          <w:bCs w:val="false"/>
          <w:i/>
          <w:iCs/>
        </w:rPr>
        <w:t xml:space="preserve">This template is provided for discussion and drafting purposes only. It does not describe any actual client, transaction, or representation, is not legal advice, and must be reviewed and adapted by counsel before use in any live transaction. Use of this template does not create an attorney-client relationship with Montague Law.</w:t>
      </w:r>
    </w:p>
    <w:p>
      <w:pPr>
        <w:pStyle w:val="Heading1"/>
        <w:spacing w:after="120" w:before="320"/>
      </w:pPr>
      <w:r>
        <w:rPr>
          <w:b/>
          <w:bCs/>
        </w:rPr>
        <w:t xml:space="preserve">Preamble</w:t>
      </w:r>
    </w:p>
    <w:p>
      <w:pPr>
        <w:spacing w:after="160"/>
        <w:jc w:val="both"/>
      </w:pPr>
      <w:r>
        <w:rPr>
          <w:b w:val="false"/>
          <w:bCs w:val="false"/>
          <w:i w:val="false"/>
          <w:iCs w:val="false"/>
        </w:rPr>
        <w:t xml:space="preserve">This non-binding term sheet (the “Term Sheet”) summarizes the principal terms on which [SPONSOR NAME], a [STATE OF FORMATION] [ENTITY TYPE] (“Sponsor”), through a newly formed acquisition vehicle (“NewCo”), proposes to acquire [TARGET COMPANY NAME], a [STATE OF FORMATION] [ENTITY TYPE] (the “Company”).</w:t>
      </w:r>
    </w:p>
    <w:p>
      <w:pPr>
        <w:pStyle w:val="Heading1"/>
        <w:spacing w:after="120" w:before="320"/>
      </w:pPr>
      <w:r>
        <w:rPr>
          <w:b/>
          <w:bCs/>
        </w:rPr>
        <w:t xml:space="preserve">Binding and Nonbinding Provisions</w:t>
      </w:r>
    </w:p>
    <w:p>
      <w:pPr>
        <w:spacing w:after="160"/>
        <w:jc w:val="both"/>
      </w:pPr>
      <w:r>
        <w:rPr>
          <w:b w:val="false"/>
          <w:bCs w:val="false"/>
          <w:i w:val="false"/>
          <w:iCs w:val="false"/>
        </w:rPr>
        <w:t xml:space="preserve">Except for Section 10 (Exclusivity), Section 11 (Confidentiality), Section 12 (Governing Law), and Section 13 (Expenses), which are intended to be legally binding, this Term Sheet is non-binding and does not constitute an offer, commitment, or agreement by any party to proceed with the transaction described herein. Any binding commitment to proceed with the transaction will be set forth exclusively in a definitive purchase agreement executed and delivered by the parties.</w:t>
      </w:r>
    </w:p>
    <w:p>
      <w:pPr>
        <w:pStyle w:val="Heading1"/>
        <w:spacing w:after="120" w:before="320"/>
      </w:pPr>
      <w:r>
        <w:rPr>
          <w:b/>
          <w:bCs/>
        </w:rPr>
        <w:t xml:space="preserve">Summary of Proposed Terms</w:t>
      </w:r>
    </w:p>
    <w:p>
      <w:pPr>
        <w:pStyle w:val="Heading2"/>
        <w:spacing w:after="120" w:before="240"/>
      </w:pPr>
      <w:r>
        <w:rPr>
          <w:b/>
          <w:bCs/>
        </w:rPr>
        <w:t xml:space="preserve">1. Purchase Price Structure</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Enterprise Value</w:t>
            </w:r>
          </w:p>
        </w:tc>
        <w:tc>
          <w:tcPr>
            <w:tcW w:type="dxa" w:w="6240"/>
          </w:tcPr>
          <w:p>
            <w:pPr>
              <w:spacing w:after="60"/>
            </w:pPr>
            <w:r>
              <w:rPr>
                <w:sz w:val="20"/>
                <w:szCs w:val="20"/>
              </w:rPr>
              <w:t xml:space="preserve">[$X,000,000], on a cash-free, debt-free basis, subject to a working-capital target and the price adjustment described below.</w:t>
            </w:r>
          </w:p>
        </w:tc>
      </w:tr>
      <w:tr>
        <w:tc>
          <w:tcPr>
            <w:tcW w:type="dxa" w:w="3000"/>
            <w:shd w:fill="EEEEEE" w:val="clear"/>
          </w:tcPr>
          <w:p>
            <w:pPr>
              <w:spacing w:after="60"/>
            </w:pPr>
            <w:r>
              <w:rPr>
                <w:b/>
                <w:bCs/>
                <w:sz w:val="20"/>
                <w:szCs w:val="20"/>
              </w:rPr>
              <w:t xml:space="preserve">Base Cash at Closing</w:t>
            </w:r>
          </w:p>
        </w:tc>
        <w:tc>
          <w:tcPr>
            <w:tcW w:type="dxa" w:w="6240"/>
          </w:tcPr>
          <w:p>
            <w:pPr>
              <w:spacing w:after="60"/>
            </w:pPr>
            <w:r>
              <w:rPr>
                <w:sz w:val="20"/>
                <w:szCs w:val="20"/>
              </w:rPr>
              <w:t xml:space="preserve">Approximately [__]% of Enterprise Value, payable in immediately available funds.</w:t>
            </w:r>
          </w:p>
        </w:tc>
      </w:tr>
      <w:tr>
        <w:tc>
          <w:tcPr>
            <w:tcW w:type="dxa" w:w="3000"/>
            <w:shd w:fill="EEEEEE" w:val="clear"/>
          </w:tcPr>
          <w:p>
            <w:pPr>
              <w:spacing w:after="60"/>
            </w:pPr>
            <w:r>
              <w:rPr>
                <w:b/>
                <w:bCs/>
                <w:sz w:val="20"/>
                <w:szCs w:val="20"/>
              </w:rPr>
              <w:t xml:space="preserve">Earnout</w:t>
            </w:r>
          </w:p>
        </w:tc>
        <w:tc>
          <w:tcPr>
            <w:tcW w:type="dxa" w:w="6240"/>
          </w:tcPr>
          <w:p>
            <w:pPr>
              <w:spacing w:after="60"/>
            </w:pPr>
            <w:r>
              <w:rPr>
                <w:sz w:val="20"/>
                <w:szCs w:val="20"/>
              </w:rPr>
              <w:t xml:space="preserve">Up to [__]% of Enterprise Value payable over [12/24] months, contingent on the Company’s achievement of specified EBITDA or revenue milestones to be set forth in the definitive agreement.</w:t>
            </w:r>
          </w:p>
        </w:tc>
      </w:tr>
      <w:tr>
        <w:tc>
          <w:tcPr>
            <w:tcW w:type="dxa" w:w="3000"/>
            <w:shd w:fill="EEEEEE" w:val="clear"/>
          </w:tcPr>
          <w:p>
            <w:pPr>
              <w:spacing w:after="60"/>
            </w:pPr>
            <w:r>
              <w:rPr>
                <w:b/>
                <w:bCs/>
                <w:sz w:val="20"/>
                <w:szCs w:val="20"/>
              </w:rPr>
              <w:t xml:space="preserve">Seller Note</w:t>
            </w:r>
          </w:p>
        </w:tc>
        <w:tc>
          <w:tcPr>
            <w:tcW w:type="dxa" w:w="6240"/>
          </w:tcPr>
          <w:p>
            <w:pPr>
              <w:spacing w:after="60"/>
            </w:pPr>
            <w:r>
              <w:rPr>
                <w:sz w:val="20"/>
                <w:szCs w:val="20"/>
              </w:rPr>
              <w:t xml:space="preserve">[None / Up to $X,000,000, bearing interest at [__]% per annum, payable over [__] years, subordinated to Sponsor’s senior debt financing].</w:t>
            </w:r>
          </w:p>
        </w:tc>
      </w:tr>
      <w:tr>
        <w:tc>
          <w:tcPr>
            <w:tcW w:type="dxa" w:w="3000"/>
            <w:shd w:fill="EEEEEE" w:val="clear"/>
          </w:tcPr>
          <w:p>
            <w:pPr>
              <w:spacing w:after="60"/>
            </w:pPr>
            <w:r>
              <w:rPr>
                <w:b/>
                <w:bCs/>
                <w:sz w:val="20"/>
                <w:szCs w:val="20"/>
              </w:rPr>
              <w:t xml:space="preserve">Rollover Equity</w:t>
            </w:r>
          </w:p>
        </w:tc>
        <w:tc>
          <w:tcPr>
            <w:tcW w:type="dxa" w:w="6240"/>
          </w:tcPr>
          <w:p>
            <w:pPr>
              <w:spacing w:after="60"/>
            </w:pPr>
            <w:r>
              <w:rPr>
                <w:sz w:val="20"/>
                <w:szCs w:val="20"/>
              </w:rPr>
              <w:t xml:space="preserve">Founder and specified members of management to roll over approximately [__]% of after-tax proceeds into equity of NewCo. See Section 2.</w:t>
            </w:r>
          </w:p>
        </w:tc>
      </w:tr>
      <w:tr>
        <w:tc>
          <w:tcPr>
            <w:tcW w:type="dxa" w:w="3000"/>
            <w:shd w:fill="EEEEEE" w:val="clear"/>
          </w:tcPr>
          <w:p>
            <w:pPr>
              <w:spacing w:after="60"/>
            </w:pPr>
            <w:r>
              <w:rPr>
                <w:b/>
                <w:bCs/>
                <w:sz w:val="20"/>
                <w:szCs w:val="20"/>
              </w:rPr>
              <w:t xml:space="preserve">Price Bridge / Adjustment</w:t>
            </w:r>
          </w:p>
        </w:tc>
        <w:tc>
          <w:tcPr>
            <w:tcW w:type="dxa" w:w="6240"/>
          </w:tcPr>
          <w:p>
            <w:pPr>
              <w:spacing w:after="60"/>
            </w:pPr>
            <w:r>
              <w:rPr>
                <w:sz w:val="20"/>
                <w:szCs w:val="20"/>
              </w:rPr>
              <w:t xml:space="preserve">Standard cash-free, debt-free bridge with working-capital target set at the trailing-twelve-month average. Post-closing true-up based on actual working capital, cash, and debt as of closing.</w:t>
            </w:r>
          </w:p>
        </w:tc>
      </w:tr>
    </w:tbl>
    <w:p>
      <w:pPr>
        <w:pStyle w:val="Heading2"/>
        <w:spacing w:after="120" w:before="240"/>
      </w:pPr>
      <w:r>
        <w:rPr>
          <w:b/>
          <w:bCs/>
        </w:rPr>
        <w:t xml:space="preserve">2. Rollover Mechanics</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Structure</w:t>
            </w:r>
          </w:p>
        </w:tc>
        <w:tc>
          <w:tcPr>
            <w:tcW w:type="dxa" w:w="6240"/>
          </w:tcPr>
          <w:p>
            <w:pPr>
              <w:spacing w:after="60"/>
            </w:pPr>
            <w:r>
              <w:rPr>
                <w:sz w:val="20"/>
                <w:szCs w:val="20"/>
              </w:rPr>
              <w:t xml:space="preserve">To be determined based on Company’s tax classification: F-reorganization under IRC § 368(a)(1)(F) for S-corporation targets; partnership rollover with drop-down into a disregarded LLC for LLC targets; or Section 351 contribution for C-corporation targets.</w:t>
            </w:r>
          </w:p>
        </w:tc>
      </w:tr>
      <w:tr>
        <w:tc>
          <w:tcPr>
            <w:tcW w:type="dxa" w:w="3000"/>
            <w:shd w:fill="EEEEEE" w:val="clear"/>
          </w:tcPr>
          <w:p>
            <w:pPr>
              <w:spacing w:after="60"/>
            </w:pPr>
            <w:r>
              <w:rPr>
                <w:b/>
                <w:bCs/>
                <w:sz w:val="20"/>
                <w:szCs w:val="20"/>
              </w:rPr>
              <w:t xml:space="preserve">Rollover Equity Class</w:t>
            </w:r>
          </w:p>
        </w:tc>
        <w:tc>
          <w:tcPr>
            <w:tcW w:type="dxa" w:w="6240"/>
          </w:tcPr>
          <w:p>
            <w:pPr>
              <w:spacing w:after="60"/>
            </w:pPr>
            <w:r>
              <w:rPr>
                <w:sz w:val="20"/>
                <w:szCs w:val="20"/>
              </w:rPr>
              <w:t xml:space="preserve">Common equity in NewCo, pari passu with the common equity to be issued under the Management Equity Pool (see Section 3). Sponsor’s preferred equity shall sit senior to the rollover common.</w:t>
            </w:r>
          </w:p>
        </w:tc>
      </w:tr>
      <w:tr>
        <w:tc>
          <w:tcPr>
            <w:tcW w:type="dxa" w:w="3000"/>
            <w:shd w:fill="EEEEEE" w:val="clear"/>
          </w:tcPr>
          <w:p>
            <w:pPr>
              <w:spacing w:after="60"/>
            </w:pPr>
            <w:r>
              <w:rPr>
                <w:b/>
                <w:bCs/>
                <w:sz w:val="20"/>
                <w:szCs w:val="20"/>
              </w:rPr>
              <w:t xml:space="preserve">Tax Elections</w:t>
            </w:r>
          </w:p>
        </w:tc>
        <w:tc>
          <w:tcPr>
            <w:tcW w:type="dxa" w:w="6240"/>
          </w:tcPr>
          <w:p>
            <w:pPr>
              <w:spacing w:after="60"/>
            </w:pPr>
            <w:r>
              <w:rPr>
                <w:sz w:val="20"/>
                <w:szCs w:val="20"/>
              </w:rPr>
              <w:t xml:space="preserve">The parties shall cooperate on all tax elections, including any applicable Section 338(h)(10) or Section 336(e) election, and shall each bear their own transaction tax expenses.</w:t>
            </w:r>
          </w:p>
        </w:tc>
      </w:tr>
    </w:tbl>
    <w:p>
      <w:pPr>
        <w:pStyle w:val="Heading2"/>
        <w:spacing w:after="120" w:before="240"/>
      </w:pPr>
      <w:r>
        <w:rPr>
          <w:b/>
          <w:bCs/>
        </w:rPr>
        <w:t xml:space="preserve">3. Management Equity Pool</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Pool Size</w:t>
            </w:r>
          </w:p>
        </w:tc>
        <w:tc>
          <w:tcPr>
            <w:tcW w:type="dxa" w:w="6240"/>
          </w:tcPr>
          <w:p>
            <w:pPr>
              <w:spacing w:after="60"/>
            </w:pPr>
            <w:r>
              <w:rPr>
                <w:sz w:val="20"/>
                <w:szCs w:val="20"/>
              </w:rPr>
              <w:t xml:space="preserve">[8–12]% of fully-diluted equity of NewCo, structured as profits interests (if NewCo is a partnership) or options (if NewCo is a corporation).</w:t>
            </w:r>
          </w:p>
        </w:tc>
      </w:tr>
      <w:tr>
        <w:tc>
          <w:tcPr>
            <w:tcW w:type="dxa" w:w="3000"/>
            <w:shd w:fill="EEEEEE" w:val="clear"/>
          </w:tcPr>
          <w:p>
            <w:pPr>
              <w:spacing w:after="60"/>
            </w:pPr>
            <w:r>
              <w:rPr>
                <w:b/>
                <w:bCs/>
                <w:sz w:val="20"/>
                <w:szCs w:val="20"/>
              </w:rPr>
              <w:t xml:space="preserve">Initial Grants</w:t>
            </w:r>
          </w:p>
        </w:tc>
        <w:tc>
          <w:tcPr>
            <w:tcW w:type="dxa" w:w="6240"/>
          </w:tcPr>
          <w:p>
            <w:pPr>
              <w:spacing w:after="60"/>
            </w:pPr>
            <w:r>
              <w:rPr>
                <w:sz w:val="20"/>
                <w:szCs w:val="20"/>
              </w:rPr>
              <w:t xml:space="preserve">[60–70]% of the pool allocated at closing to the Founder and specified members of management; the balance reserved for future hires and performance grants.</w:t>
            </w:r>
          </w:p>
        </w:tc>
      </w:tr>
      <w:tr>
        <w:tc>
          <w:tcPr>
            <w:tcW w:type="dxa" w:w="3000"/>
            <w:shd w:fill="EEEEEE" w:val="clear"/>
          </w:tcPr>
          <w:p>
            <w:pPr>
              <w:spacing w:after="60"/>
            </w:pPr>
            <w:r>
              <w:rPr>
                <w:b/>
                <w:bCs/>
                <w:sz w:val="20"/>
                <w:szCs w:val="20"/>
              </w:rPr>
              <w:t xml:space="preserve">Vesting</w:t>
            </w:r>
          </w:p>
        </w:tc>
        <w:tc>
          <w:tcPr>
            <w:tcW w:type="dxa" w:w="6240"/>
          </w:tcPr>
          <w:p>
            <w:pPr>
              <w:spacing w:after="60"/>
            </w:pPr>
            <w:r>
              <w:rPr>
                <w:sz w:val="20"/>
                <w:szCs w:val="20"/>
              </w:rPr>
              <w:t xml:space="preserve">Four-year vesting, with a one-year cliff for new participants and no cliff for Founder and continuing team.</w:t>
            </w:r>
          </w:p>
        </w:tc>
      </w:tr>
      <w:tr>
        <w:tc>
          <w:tcPr>
            <w:tcW w:type="dxa" w:w="3000"/>
            <w:shd w:fill="EEEEEE" w:val="clear"/>
          </w:tcPr>
          <w:p>
            <w:pPr>
              <w:spacing w:after="60"/>
            </w:pPr>
            <w:r>
              <w:rPr>
                <w:b/>
                <w:bCs/>
                <w:sz w:val="20"/>
                <w:szCs w:val="20"/>
              </w:rPr>
              <w:t xml:space="preserve">Acceleration</w:t>
            </w:r>
          </w:p>
        </w:tc>
        <w:tc>
          <w:tcPr>
            <w:tcW w:type="dxa" w:w="6240"/>
          </w:tcPr>
          <w:p>
            <w:pPr>
              <w:spacing w:after="60"/>
            </w:pPr>
            <w:r>
              <w:rPr>
                <w:sz w:val="20"/>
                <w:szCs w:val="20"/>
              </w:rPr>
              <w:t xml:space="preserve">Double-trigger acceleration on a sale of NewCo plus qualifying termination (without Cause or for Good Reason). Partial acceleration on termination without Cause. Full acceleration on death or disability. No acceleration on an IPO (subject to lock-up).</w:t>
            </w:r>
          </w:p>
        </w:tc>
      </w:tr>
    </w:tbl>
    <w:p>
      <w:pPr>
        <w:pStyle w:val="Heading2"/>
        <w:spacing w:after="120" w:before="240"/>
      </w:pPr>
      <w:r>
        <w:rPr>
          <w:b/>
          <w:bCs/>
        </w:rPr>
        <w:t xml:space="preserve">4. Governance at NewCo</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Board Composition</w:t>
            </w:r>
          </w:p>
        </w:tc>
        <w:tc>
          <w:tcPr>
            <w:tcW w:type="dxa" w:w="6240"/>
          </w:tcPr>
          <w:p>
            <w:pPr>
              <w:spacing w:after="60"/>
            </w:pPr>
            <w:r>
              <w:rPr>
                <w:sz w:val="20"/>
                <w:szCs w:val="20"/>
              </w:rPr>
              <w:t xml:space="preserve">[3–5] seats designated by Sponsor; [1–2] seats designated by Founder (including Founder as [CEO / Executive Chair]); [1–2] independent director(s) selected by Sponsor with Founder consultation.</w:t>
            </w:r>
          </w:p>
        </w:tc>
      </w:tr>
      <w:tr>
        <w:tc>
          <w:tcPr>
            <w:tcW w:type="dxa" w:w="3000"/>
            <w:shd w:fill="EEEEEE" w:val="clear"/>
          </w:tcPr>
          <w:p>
            <w:pPr>
              <w:spacing w:after="60"/>
            </w:pPr>
            <w:r>
              <w:rPr>
                <w:b/>
                <w:bCs/>
                <w:sz w:val="20"/>
                <w:szCs w:val="20"/>
              </w:rPr>
              <w:t xml:space="preserve">Sponsor Consent Rights</w:t>
            </w:r>
          </w:p>
        </w:tc>
        <w:tc>
          <w:tcPr>
            <w:tcW w:type="dxa" w:w="6240"/>
          </w:tcPr>
          <w:p>
            <w:pPr>
              <w:spacing w:after="60"/>
            </w:pPr>
            <w:r>
              <w:rPr>
                <w:sz w:val="20"/>
                <w:szCs w:val="20"/>
              </w:rPr>
              <w:t xml:space="preserve">Affirmative Sponsor consent required for: (i) amendments to the LLC agreement or charter; (ii) issuances of senior equity; (iii) sales or acquisitions of material assets; (iv) incurrence of debt above a specified threshold; (v) related-party transactions; (vi) selection of auditors; and (vii) material changes in the Company’s business.</w:t>
            </w:r>
          </w:p>
        </w:tc>
      </w:tr>
      <w:tr>
        <w:tc>
          <w:tcPr>
            <w:tcW w:type="dxa" w:w="3000"/>
            <w:shd w:fill="EEEEEE" w:val="clear"/>
          </w:tcPr>
          <w:p>
            <w:pPr>
              <w:spacing w:after="60"/>
            </w:pPr>
            <w:r>
              <w:rPr>
                <w:b/>
                <w:bCs/>
                <w:sz w:val="20"/>
                <w:szCs w:val="20"/>
              </w:rPr>
              <w:t xml:space="preserve">Founder Consent Rights</w:t>
            </w:r>
          </w:p>
        </w:tc>
        <w:tc>
          <w:tcPr>
            <w:tcW w:type="dxa" w:w="6240"/>
          </w:tcPr>
          <w:p>
            <w:pPr>
              <w:spacing w:after="60"/>
            </w:pPr>
            <w:r>
              <w:rPr>
                <w:sz w:val="20"/>
                <w:szCs w:val="20"/>
              </w:rPr>
              <w:t xml:space="preserve">Affirmative Founder consent required for: (i) non-pro rata dilution of Founder’s equity; (ii) forced sales below a specified return threshold; and (iii) changes to Founder’s employment or equity terms. Framework consistent with the MFW principles articulated in Kahn v. M&amp;F Worldwide for cleansing related-party transactions during the hold period.</w:t>
            </w:r>
          </w:p>
        </w:tc>
      </w:tr>
      <w:tr>
        <w:tc>
          <w:tcPr>
            <w:tcW w:type="dxa" w:w="3000"/>
            <w:shd w:fill="EEEEEE" w:val="clear"/>
          </w:tcPr>
          <w:p>
            <w:pPr>
              <w:spacing w:after="60"/>
            </w:pPr>
            <w:r>
              <w:rPr>
                <w:b/>
                <w:bCs/>
                <w:sz w:val="20"/>
                <w:szCs w:val="20"/>
              </w:rPr>
              <w:t xml:space="preserve">Information Rights</w:t>
            </w:r>
          </w:p>
        </w:tc>
        <w:tc>
          <w:tcPr>
            <w:tcW w:type="dxa" w:w="6240"/>
          </w:tcPr>
          <w:p>
            <w:pPr>
              <w:spacing w:after="60"/>
            </w:pPr>
            <w:r>
              <w:rPr>
                <w:sz w:val="20"/>
                <w:szCs w:val="20"/>
              </w:rPr>
              <w:t xml:space="preserve">Monthly or quarterly financial reporting; annual audited financial statements; board materials distributed in advance of meetings; inspection rights consistent with DGCL § 220 baseline.</w:t>
            </w:r>
          </w:p>
        </w:tc>
      </w:tr>
    </w:tbl>
    <w:p>
      <w:pPr>
        <w:pStyle w:val="Heading2"/>
        <w:spacing w:after="120" w:before="240"/>
      </w:pPr>
      <w:r>
        <w:rPr>
          <w:b/>
          <w:bCs/>
        </w:rPr>
        <w:t xml:space="preserve">5. Transfer Restrictions</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Right of First Refusal</w:t>
            </w:r>
          </w:p>
        </w:tc>
        <w:tc>
          <w:tcPr>
            <w:tcW w:type="dxa" w:w="6240"/>
          </w:tcPr>
          <w:p>
            <w:pPr>
              <w:spacing w:after="60"/>
            </w:pPr>
            <w:r>
              <w:rPr>
                <w:sz w:val="20"/>
                <w:szCs w:val="20"/>
              </w:rPr>
              <w:t xml:space="preserve">Sponsor shall have a right of first refusal on proposed transfers of Founder’s rollover equity, subject to permitted transfers to estate-planning vehicles.</w:t>
            </w:r>
          </w:p>
        </w:tc>
      </w:tr>
      <w:tr>
        <w:tc>
          <w:tcPr>
            <w:tcW w:type="dxa" w:w="3000"/>
            <w:shd w:fill="EEEEEE" w:val="clear"/>
          </w:tcPr>
          <w:p>
            <w:pPr>
              <w:spacing w:after="60"/>
            </w:pPr>
            <w:r>
              <w:rPr>
                <w:b/>
                <w:bCs/>
                <w:sz w:val="20"/>
                <w:szCs w:val="20"/>
              </w:rPr>
              <w:t xml:space="preserve">Tag-Along Rights</w:t>
            </w:r>
          </w:p>
        </w:tc>
        <w:tc>
          <w:tcPr>
            <w:tcW w:type="dxa" w:w="6240"/>
          </w:tcPr>
          <w:p>
            <w:pPr>
              <w:spacing w:after="60"/>
            </w:pPr>
            <w:r>
              <w:rPr>
                <w:sz w:val="20"/>
                <w:szCs w:val="20"/>
              </w:rPr>
              <w:t xml:space="preserve">Founder shall have tag-along rights on proposed Sponsor transfers above [__]% of Sponsor’s initial equity.</w:t>
            </w:r>
          </w:p>
        </w:tc>
      </w:tr>
      <w:tr>
        <w:tc>
          <w:tcPr>
            <w:tcW w:type="dxa" w:w="3000"/>
            <w:shd w:fill="EEEEEE" w:val="clear"/>
          </w:tcPr>
          <w:p>
            <w:pPr>
              <w:spacing w:after="60"/>
            </w:pPr>
            <w:r>
              <w:rPr>
                <w:b/>
                <w:bCs/>
                <w:sz w:val="20"/>
                <w:szCs w:val="20"/>
              </w:rPr>
              <w:t xml:space="preserve">Drag-Along Rights</w:t>
            </w:r>
          </w:p>
        </w:tc>
        <w:tc>
          <w:tcPr>
            <w:tcW w:type="dxa" w:w="6240"/>
          </w:tcPr>
          <w:p>
            <w:pPr>
              <w:spacing w:after="60"/>
            </w:pPr>
            <w:r>
              <w:rPr>
                <w:sz w:val="20"/>
                <w:szCs w:val="20"/>
              </w:rPr>
              <w:t xml:space="preserve">Sponsor may exercise a drag-along right on a sale of NewCo above a specified vote threshold, subject to Founder’s consent rights in Section 4 and a minimum return threshold of [2.0x] on Sponsor’s invested capital.</w:t>
            </w:r>
          </w:p>
        </w:tc>
      </w:tr>
      <w:tr>
        <w:tc>
          <w:tcPr>
            <w:tcW w:type="dxa" w:w="3000"/>
            <w:shd w:fill="EEEEEE" w:val="clear"/>
          </w:tcPr>
          <w:p>
            <w:pPr>
              <w:spacing w:after="60"/>
            </w:pPr>
            <w:r>
              <w:rPr>
                <w:b/>
                <w:bCs/>
                <w:sz w:val="20"/>
                <w:szCs w:val="20"/>
              </w:rPr>
              <w:t xml:space="preserve">Call Rights</w:t>
            </w:r>
          </w:p>
        </w:tc>
        <w:tc>
          <w:tcPr>
            <w:tcW w:type="dxa" w:w="6240"/>
          </w:tcPr>
          <w:p>
            <w:pPr>
              <w:spacing w:after="60"/>
            </w:pPr>
            <w:r>
              <w:rPr>
                <w:sz w:val="20"/>
                <w:szCs w:val="20"/>
              </w:rPr>
              <w:t xml:space="preserve">Sponsor may call Founder’s unvested equity on any termination of Founder’s employment, and vested equity on termination for Cause, at a formula price to be set forth in the equity documentation.</w:t>
            </w:r>
          </w:p>
        </w:tc>
      </w:tr>
      <w:tr>
        <w:tc>
          <w:tcPr>
            <w:tcW w:type="dxa" w:w="3000"/>
            <w:shd w:fill="EEEEEE" w:val="clear"/>
          </w:tcPr>
          <w:p>
            <w:pPr>
              <w:spacing w:after="60"/>
            </w:pPr>
            <w:r>
              <w:rPr>
                <w:b/>
                <w:bCs/>
                <w:sz w:val="20"/>
                <w:szCs w:val="20"/>
              </w:rPr>
              <w:t xml:space="preserve">Put Rights</w:t>
            </w:r>
          </w:p>
        </w:tc>
        <w:tc>
          <w:tcPr>
            <w:tcW w:type="dxa" w:w="6240"/>
          </w:tcPr>
          <w:p>
            <w:pPr>
              <w:spacing w:after="60"/>
            </w:pPr>
            <w:r>
              <w:rPr>
                <w:sz w:val="20"/>
                <w:szCs w:val="20"/>
              </w:rPr>
              <w:t xml:space="preserve">Founder shall have the right to put equity to NewCo on death, disability, or involuntary termination without Cause, subject to NewCo’s financial ability under its senior debt covenants.</w:t>
            </w:r>
          </w:p>
        </w:tc>
      </w:tr>
    </w:tbl>
    <w:p>
      <w:pPr>
        <w:pStyle w:val="Heading2"/>
        <w:spacing w:after="120" w:before="240"/>
      </w:pPr>
      <w:r>
        <w:rPr>
          <w:b/>
          <w:bCs/>
        </w:rPr>
        <w:t xml:space="preserve">6. Founder Employment Terms</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Role</w:t>
            </w:r>
          </w:p>
        </w:tc>
        <w:tc>
          <w:tcPr>
            <w:tcW w:type="dxa" w:w="6240"/>
          </w:tcPr>
          <w:p>
            <w:pPr>
              <w:spacing w:after="60"/>
            </w:pPr>
            <w:r>
              <w:rPr>
                <w:sz w:val="20"/>
                <w:szCs w:val="20"/>
              </w:rPr>
              <w:t xml:space="preserve">[Chief Executive Officer / Executive Chair]</w:t>
            </w:r>
          </w:p>
        </w:tc>
      </w:tr>
      <w:tr>
        <w:tc>
          <w:tcPr>
            <w:tcW w:type="dxa" w:w="3000"/>
            <w:shd w:fill="EEEEEE" w:val="clear"/>
          </w:tcPr>
          <w:p>
            <w:pPr>
              <w:spacing w:after="60"/>
            </w:pPr>
            <w:r>
              <w:rPr>
                <w:b/>
                <w:bCs/>
                <w:sz w:val="20"/>
                <w:szCs w:val="20"/>
              </w:rPr>
              <w:t xml:space="preserve">Base Salary</w:t>
            </w:r>
          </w:p>
        </w:tc>
        <w:tc>
          <w:tcPr>
            <w:tcW w:type="dxa" w:w="6240"/>
          </w:tcPr>
          <w:p>
            <w:pPr>
              <w:spacing w:after="60"/>
            </w:pPr>
            <w:r>
              <w:rPr>
                <w:sz w:val="20"/>
                <w:szCs w:val="20"/>
              </w:rPr>
              <w:t xml:space="preserve">$[AMOUNT] per year, subject to annual review by the compensation committee.</w:t>
            </w:r>
          </w:p>
        </w:tc>
      </w:tr>
      <w:tr>
        <w:tc>
          <w:tcPr>
            <w:tcW w:type="dxa" w:w="3000"/>
            <w:shd w:fill="EEEEEE" w:val="clear"/>
          </w:tcPr>
          <w:p>
            <w:pPr>
              <w:spacing w:after="60"/>
            </w:pPr>
            <w:r>
              <w:rPr>
                <w:b/>
                <w:bCs/>
                <w:sz w:val="20"/>
                <w:szCs w:val="20"/>
              </w:rPr>
              <w:t xml:space="preserve">Target Bonus</w:t>
            </w:r>
          </w:p>
        </w:tc>
        <w:tc>
          <w:tcPr>
            <w:tcW w:type="dxa" w:w="6240"/>
          </w:tcPr>
          <w:p>
            <w:pPr>
              <w:spacing w:after="60"/>
            </w:pPr>
            <w:r>
              <w:rPr>
                <w:sz w:val="20"/>
                <w:szCs w:val="20"/>
              </w:rPr>
              <w:t xml:space="preserve">[50–100]% of base salary, tied to EBITDA or budget metric to be approved by the board.</w:t>
            </w:r>
          </w:p>
        </w:tc>
      </w:tr>
      <w:tr>
        <w:tc>
          <w:tcPr>
            <w:tcW w:type="dxa" w:w="3000"/>
            <w:shd w:fill="EEEEEE" w:val="clear"/>
          </w:tcPr>
          <w:p>
            <w:pPr>
              <w:spacing w:after="60"/>
            </w:pPr>
            <w:r>
              <w:rPr>
                <w:b/>
                <w:bCs/>
                <w:sz w:val="20"/>
                <w:szCs w:val="20"/>
              </w:rPr>
              <w:t xml:space="preserve">“Cause”</w:t>
            </w:r>
          </w:p>
        </w:tc>
        <w:tc>
          <w:tcPr>
            <w:tcW w:type="dxa" w:w="6240"/>
          </w:tcPr>
          <w:p>
            <w:pPr>
              <w:spacing w:after="60"/>
            </w:pPr>
            <w:r>
              <w:rPr>
                <w:sz w:val="20"/>
                <w:szCs w:val="20"/>
              </w:rPr>
              <w:t xml:space="preserve">Limited to specified bad acts: fraud, criminal conduct, intentional misconduct, or material uncured breach after written notice and a specified cure period.</w:t>
            </w:r>
          </w:p>
        </w:tc>
      </w:tr>
      <w:tr>
        <w:tc>
          <w:tcPr>
            <w:tcW w:type="dxa" w:w="3000"/>
            <w:shd w:fill="EEEEEE" w:val="clear"/>
          </w:tcPr>
          <w:p>
            <w:pPr>
              <w:spacing w:after="60"/>
            </w:pPr>
            <w:r>
              <w:rPr>
                <w:b/>
                <w:bCs/>
                <w:sz w:val="20"/>
                <w:szCs w:val="20"/>
              </w:rPr>
              <w:t xml:space="preserve">“Good Reason”</w:t>
            </w:r>
          </w:p>
        </w:tc>
        <w:tc>
          <w:tcPr>
            <w:tcW w:type="dxa" w:w="6240"/>
          </w:tcPr>
          <w:p>
            <w:pPr>
              <w:spacing w:after="60"/>
            </w:pPr>
            <w:r>
              <w:rPr>
                <w:sz w:val="20"/>
                <w:szCs w:val="20"/>
              </w:rPr>
              <w:t xml:space="preserve">Material reduction in base compensation; material diminution of duties or reporting line; relocation of 50+ miles; or change in control of NewCo, with notice and cure protections.</w:t>
            </w:r>
          </w:p>
        </w:tc>
      </w:tr>
      <w:tr>
        <w:tc>
          <w:tcPr>
            <w:tcW w:type="dxa" w:w="3000"/>
            <w:shd w:fill="EEEEEE" w:val="clear"/>
          </w:tcPr>
          <w:p>
            <w:pPr>
              <w:spacing w:after="60"/>
            </w:pPr>
            <w:r>
              <w:rPr>
                <w:b/>
                <w:bCs/>
                <w:sz w:val="20"/>
                <w:szCs w:val="20"/>
              </w:rPr>
              <w:t xml:space="preserve">Non-Compete</w:t>
            </w:r>
          </w:p>
        </w:tc>
        <w:tc>
          <w:tcPr>
            <w:tcW w:type="dxa" w:w="6240"/>
          </w:tcPr>
          <w:p>
            <w:pPr>
              <w:spacing w:after="60"/>
            </w:pPr>
            <w:r>
              <w:rPr>
                <w:sz w:val="20"/>
                <w:szCs w:val="20"/>
              </w:rPr>
              <w:t xml:space="preserve">[24–36] months post-termination, limited to the Company’s lines of business and geographic markets. For Florida employment, enforceable under Fla. Stat. § 542.335.</w:t>
            </w:r>
          </w:p>
        </w:tc>
      </w:tr>
      <w:tr>
        <w:tc>
          <w:tcPr>
            <w:tcW w:type="dxa" w:w="3000"/>
            <w:shd w:fill="EEEEEE" w:val="clear"/>
          </w:tcPr>
          <w:p>
            <w:pPr>
              <w:spacing w:after="60"/>
            </w:pPr>
            <w:r>
              <w:rPr>
                <w:b/>
                <w:bCs/>
                <w:sz w:val="20"/>
                <w:szCs w:val="20"/>
              </w:rPr>
              <w:t xml:space="preserve">Non-Solicit</w:t>
            </w:r>
          </w:p>
        </w:tc>
        <w:tc>
          <w:tcPr>
            <w:tcW w:type="dxa" w:w="6240"/>
          </w:tcPr>
          <w:p>
            <w:pPr>
              <w:spacing w:after="60"/>
            </w:pPr>
            <w:r>
              <w:rPr>
                <w:sz w:val="20"/>
                <w:szCs w:val="20"/>
              </w:rPr>
              <w:t xml:space="preserve">[24–36] months post-termination, covering customers and employees of the Company.</w:t>
            </w:r>
          </w:p>
        </w:tc>
      </w:tr>
    </w:tbl>
    <w:p>
      <w:pPr>
        <w:pStyle w:val="Heading2"/>
        <w:spacing w:after="120" w:before="240"/>
      </w:pPr>
      <w:r>
        <w:rPr>
          <w:b/>
          <w:bCs/>
        </w:rPr>
        <w:t xml:space="preserve">7. Exit Mechanics</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Hold Period</w:t>
            </w:r>
          </w:p>
        </w:tc>
        <w:tc>
          <w:tcPr>
            <w:tcW w:type="dxa" w:w="6240"/>
          </w:tcPr>
          <w:p>
            <w:pPr>
              <w:spacing w:after="60"/>
            </w:pPr>
            <w:r>
              <w:rPr>
                <w:sz w:val="20"/>
                <w:szCs w:val="20"/>
              </w:rPr>
              <w:t xml:space="preserve">Sponsor’s target hold period is [5–7] years from closing, subject to Sponsor’s judgment on market conditions.</w:t>
            </w:r>
          </w:p>
        </w:tc>
      </w:tr>
      <w:tr>
        <w:tc>
          <w:tcPr>
            <w:tcW w:type="dxa" w:w="3000"/>
            <w:shd w:fill="EEEEEE" w:val="clear"/>
          </w:tcPr>
          <w:p>
            <w:pPr>
              <w:spacing w:after="60"/>
            </w:pPr>
            <w:r>
              <w:rPr>
                <w:b/>
                <w:bCs/>
                <w:sz w:val="20"/>
                <w:szCs w:val="20"/>
              </w:rPr>
              <w:t xml:space="preserve">Exit Scenarios</w:t>
            </w:r>
          </w:p>
        </w:tc>
        <w:tc>
          <w:tcPr>
            <w:tcW w:type="dxa" w:w="6240"/>
          </w:tcPr>
          <w:p>
            <w:pPr>
              <w:spacing w:after="60"/>
            </w:pPr>
            <w:r>
              <w:rPr>
                <w:sz w:val="20"/>
                <w:szCs w:val="20"/>
              </w:rPr>
              <w:t xml:space="preserve">Sale to strategic acquirer; sale to another sponsor; dividend recapitalization; initial public offering.</w:t>
            </w:r>
          </w:p>
        </w:tc>
      </w:tr>
      <w:tr>
        <w:tc>
          <w:tcPr>
            <w:tcW w:type="dxa" w:w="3000"/>
            <w:shd w:fill="EEEEEE" w:val="clear"/>
          </w:tcPr>
          <w:p>
            <w:pPr>
              <w:spacing w:after="60"/>
            </w:pPr>
            <w:r>
              <w:rPr>
                <w:b/>
                <w:bCs/>
                <w:sz w:val="20"/>
                <w:szCs w:val="20"/>
              </w:rPr>
              <w:t xml:space="preserve">Registration Rights</w:t>
            </w:r>
          </w:p>
        </w:tc>
        <w:tc>
          <w:tcPr>
            <w:tcW w:type="dxa" w:w="6240"/>
          </w:tcPr>
          <w:p>
            <w:pPr>
              <w:spacing w:after="60"/>
            </w:pPr>
            <w:r>
              <w:rPr>
                <w:sz w:val="20"/>
                <w:szCs w:val="20"/>
              </w:rPr>
              <w:t xml:space="preserve">Sponsor demand registration rights; Founder piggyback rights on Sponsor demands; S-3 shelf rights after IPO lock-up expires.</w:t>
            </w:r>
          </w:p>
        </w:tc>
      </w:tr>
      <w:tr>
        <w:tc>
          <w:tcPr>
            <w:tcW w:type="dxa" w:w="3000"/>
            <w:shd w:fill="EEEEEE" w:val="clear"/>
          </w:tcPr>
          <w:p>
            <w:pPr>
              <w:spacing w:after="60"/>
            </w:pPr>
            <w:r>
              <w:rPr>
                <w:b/>
                <w:bCs/>
                <w:sz w:val="20"/>
                <w:szCs w:val="20"/>
              </w:rPr>
              <w:t xml:space="preserve">Co-Sale Interactions</w:t>
            </w:r>
          </w:p>
        </w:tc>
        <w:tc>
          <w:tcPr>
            <w:tcW w:type="dxa" w:w="6240"/>
          </w:tcPr>
          <w:p>
            <w:pPr>
              <w:spacing w:after="60"/>
            </w:pPr>
            <w:r>
              <w:rPr>
                <w:sz w:val="20"/>
                <w:szCs w:val="20"/>
              </w:rPr>
              <w:t xml:space="preserve">Drag-along governs sale to strategic; tag-along governs sponsor-to-sponsor secondary; registration rights govern IPO.</w:t>
            </w:r>
          </w:p>
        </w:tc>
      </w:tr>
    </w:tbl>
    <w:p>
      <w:pPr>
        <w:pStyle w:val="Heading2"/>
        <w:spacing w:after="120" w:before="240"/>
      </w:pPr>
      <w:r>
        <w:rPr>
          <w:b/>
          <w:bCs/>
        </w:rPr>
        <w:t xml:space="preserve">8. Preferred Stock Terms</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Liquidation Preference</w:t>
            </w:r>
          </w:p>
        </w:tc>
        <w:tc>
          <w:tcPr>
            <w:tcW w:type="dxa" w:w="6240"/>
          </w:tcPr>
          <w:p>
            <w:pPr>
              <w:spacing w:after="60"/>
            </w:pPr>
            <w:r>
              <w:rPr>
                <w:sz w:val="20"/>
                <w:szCs w:val="20"/>
              </w:rPr>
              <w:t xml:space="preserve">1x non-participating liquidation preference on Sponsor’s preferred equity. Market reference: In re Trados Incorporated Shareholder Litigation discussion of liquidation-preference fairness at exit.</w:t>
            </w:r>
          </w:p>
        </w:tc>
      </w:tr>
      <w:tr>
        <w:tc>
          <w:tcPr>
            <w:tcW w:type="dxa" w:w="3000"/>
            <w:shd w:fill="EEEEEE" w:val="clear"/>
          </w:tcPr>
          <w:p>
            <w:pPr>
              <w:spacing w:after="60"/>
            </w:pPr>
            <w:r>
              <w:rPr>
                <w:b/>
                <w:bCs/>
                <w:sz w:val="20"/>
                <w:szCs w:val="20"/>
              </w:rPr>
              <w:t xml:space="preserve">Dividend Accrual</w:t>
            </w:r>
          </w:p>
        </w:tc>
        <w:tc>
          <w:tcPr>
            <w:tcW w:type="dxa" w:w="6240"/>
          </w:tcPr>
          <w:p>
            <w:pPr>
              <w:spacing w:after="60"/>
            </w:pPr>
            <w:r>
              <w:rPr>
                <w:sz w:val="20"/>
                <w:szCs w:val="20"/>
              </w:rPr>
              <w:t xml:space="preserve">[None (consistent with 2026 market practice for mid-market PE) / [__]% per annum, accruing but non-cumulative].</w:t>
            </w:r>
          </w:p>
        </w:tc>
      </w:tr>
      <w:tr>
        <w:tc>
          <w:tcPr>
            <w:tcW w:type="dxa" w:w="3000"/>
            <w:shd w:fill="EEEEEE" w:val="clear"/>
          </w:tcPr>
          <w:p>
            <w:pPr>
              <w:spacing w:after="60"/>
            </w:pPr>
            <w:r>
              <w:rPr>
                <w:b/>
                <w:bCs/>
                <w:sz w:val="20"/>
                <w:szCs w:val="20"/>
              </w:rPr>
              <w:t xml:space="preserve">Conversion</w:t>
            </w:r>
          </w:p>
        </w:tc>
        <w:tc>
          <w:tcPr>
            <w:tcW w:type="dxa" w:w="6240"/>
          </w:tcPr>
          <w:p>
            <w:pPr>
              <w:spacing w:after="60"/>
            </w:pPr>
            <w:r>
              <w:rPr>
                <w:sz w:val="20"/>
                <w:szCs w:val="20"/>
              </w:rPr>
              <w:t xml:space="preserve">Preferred converts to common on a one-for-one basis, subject to standard anti-dilution adjustments and automatic conversion on a Qualified IPO.</w:t>
            </w:r>
          </w:p>
        </w:tc>
      </w:tr>
      <w:tr>
        <w:tc>
          <w:tcPr>
            <w:tcW w:type="dxa" w:w="3000"/>
            <w:shd w:fill="EEEEEE" w:val="clear"/>
          </w:tcPr>
          <w:p>
            <w:pPr>
              <w:spacing w:after="60"/>
            </w:pPr>
            <w:r>
              <w:rPr>
                <w:b/>
                <w:bCs/>
                <w:sz w:val="20"/>
                <w:szCs w:val="20"/>
              </w:rPr>
              <w:t xml:space="preserve">Protective Provisions</w:t>
            </w:r>
          </w:p>
        </w:tc>
        <w:tc>
          <w:tcPr>
            <w:tcW w:type="dxa" w:w="6240"/>
          </w:tcPr>
          <w:p>
            <w:pPr>
              <w:spacing w:after="60"/>
            </w:pPr>
            <w:r>
              <w:rPr>
                <w:sz w:val="20"/>
                <w:szCs w:val="20"/>
              </w:rPr>
              <w:t xml:space="preserve">As set forth in Section 4 (Sponsor Consent Rights).</w:t>
            </w:r>
          </w:p>
        </w:tc>
      </w:tr>
    </w:tbl>
    <w:p>
      <w:pPr>
        <w:pStyle w:val="Heading2"/>
        <w:spacing w:after="120" w:before="240"/>
      </w:pPr>
      <w:r>
        <w:rPr>
          <w:b/>
          <w:bCs/>
        </w:rPr>
        <w:t xml:space="preserve">9. Representations, Warranties, and Indemnification</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RWI Policy</w:t>
            </w:r>
          </w:p>
        </w:tc>
        <w:tc>
          <w:tcPr>
            <w:tcW w:type="dxa" w:w="6240"/>
          </w:tcPr>
          <w:p>
            <w:pPr>
              <w:spacing w:after="60"/>
            </w:pPr>
            <w:r>
              <w:rPr>
                <w:sz w:val="20"/>
                <w:szCs w:val="20"/>
              </w:rPr>
              <w:t xml:space="preserve">Representations and warranties insurance to be bound at signing, with policy limit of approximately 10% of Enterprise Value.</w:t>
            </w:r>
          </w:p>
        </w:tc>
      </w:tr>
      <w:tr>
        <w:tc>
          <w:tcPr>
            <w:tcW w:type="dxa" w:w="3000"/>
            <w:shd w:fill="EEEEEE" w:val="clear"/>
          </w:tcPr>
          <w:p>
            <w:pPr>
              <w:spacing w:after="60"/>
            </w:pPr>
            <w:r>
              <w:rPr>
                <w:b/>
                <w:bCs/>
                <w:sz w:val="20"/>
                <w:szCs w:val="20"/>
              </w:rPr>
              <w:t xml:space="preserve">Retention</w:t>
            </w:r>
          </w:p>
        </w:tc>
        <w:tc>
          <w:tcPr>
            <w:tcW w:type="dxa" w:w="6240"/>
          </w:tcPr>
          <w:p>
            <w:pPr>
              <w:spacing w:after="60"/>
            </w:pPr>
            <w:r>
              <w:rPr>
                <w:sz w:val="20"/>
                <w:szCs w:val="20"/>
              </w:rPr>
              <w:t xml:space="preserve">0.5% of Enterprise Value in year one, dropping to 0.25% in year two. Retention split 50/50 between Buyer and Seller.</w:t>
            </w:r>
          </w:p>
        </w:tc>
      </w:tr>
      <w:tr>
        <w:tc>
          <w:tcPr>
            <w:tcW w:type="dxa" w:w="3000"/>
            <w:shd w:fill="EEEEEE" w:val="clear"/>
          </w:tcPr>
          <w:p>
            <w:pPr>
              <w:spacing w:after="60"/>
            </w:pPr>
            <w:r>
              <w:rPr>
                <w:b/>
                <w:bCs/>
                <w:sz w:val="20"/>
                <w:szCs w:val="20"/>
              </w:rPr>
              <w:t xml:space="preserve">Indemnity Escrow</w:t>
            </w:r>
          </w:p>
        </w:tc>
        <w:tc>
          <w:tcPr>
            <w:tcW w:type="dxa" w:w="6240"/>
          </w:tcPr>
          <w:p>
            <w:pPr>
              <w:spacing w:after="60"/>
            </w:pPr>
            <w:r>
              <w:rPr>
                <w:sz w:val="20"/>
                <w:szCs w:val="20"/>
              </w:rPr>
              <w:t xml:space="preserve">Seller’s portion of the retention (0.25–0.5% of Enterprise Value) funded through an indemnity escrow at closing.</w:t>
            </w:r>
          </w:p>
        </w:tc>
      </w:tr>
      <w:tr>
        <w:tc>
          <w:tcPr>
            <w:tcW w:type="dxa" w:w="3000"/>
            <w:shd w:fill="EEEEEE" w:val="clear"/>
          </w:tcPr>
          <w:p>
            <w:pPr>
              <w:spacing w:after="60"/>
            </w:pPr>
            <w:r>
              <w:rPr>
                <w:b/>
                <w:bCs/>
                <w:sz w:val="20"/>
                <w:szCs w:val="20"/>
              </w:rPr>
              <w:t xml:space="preserve">Fundamental Reps</w:t>
            </w:r>
          </w:p>
        </w:tc>
        <w:tc>
          <w:tcPr>
            <w:tcW w:type="dxa" w:w="6240"/>
          </w:tcPr>
          <w:p>
            <w:pPr>
              <w:spacing w:after="60"/>
            </w:pPr>
            <w:r>
              <w:rPr>
                <w:sz w:val="20"/>
                <w:szCs w:val="20"/>
              </w:rPr>
              <w:t xml:space="preserve">Organization, authority, capitalization, title, and taxes shall survive indefinitely (or for the applicable statute of limitations) and are backed by the full purchase price.</w:t>
            </w:r>
          </w:p>
        </w:tc>
      </w:tr>
      <w:tr>
        <w:tc>
          <w:tcPr>
            <w:tcW w:type="dxa" w:w="3000"/>
            <w:shd w:fill="EEEEEE" w:val="clear"/>
          </w:tcPr>
          <w:p>
            <w:pPr>
              <w:spacing w:after="60"/>
            </w:pPr>
            <w:r>
              <w:rPr>
                <w:b/>
                <w:bCs/>
                <w:sz w:val="20"/>
                <w:szCs w:val="20"/>
              </w:rPr>
              <w:t xml:space="preserve">General Reps</w:t>
            </w:r>
          </w:p>
        </w:tc>
        <w:tc>
          <w:tcPr>
            <w:tcW w:type="dxa" w:w="6240"/>
          </w:tcPr>
          <w:p>
            <w:pPr>
              <w:spacing w:after="60"/>
            </w:pPr>
            <w:r>
              <w:rPr>
                <w:sz w:val="20"/>
                <w:szCs w:val="20"/>
              </w:rPr>
              <w:t xml:space="preserve">Capped by the RWI policy limits and the retention. Deductible basket of [0.5–0.75]% of Enterprise Value; mini-basket of [$25,000–$50,000] per claim.</w:t>
            </w:r>
          </w:p>
        </w:tc>
      </w:tr>
      <w:tr>
        <w:tc>
          <w:tcPr>
            <w:tcW w:type="dxa" w:w="3000"/>
            <w:shd w:fill="EEEEEE" w:val="clear"/>
          </w:tcPr>
          <w:p>
            <w:pPr>
              <w:spacing w:after="60"/>
            </w:pPr>
            <w:r>
              <w:rPr>
                <w:b/>
                <w:bCs/>
                <w:sz w:val="20"/>
                <w:szCs w:val="20"/>
              </w:rPr>
              <w:t xml:space="preserve">Specified Matters</w:t>
            </w:r>
          </w:p>
        </w:tc>
        <w:tc>
          <w:tcPr>
            <w:tcW w:type="dxa" w:w="6240"/>
          </w:tcPr>
          <w:p>
            <w:pPr>
              <w:spacing w:after="60"/>
            </w:pPr>
            <w:r>
              <w:rPr>
                <w:sz w:val="20"/>
                <w:szCs w:val="20"/>
              </w:rPr>
              <w:t xml:space="preserve">Separately indemnified by Seller outside the RWI policy for identified high-risk items identified in diligence (to be scheduled at signing).</w:t>
            </w:r>
          </w:p>
        </w:tc>
      </w:tr>
    </w:tbl>
    <w:p>
      <w:pPr>
        <w:pStyle w:val="Heading2"/>
        <w:spacing w:after="120" w:before="240"/>
      </w:pPr>
      <w:r>
        <w:rPr>
          <w:b/>
          <w:bCs/>
        </w:rPr>
        <w:t xml:space="preserve">10. Exclusivity, Financing, and Process</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3000"/>
        <w:gridCol w:w="6240"/>
      </w:tblGrid>
      <w:tr>
        <w:tc>
          <w:tcPr>
            <w:tcW w:type="dxa" w:w="3000"/>
            <w:shd w:fill="EEEEEE" w:val="clear"/>
          </w:tcPr>
          <w:p>
            <w:pPr>
              <w:spacing w:after="60"/>
            </w:pPr>
            <w:r>
              <w:rPr>
                <w:b/>
                <w:bCs/>
                <w:sz w:val="20"/>
                <w:szCs w:val="20"/>
              </w:rPr>
              <w:t xml:space="preserve">Exclusivity Period</w:t>
            </w:r>
          </w:p>
        </w:tc>
        <w:tc>
          <w:tcPr>
            <w:tcW w:type="dxa" w:w="6240"/>
          </w:tcPr>
          <w:p>
            <w:pPr>
              <w:spacing w:after="60"/>
            </w:pPr>
            <w:r>
              <w:rPr>
                <w:sz w:val="20"/>
                <w:szCs w:val="20"/>
              </w:rPr>
              <w:t xml:space="preserve">60 days from execution of this Term Sheet (the “Exclusivity Period”), with a 30-day automatic extension upon Sponsor’s demonstrated good-faith progress (definitive agreement draft circulated, QofE substantially complete, diligence materially advanced).</w:t>
            </w:r>
          </w:p>
        </w:tc>
      </w:tr>
      <w:tr>
        <w:tc>
          <w:tcPr>
            <w:tcW w:type="dxa" w:w="3000"/>
            <w:shd w:fill="EEEEEE" w:val="clear"/>
          </w:tcPr>
          <w:p>
            <w:pPr>
              <w:spacing w:after="60"/>
            </w:pPr>
            <w:r>
              <w:rPr>
                <w:b/>
                <w:bCs/>
                <w:sz w:val="20"/>
                <w:szCs w:val="20"/>
              </w:rPr>
              <w:t xml:space="preserve">Fiduciary Out</w:t>
            </w:r>
          </w:p>
        </w:tc>
        <w:tc>
          <w:tcPr>
            <w:tcW w:type="dxa" w:w="6240"/>
          </w:tcPr>
          <w:p>
            <w:pPr>
              <w:spacing w:after="60"/>
            </w:pPr>
            <w:r>
              <w:rPr>
                <w:sz w:val="20"/>
                <w:szCs w:val="20"/>
              </w:rPr>
              <w:t xml:space="preserve">The Company’s board may respond to an unsolicited written bona fide competing proposal that it reasonably determines is likely to result in a superior offer, subject to Sponsor’s matching rights.</w:t>
            </w:r>
          </w:p>
        </w:tc>
      </w:tr>
      <w:tr>
        <w:tc>
          <w:tcPr>
            <w:tcW w:type="dxa" w:w="3000"/>
            <w:shd w:fill="EEEEEE" w:val="clear"/>
          </w:tcPr>
          <w:p>
            <w:pPr>
              <w:spacing w:after="60"/>
            </w:pPr>
            <w:r>
              <w:rPr>
                <w:b/>
                <w:bCs/>
                <w:sz w:val="20"/>
                <w:szCs w:val="20"/>
              </w:rPr>
              <w:t xml:space="preserve">Financing Contingency</w:t>
            </w:r>
          </w:p>
        </w:tc>
        <w:tc>
          <w:tcPr>
            <w:tcW w:type="dxa" w:w="6240"/>
          </w:tcPr>
          <w:p>
            <w:pPr>
              <w:spacing w:after="60"/>
            </w:pPr>
            <w:r>
              <w:rPr>
                <w:sz w:val="20"/>
                <w:szCs w:val="20"/>
              </w:rPr>
              <w:t xml:space="preserve">Sponsor’s obligations are subject to receipt of debt financing on terms set forth in the commitment letter(s) attached hereto. Reverse termination fee of [$X,000,000] payable by Sponsor if financing fails and Sponsor terminates the transaction.</w:t>
            </w:r>
          </w:p>
        </w:tc>
      </w:tr>
      <w:tr>
        <w:tc>
          <w:tcPr>
            <w:tcW w:type="dxa" w:w="3000"/>
            <w:shd w:fill="EEEEEE" w:val="clear"/>
          </w:tcPr>
          <w:p>
            <w:pPr>
              <w:spacing w:after="60"/>
            </w:pPr>
            <w:r>
              <w:rPr>
                <w:b/>
                <w:bCs/>
                <w:sz w:val="20"/>
                <w:szCs w:val="20"/>
              </w:rPr>
              <w:t xml:space="preserve">Regulatory Contingency</w:t>
            </w:r>
          </w:p>
        </w:tc>
        <w:tc>
          <w:tcPr>
            <w:tcW w:type="dxa" w:w="6240"/>
          </w:tcPr>
          <w:p>
            <w:pPr>
              <w:spacing w:after="60"/>
            </w:pPr>
            <w:r>
              <w:rPr>
                <w:sz w:val="20"/>
                <w:szCs w:val="20"/>
              </w:rPr>
              <w:t xml:space="preserve">Sponsor’s obligations are subject to all applicable regulatory approvals, including HSR Act clearance and any industry-specific approvals.</w:t>
            </w:r>
          </w:p>
        </w:tc>
      </w:tr>
    </w:tbl>
    <w:p>
      <w:pPr>
        <w:pStyle w:val="Heading1"/>
        <w:spacing w:after="120" w:before="320"/>
      </w:pPr>
      <w:r>
        <w:rPr>
          <w:b/>
          <w:bCs/>
        </w:rPr>
        <w:t xml:space="preserve">11. Confidentiality (Binding)</w:t>
      </w:r>
    </w:p>
    <w:p>
      <w:pPr>
        <w:spacing w:after="160"/>
        <w:jc w:val="both"/>
      </w:pPr>
      <w:r>
        <w:rPr>
          <w:b w:val="false"/>
          <w:bCs w:val="false"/>
          <w:i w:val="false"/>
          <w:iCs w:val="false"/>
        </w:rPr>
        <w:t xml:space="preserve">The parties shall maintain the existence and terms of this Term Sheet in confidence, subject to disclosure to their respective directors, officers, employees, investors, lenders, counsel, accountants, and other advisors, in each case bound to maintain confidentiality on terms no less restrictive than the parties’ existing Confidentiality Agreement, which remains in full force and effect.</w:t>
      </w:r>
    </w:p>
    <w:p>
      <w:pPr>
        <w:pStyle w:val="Heading1"/>
        <w:spacing w:after="120" w:before="320"/>
      </w:pPr>
      <w:r>
        <w:rPr>
          <w:b/>
          <w:bCs/>
        </w:rPr>
        <w:t xml:space="preserve">12. Governing Law (Binding)</w:t>
      </w:r>
    </w:p>
    <w:p>
      <w:pPr>
        <w:spacing w:after="160"/>
        <w:jc w:val="both"/>
      </w:pPr>
      <w:r>
        <w:rPr>
          <w:b w:val="false"/>
          <w:bCs w:val="false"/>
          <w:i w:val="false"/>
          <w:iCs w:val="false"/>
        </w:rPr>
        <w:t xml:space="preserve">The binding provisions of this Term Sheet shall be governed by the laws of [STATE OF GOVERNING LAW] without regard to its conflict-of-laws principles. The parties consent to the exclusive jurisdiction of the state and federal courts located in [FORUM COUNTY, STATE].</w:t>
      </w:r>
    </w:p>
    <w:p>
      <w:pPr>
        <w:pStyle w:val="Heading1"/>
        <w:spacing w:after="120" w:before="320"/>
      </w:pPr>
      <w:r>
        <w:rPr>
          <w:b/>
          <w:bCs/>
        </w:rPr>
        <w:t xml:space="preserve">13. Expenses (Binding)</w:t>
      </w:r>
    </w:p>
    <w:p>
      <w:pPr>
        <w:spacing w:after="160"/>
        <w:jc w:val="both"/>
      </w:pPr>
      <w:r>
        <w:rPr>
          <w:b w:val="false"/>
          <w:bCs w:val="false"/>
          <w:i w:val="false"/>
          <w:iCs w:val="false"/>
        </w:rPr>
        <w:t xml:space="preserve">Each party shall bear its own expenses in connection with this Term Sheet and the proposed transaction, except as expressly set forth in the definitive agreement.</w:t>
      </w:r>
    </w:p>
    <w:p>
      <w:pPr>
        <w:pStyle w:val="Heading1"/>
        <w:spacing w:after="120" w:before="320"/>
      </w:pPr>
      <w:r>
        <w:rPr>
          <w:b/>
          <w:bCs/>
        </w:rPr>
        <w:t xml:space="preserve">Signatures</w:t>
      </w:r>
    </w:p>
    <w:p>
      <w:pPr>
        <w:spacing w:after="160"/>
        <w:jc w:val="both"/>
      </w:pPr>
      <w:r>
        <w:rPr>
          <w:b w:val="false"/>
          <w:bCs w:val="false"/>
          <w:i w:val="false"/>
          <w:iCs w:val="false"/>
        </w:rPr>
        <w:t xml:space="preserve">IN WITNESS WHEREOF, the parties have executed this Term Sheet as of the date set forth below.</w:t>
      </w:r>
    </w:p>
    <w:p>
      <w:pPr>
        <w:spacing w:after="120" w:before="240"/>
      </w:pPr>
      <w:r>
        <w:rPr>
          <w:b/>
          <w:bCs/>
        </w:rPr>
        <w:t xml:space="preserve">SPONSOR:</w:t>
      </w:r>
    </w:p>
    <w:p>
      <w:pPr>
        <w:spacing w:after="160"/>
        <w:jc w:val="both"/>
      </w:pPr>
      <w:r>
        <w:rPr>
          <w:b w:val="false"/>
          <w:bCs w:val="false"/>
          <w:i w:val="false"/>
          <w:iCs w:val="false"/>
        </w:rPr>
        <w:t xml:space="preserve">[SPONSOR NAME]</w:t>
      </w:r>
    </w:p>
    <w:p>
      <w:pPr>
        <w:spacing w:after="160"/>
        <w:jc w:val="both"/>
      </w:pPr>
      <w:r>
        <w:rPr>
          <w:b w:val="false"/>
          <w:bCs w:val="false"/>
          <w:i w:val="false"/>
          <w:iCs w:val="false"/>
        </w:rPr>
        <w:t xml:space="preserve">By: _______________________________</w:t>
      </w:r>
    </w:p>
    <w:p>
      <w:pPr>
        <w:spacing w:after="160"/>
        <w:jc w:val="both"/>
      </w:pPr>
      <w:r>
        <w:rPr>
          <w:b w:val="false"/>
          <w:bCs w:val="false"/>
          <w:i w:val="false"/>
          <w:iCs w:val="false"/>
        </w:rPr>
        <w:t xml:space="preserve">Name: [AUTHORIZED SIGNATORY]</w:t>
      </w:r>
    </w:p>
    <w:p>
      <w:pPr>
        <w:spacing w:after="160"/>
        <w:jc w:val="both"/>
      </w:pPr>
      <w:r>
        <w:rPr>
          <w:b w:val="false"/>
          <w:bCs w:val="false"/>
          <w:i w:val="false"/>
          <w:iCs w:val="false"/>
        </w:rPr>
        <w:t xml:space="preserve">Title: [TITLE]</w:t>
      </w:r>
    </w:p>
    <w:p>
      <w:pPr>
        <w:spacing w:after="160"/>
        <w:jc w:val="both"/>
      </w:pPr>
      <w:r>
        <w:rPr>
          <w:b w:val="false"/>
          <w:bCs w:val="false"/>
          <w:i w:val="false"/>
          <w:iCs w:val="false"/>
        </w:rPr>
        <w:t xml:space="preserve">Date: __________________________</w:t>
      </w:r>
    </w:p>
    <w:p>
      <w:pPr>
        <w:spacing w:after="120" w:before="240"/>
      </w:pPr>
      <w:r>
        <w:rPr>
          <w:b/>
          <w:bCs/>
        </w:rPr>
        <w:t xml:space="preserve">COMPANY:</w:t>
      </w:r>
    </w:p>
    <w:p>
      <w:pPr>
        <w:spacing w:after="160"/>
        <w:jc w:val="both"/>
      </w:pPr>
      <w:r>
        <w:rPr>
          <w:b w:val="false"/>
          <w:bCs w:val="false"/>
          <w:i w:val="false"/>
          <w:iCs w:val="false"/>
        </w:rPr>
        <w:t xml:space="preserve">[TARGET COMPANY NAME]</w:t>
      </w:r>
    </w:p>
    <w:p>
      <w:pPr>
        <w:spacing w:after="160"/>
        <w:jc w:val="both"/>
      </w:pPr>
      <w:r>
        <w:rPr>
          <w:b w:val="false"/>
          <w:bCs w:val="false"/>
          <w:i w:val="false"/>
          <w:iCs w:val="false"/>
        </w:rPr>
        <w:t xml:space="preserve">By: _______________________________</w:t>
      </w:r>
    </w:p>
    <w:p>
      <w:pPr>
        <w:spacing w:after="160"/>
        <w:jc w:val="both"/>
      </w:pPr>
      <w:r>
        <w:rPr>
          <w:b w:val="false"/>
          <w:bCs w:val="false"/>
          <w:i w:val="false"/>
          <w:iCs w:val="false"/>
        </w:rPr>
        <w:t xml:space="preserve">Name: [AUTHORIZED SIGNATORY]</w:t>
      </w:r>
    </w:p>
    <w:p>
      <w:pPr>
        <w:spacing w:after="160"/>
        <w:jc w:val="both"/>
      </w:pPr>
      <w:r>
        <w:rPr>
          <w:b w:val="false"/>
          <w:bCs w:val="false"/>
          <w:i w:val="false"/>
          <w:iCs w:val="false"/>
        </w:rPr>
        <w:t xml:space="preserve">Title: [TITLE]</w:t>
      </w:r>
    </w:p>
    <w:p>
      <w:pPr>
        <w:spacing w:after="160"/>
        <w:jc w:val="both"/>
      </w:pPr>
      <w:r>
        <w:rPr>
          <w:b w:val="false"/>
          <w:bCs w:val="false"/>
          <w:i w:val="false"/>
          <w:iCs w:val="false"/>
        </w:rPr>
        <w:t xml:space="preserve">Date: __________________________</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Montague Law | 130 W. Adams St., Jacksonville, FL 32202 | montague.law | </w:t>
    </w:r>
    <w:r>
      <w:rPr>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b/>
        <w:bCs/>
        <w:color w:val="666666"/>
        <w:sz w:val="18"/>
        <w:szCs w:val="18"/>
      </w:rPr>
      <w:t xml:space="preserve">Montague Law — FMA-015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Buy-Side PE Term Sheet — FMA-015</dc:title>
  <dc:creator>Montague Law</dc:creator>
  <cp:lastModifiedBy>Un-named</cp:lastModifiedBy>
  <cp:revision>1</cp:revision>
  <dcterms:created xsi:type="dcterms:W3CDTF">2026-10-06T23:30:18.892Z</dcterms:created>
  <dcterms:modified xsi:type="dcterms:W3CDTF">2026-10-06T23:30:18.893Z</dcterms:modified>
</cp:coreProperties>
</file>

<file path=docProps/custom.xml><?xml version="1.0" encoding="utf-8"?>
<Properties xmlns="http://schemas.openxmlformats.org/officeDocument/2006/custom-properties" xmlns:vt="http://schemas.openxmlformats.org/officeDocument/2006/docPropsVTypes"/>
</file>