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jc w:val="center"/>
      </w:pPr>
      <w:r>
        <w:rPr>
          <w:b/>
          <w:bCs/>
          <w:sz w:val="32"/>
          <w:szCs w:val="32"/>
        </w:rPr>
        <w:t xml:space="preserve">BUY-SIDE CONFIDENTIALITY AGREEMENT</w:t>
      </w:r>
    </w:p>
    <w:p>
      <w:pPr>
        <w:spacing w:after="360"/>
        <w:jc w:val="center"/>
      </w:pPr>
      <w:r>
        <w:rPr>
          <w:i/>
          <w:iCs/>
          <w:color w:val="666666"/>
          <w:sz w:val="20"/>
          <w:szCs w:val="20"/>
        </w:rPr>
        <w:t xml:space="preserve">Form FMA-014 — Montague Law Buy-Side M&amp;A Template</w:t>
      </w:r>
    </w:p>
    <w:p>
      <w:pPr>
        <w:spacing w:after="160"/>
        <w:jc w:val="both"/>
      </w:pPr>
      <w:r>
        <w:rPr>
          <w:b w:val="false"/>
          <w:bCs w:val="false"/>
          <w:i/>
          <w:iCs/>
        </w:rPr>
        <w:t xml:space="preserve">This template is provided for discussion and drafting purposes only. It does not describe any actual client, transaction, or representation, is not legal advice, and must be reviewed and adapted by counsel before use in any live transaction. Use of this template does not create an attorney-client relationship with Montague Law.</w:t>
      </w:r>
    </w:p>
    <w:p>
      <w:pPr>
        <w:pStyle w:val="Heading1"/>
        <w:spacing w:after="120" w:before="240"/>
      </w:pPr>
      <w:r>
        <w:rPr>
          <w:b/>
          <w:bCs/>
        </w:rPr>
        <w:t xml:space="preserve">Preamble and Parties</w:t>
      </w:r>
    </w:p>
    <w:p>
      <w:pPr>
        <w:spacing w:after="160"/>
        <w:jc w:val="both"/>
      </w:pPr>
      <w:r>
        <w:rPr>
          <w:b w:val="false"/>
          <w:bCs w:val="false"/>
          <w:i w:val="false"/>
          <w:iCs w:val="false"/>
        </w:rPr>
        <w:t xml:space="preserve">This Confidentiality Agreement (this “Agreement”) is entered into as of [DATE] (the “Effective Date”) by and between [BUYER NAME], a [STATE OF FORMATION] [ENTITY TYPE] (“Buyer” or “Receiving Party”), and [TARGET NAME], a [STATE OF FORMATION] [ENTITY TYPE] (“Company” or “Disclosing Party”). Buyer and Company are each referred to as a “Party” and collectively as the “Parties.”</w:t>
      </w:r>
    </w:p>
    <w:p>
      <w:pPr>
        <w:spacing w:after="160"/>
        <w:jc w:val="both"/>
      </w:pPr>
      <w:r>
        <w:rPr>
          <w:b w:val="false"/>
          <w:bCs w:val="false"/>
          <w:i w:val="false"/>
          <w:iCs w:val="false"/>
        </w:rPr>
        <w:t xml:space="preserve">The Parties are evaluating a possible negotiated transaction between them, which may take the form of a merger, stock purchase, asset purchase, recapitalization, or similar transaction (the “Transaction”). In connection with the Parties’ evaluation of the Transaction, Disclosing Party intends to make available to Buyer certain Confidential Information (as defined below), subject to the terms of this Agreement.</w:t>
      </w:r>
    </w:p>
    <w:p>
      <w:pPr>
        <w:pStyle w:val="Heading1"/>
        <w:spacing w:after="120" w:before="240"/>
      </w:pPr>
      <w:r>
        <w:rPr>
          <w:b/>
          <w:bCs/>
        </w:rPr>
        <w:t xml:space="preserve">Binding and Nonbinding Provisions</w:t>
      </w:r>
    </w:p>
    <w:p>
      <w:pPr>
        <w:spacing w:after="160"/>
        <w:jc w:val="both"/>
      </w:pPr>
      <w:r>
        <w:rPr>
          <w:b w:val="false"/>
          <w:bCs w:val="false"/>
          <w:i w:val="false"/>
          <w:iCs w:val="false"/>
        </w:rPr>
        <w:t xml:space="preserve">Sections 1 through 11 of this Agreement are intended to create legally binding obligations of the Parties. Nothing in this Agreement constitutes an offer, agreement, commitment, or obligation to proceed with the Transaction or to negotiate the terms of the Transaction, and no such offer, agreement, commitment, or obligation shall arise except by execution and delivery of a definitive written agreement.</w:t>
      </w:r>
    </w:p>
    <w:p>
      <w:pPr>
        <w:pStyle w:val="Heading2"/>
        <w:spacing w:after="120" w:before="240"/>
      </w:pPr>
      <w:r>
        <w:rPr>
          <w:b/>
          <w:bCs/>
        </w:rPr>
        <w:t xml:space="preserve">1. Confidential Information</w:t>
      </w:r>
    </w:p>
    <w:p>
      <w:pPr>
        <w:spacing w:after="160"/>
        <w:jc w:val="both"/>
      </w:pPr>
      <w:r>
        <w:rPr>
          <w:b w:val="false"/>
          <w:bCs w:val="false"/>
          <w:i w:val="false"/>
          <w:iCs w:val="false"/>
        </w:rPr>
        <w:t xml:space="preserve">“Confidential Information” means any information or data concerning the Disclosing Party or any of its subsidiaries, affiliates, or related entities that is furnished by the Disclosing Party or its Representatives to Buyer or its Representatives in connection with the Transaction, whether furnished before, on, or after the Effective Date, and whether in oral, written, electronic, or any other form.</w:t>
      </w:r>
    </w:p>
    <w:p>
      <w:pPr>
        <w:spacing w:after="160"/>
        <w:jc w:val="both"/>
      </w:pPr>
      <w:r>
        <w:rPr>
          <w:b w:val="false"/>
          <w:bCs w:val="false"/>
          <w:i w:val="false"/>
          <w:iCs w:val="false"/>
        </w:rPr>
        <w:t xml:space="preserve">Confidential Information does not include information that: (a) is or becomes generally available to the public other than as a result of a disclosure by Buyer or its Representatives in breach of this Agreement; (b) was in Buyer’s possession prior to disclosure by Disclosing Party, provided Buyer has no knowledge that the source of such information was bound by a duty of confidentiality; (c) is lawfully disclosed to Buyer by a third party not subject to a duty of confidentiality to Disclosing Party; or (d) is independently developed by Buyer without reference to the Confidential Information.</w:t>
      </w:r>
    </w:p>
    <w:p>
      <w:pPr>
        <w:pStyle w:val="Heading2"/>
        <w:spacing w:after="120" w:before="240"/>
      </w:pPr>
      <w:r>
        <w:rPr>
          <w:b/>
          <w:bCs/>
        </w:rPr>
        <w:t xml:space="preserve">2. Standstill and Carve-Outs</w:t>
      </w:r>
    </w:p>
    <w:p>
      <w:pPr>
        <w:spacing w:after="160"/>
        <w:jc w:val="both"/>
      </w:pPr>
      <w:r>
        <w:rPr>
          <w:b w:val="false"/>
          <w:bCs w:val="false"/>
          <w:i w:val="false"/>
          <w:iCs w:val="false"/>
        </w:rPr>
        <w:t xml:space="preserve">For a period of twelve (12) months from the Effective Date (the “Standstill Period”), Buyer shall not, and shall cause its controlled affiliates not to, without the prior written consent of the Company: (a) acquire or offer to acquire any securities or material assets of the Company; (b) propose or seek any merger, consolidation, business combination, or similar extraordinary transaction with the Company; (c) solicit proxies or consents to vote any Company securities; (d) form, join, or participate in a group with respect to any Company securities; or (e) publicly request a waiver of this Section.</w:t>
      </w:r>
    </w:p>
    <w:p>
      <w:pPr>
        <w:spacing w:after="160"/>
        <w:jc w:val="both"/>
      </w:pPr>
      <w:r>
        <w:rPr>
          <w:b w:val="false"/>
          <w:bCs w:val="false"/>
          <w:i w:val="false"/>
          <w:iCs w:val="false"/>
        </w:rPr>
        <w:t xml:space="preserve">The restrictions in this Section shall terminate immediately upon the occurrence of any of the following: (i) the Company enters into a definitive agreement providing for a transaction with a third party that would, if consummated, result in a change of control of the Company; (ii) a third party commences a bona fide tender or exchange offer for a majority of the Company’s outstanding voting securities and the Company does not within ten (10) business days publicly recommend against such offer; (iii) the Company grants to any third party a waiver of a comparable standstill undertaking, in which case Buyer shall be deemed to have been granted an equivalent waiver; or (iv) the Company publicly announces that it is initiating a sale process.</w:t>
      </w:r>
    </w:p>
    <w:p>
      <w:pPr>
        <w:spacing w:after="160"/>
        <w:jc w:val="both"/>
      </w:pPr>
      <w:r>
        <w:rPr>
          <w:b w:val="false"/>
          <w:bCs w:val="false"/>
          <w:i w:val="false"/>
          <w:iCs w:val="false"/>
        </w:rPr>
        <w:t xml:space="preserve">Buyer may at any time during the Standstill Period request a waiver of this Section in a confidential, written communication to the Company’s board of directors or its designated representative, and such request shall not itself constitute a breach of this Agreement.</w:t>
      </w:r>
    </w:p>
    <w:p>
      <w:pPr>
        <w:pStyle w:val="Heading2"/>
        <w:spacing w:after="120" w:before="240"/>
      </w:pPr>
      <w:r>
        <w:rPr>
          <w:b/>
          <w:bCs/>
        </w:rPr>
        <w:t xml:space="preserve">3. Clean-Team Provisions</w:t>
      </w:r>
    </w:p>
    <w:p>
      <w:pPr>
        <w:spacing w:after="160"/>
        <w:jc w:val="both"/>
      </w:pPr>
      <w:r>
        <w:rPr>
          <w:b w:val="false"/>
          <w:bCs w:val="false"/>
          <w:i w:val="false"/>
          <w:iCs w:val="false"/>
        </w:rPr>
        <w:t xml:space="preserve">The Parties acknowledge that certain Confidential Information is competitively sensitive, including customer-level pricing, customer lists, forward-looking commercial plans, bid data, and cost structure (collectively, “Competitively Sensitive Information”). Access to Competitively Sensitive Information shall be limited to Buyer’s outside counsel, Buyer’s outside economic consultants, and the designated individuals identified on Schedule A hereto (the “Clean Team”).</w:t>
      </w:r>
    </w:p>
    <w:p>
      <w:pPr>
        <w:spacing w:after="160"/>
        <w:jc w:val="both"/>
      </w:pPr>
      <w:r>
        <w:rPr>
          <w:b w:val="false"/>
          <w:bCs w:val="false"/>
          <w:i w:val="false"/>
          <w:iCs w:val="false"/>
        </w:rPr>
        <w:t xml:space="preserve">No member of the Clean Team shall share, discuss, or convey Competitively Sensitive Information with any employee, officer, or director of Buyer who has responsibility for commercial, pricing, sales, bid, or product-planning decisions in any market in which Buyer and the Company compete. The Clean Team shall be entitled to prepare summaries, analyses, and reports based on Competitively Sensitive Information, provided that any such summary circulated outside the Clean Team shall exclude the underlying competitively sensitive data.</w:t>
      </w:r>
    </w:p>
    <w:p>
      <w:pPr>
        <w:spacing w:after="160"/>
        <w:jc w:val="both"/>
      </w:pPr>
      <w:r>
        <w:rPr>
          <w:b w:val="false"/>
          <w:bCs w:val="false"/>
          <w:i w:val="false"/>
          <w:iCs w:val="false"/>
        </w:rPr>
        <w:t xml:space="preserve">The Company shall identify Confidential Information constituting Competitively Sensitive Information at the time of disclosure or in the structure of the virtual data room.</w:t>
      </w:r>
    </w:p>
    <w:p>
      <w:pPr>
        <w:pStyle w:val="Heading2"/>
        <w:spacing w:after="120" w:before="240"/>
      </w:pPr>
      <w:r>
        <w:rPr>
          <w:b/>
          <w:bCs/>
        </w:rPr>
        <w:t xml:space="preserve">4. Non-Solicitation and Non-Hire</w:t>
      </w:r>
    </w:p>
    <w:p>
      <w:pPr>
        <w:spacing w:after="160"/>
        <w:jc w:val="both"/>
      </w:pPr>
      <w:r>
        <w:rPr>
          <w:b w:val="false"/>
          <w:bCs w:val="false"/>
          <w:i w:val="false"/>
          <w:iCs w:val="false"/>
        </w:rPr>
        <w:t xml:space="preserve">For a period of twelve (12) months from the Effective Date, Buyer shall not, and shall cause its controlled affiliates not to, directly solicit for employment any employee of the Company holding a position at or above the level of director; provided, however, that the foregoing shall not prohibit: (a) general solicitation of employment (including through advertisements, LinkedIn posts, or recruiter searches) not specifically targeted at employees of the Company; (b) hires resulting from independent executive search firm engagements not directed at the Company’s employees; or (c) hires of individuals who approach Buyer unsolicited, including in response to a general solicitation permitted under clause (a).</w:t>
      </w:r>
    </w:p>
    <w:p>
      <w:pPr>
        <w:spacing w:after="160"/>
        <w:jc w:val="both"/>
      </w:pPr>
      <w:r>
        <w:rPr>
          <w:b w:val="false"/>
          <w:bCs w:val="false"/>
          <w:i w:val="false"/>
          <w:iCs w:val="false"/>
        </w:rPr>
        <w:t xml:space="preserve">For the avoidance of doubt, this Section imposes a non-solicit, not a no-hire, obligation on Buyer. Nothing in this Agreement restricts Buyer’s ability to hire any individual, provided the solicitation of that individual was permitted under this Section.</w:t>
      </w:r>
    </w:p>
    <w:p>
      <w:pPr>
        <w:pStyle w:val="Heading2"/>
        <w:spacing w:after="120" w:before="240"/>
      </w:pPr>
      <w:r>
        <w:rPr>
          <w:b/>
          <w:bCs/>
        </w:rPr>
        <w:t xml:space="preserve">5. Residual Rights</w:t>
      </w:r>
    </w:p>
    <w:p>
      <w:pPr>
        <w:spacing w:after="160"/>
        <w:jc w:val="both"/>
      </w:pPr>
      <w:r>
        <w:rPr>
          <w:b w:val="false"/>
          <w:bCs w:val="false"/>
          <w:i w:val="false"/>
          <w:iCs w:val="false"/>
        </w:rPr>
        <w:t xml:space="preserve">Nothing in this Agreement shall restrict Buyer or its Representatives from using Residuals in connection with Buyer’s business, provided that such use does not include the use of any documents, physical embodiments, or digital files containing Confidential Information, and does not identify the Company or any of its subsidiaries by name.</w:t>
      </w:r>
    </w:p>
    <w:p>
      <w:pPr>
        <w:spacing w:after="160"/>
        <w:jc w:val="both"/>
      </w:pPr>
      <w:r>
        <w:rPr>
          <w:b w:val="false"/>
          <w:bCs w:val="false"/>
          <w:i w:val="false"/>
          <w:iCs w:val="false"/>
        </w:rPr>
        <w:t xml:space="preserve">“Residuals” means ideas, concepts, know-how, and techniques retained in the unaided memory of Buyer’s personnel who have had access to Confidential Information. Memory is unaided if the individual did not consult or review any documents or other embodied Confidential Information. The use of Residuals shall not include any use for the purpose of competing with the Company in a specific pending bid, contract, or customer engagement identified in the Confidential Information. Trade secrets are excluded from the Residuals carve-out.</w:t>
      </w:r>
    </w:p>
    <w:p>
      <w:pPr>
        <w:pStyle w:val="Heading2"/>
        <w:spacing w:after="120" w:before="240"/>
      </w:pPr>
      <w:r>
        <w:rPr>
          <w:b/>
          <w:bCs/>
        </w:rPr>
        <w:t xml:space="preserve">6. Employee Contact and Single Point of Contact</w:t>
      </w:r>
    </w:p>
    <w:p>
      <w:pPr>
        <w:spacing w:after="160"/>
        <w:jc w:val="both"/>
      </w:pPr>
      <w:r>
        <w:rPr>
          <w:b w:val="false"/>
          <w:bCs w:val="false"/>
          <w:i w:val="false"/>
          <w:iCs w:val="false"/>
        </w:rPr>
        <w:t xml:space="preserve">Except through the single point of contact identified on Schedule B (the “Designated Representative”), Buyer shall not initiate contact with any officer, director, or employee of the Company regarding the Transaction. Approvals from the Designated Representative to contact a specific individual shall be acted upon within three (3) business days of request.</w:t>
      </w:r>
    </w:p>
    <w:p>
      <w:pPr>
        <w:spacing w:after="160"/>
        <w:jc w:val="both"/>
      </w:pPr>
      <w:r>
        <w:rPr>
          <w:b w:val="false"/>
          <w:bCs w:val="false"/>
          <w:i w:val="false"/>
          <w:iCs w:val="false"/>
        </w:rPr>
        <w:t xml:space="preserve">The restriction in this Section shall not apply to: (a) communications not relating to the Transaction, including the ordinary course of any existing commercial relationship between the Parties; (b) communications initiated by an officer, director, or employee of the Company; or (c) communications with any individual identified in writing by the Designated Representative as an approved contact.</w:t>
      </w:r>
    </w:p>
    <w:p>
      <w:pPr>
        <w:pStyle w:val="Heading2"/>
        <w:spacing w:after="120" w:before="240"/>
      </w:pPr>
      <w:r>
        <w:rPr>
          <w:b/>
          <w:bCs/>
        </w:rPr>
        <w:t xml:space="preserve">7. Privilege and Common Interest</w:t>
      </w:r>
    </w:p>
    <w:p>
      <w:pPr>
        <w:spacing w:after="160"/>
        <w:jc w:val="both"/>
      </w:pPr>
      <w:r>
        <w:rPr>
          <w:b w:val="false"/>
          <w:bCs w:val="false"/>
          <w:i w:val="false"/>
          <w:iCs w:val="false"/>
        </w:rPr>
        <w:t xml:space="preserve">The Parties recognize that they share a common legal interest in connection with the Transaction, including on matters of regulatory review, pending litigation at the Company, and tax structuring. Any Confidential Information or communication exchanged between the Parties or their respective counsel that is protected by the attorney-client privilege, the work-product doctrine, or any other privilege or protection shall remain subject to such privilege or protection, and the exchange shall not constitute a waiver of any privilege as to any third party.</w:t>
      </w:r>
    </w:p>
    <w:p>
      <w:pPr>
        <w:spacing w:after="160"/>
        <w:jc w:val="both"/>
      </w:pPr>
      <w:r>
        <w:rPr>
          <w:b w:val="false"/>
          <w:bCs w:val="false"/>
          <w:i w:val="false"/>
          <w:iCs w:val="false"/>
        </w:rPr>
        <w:t xml:space="preserve">The obligation to return or destroy Confidential Information set forth in Section 8 shall not apply to Buyer’s outside counsel’s internal work product, matter files, and litigation hold materials, provided such materials remain subject to the confidentiality obligations of this Agreement.</w:t>
      </w:r>
    </w:p>
    <w:p>
      <w:pPr>
        <w:pStyle w:val="Heading2"/>
        <w:spacing w:after="120" w:before="240"/>
      </w:pPr>
      <w:r>
        <w:rPr>
          <w:b/>
          <w:bCs/>
        </w:rPr>
        <w:t xml:space="preserve">8. Return or Destruction</w:t>
      </w:r>
    </w:p>
    <w:p>
      <w:pPr>
        <w:spacing w:after="160"/>
        <w:jc w:val="both"/>
      </w:pPr>
      <w:r>
        <w:rPr>
          <w:b w:val="false"/>
          <w:bCs w:val="false"/>
          <w:i w:val="false"/>
          <w:iCs w:val="false"/>
        </w:rPr>
        <w:t xml:space="preserve">Promptly upon the written request of the Disclosing Party, Buyer shall, at Buyer’s option, either (a) return to Disclosing Party all materially identifiable Confidential Information in Buyer’s possession or control, or (b) destroy such Confidential Information and certify such destruction in writing by a designated executive of Buyer or by outside counsel on behalf of Buyer.</w:t>
      </w:r>
    </w:p>
    <w:p>
      <w:pPr>
        <w:spacing w:after="160"/>
        <w:jc w:val="both"/>
      </w:pPr>
      <w:r>
        <w:rPr>
          <w:b w:val="false"/>
          <w:bCs w:val="false"/>
          <w:i w:val="false"/>
          <w:iCs w:val="false"/>
        </w:rPr>
        <w:t xml:space="preserve">The obligation to return or destroy shall not apply to: (i) Confidential Information retained in archival or backup systems in the ordinary course of Buyer’s electronic data retention policies, which Buyer is not required to erase or purge, provided such retained copies remain subject to the confidentiality obligations hereof; (ii) analyses, compilations, studies, and other documents prepared by Buyer or its Representatives that reflect or incorporate Confidential Information, if any portion of such documents is required for Buyer’s record-retention obligations; or (iii) outside counsel’s work product preserved pursuant to Section 7.</w:t>
      </w:r>
    </w:p>
    <w:p>
      <w:pPr>
        <w:pStyle w:val="Heading2"/>
        <w:spacing w:after="120" w:before="240"/>
      </w:pPr>
      <w:r>
        <w:rPr>
          <w:b/>
          <w:bCs/>
        </w:rPr>
        <w:t xml:space="preserve">9. No Representation; No Reliance Carve-Out</w:t>
      </w:r>
    </w:p>
    <w:p>
      <w:pPr>
        <w:spacing w:after="160"/>
        <w:jc w:val="both"/>
      </w:pPr>
      <w:r>
        <w:rPr>
          <w:b w:val="false"/>
          <w:bCs w:val="false"/>
          <w:i w:val="false"/>
          <w:iCs w:val="false"/>
        </w:rPr>
        <w:t xml:space="preserve">The Confidential Information is being furnished “as is” and the Disclosing Party makes no representation or warranty, express or implied, as to the accuracy or completeness of the Confidential Information. Buyer agrees that neither the Disclosing Party nor any of its Representatives shall have any liability to Buyer or its Representatives resulting from the use of the Confidential Information except as may be expressly set forth in a definitive agreement for the Transaction.</w:t>
      </w:r>
    </w:p>
    <w:p>
      <w:pPr>
        <w:spacing w:after="160"/>
        <w:jc w:val="both"/>
      </w:pPr>
      <w:r>
        <w:rPr>
          <w:b w:val="false"/>
          <w:bCs w:val="false"/>
          <w:i w:val="false"/>
          <w:iCs w:val="false"/>
        </w:rPr>
        <w:t xml:space="preserve">Notwithstanding the foregoing, this Section shall not be construed to limit Buyer’s rights or remedies with respect to any representation or warranty made in a definitive agreement for the Transaction or to limit either Party’s rights or remedies for fraud or intentional misrepresentation.</w:t>
      </w:r>
    </w:p>
    <w:p>
      <w:pPr>
        <w:pStyle w:val="Heading2"/>
        <w:spacing w:after="120" w:before="240"/>
      </w:pPr>
      <w:r>
        <w:rPr>
          <w:b/>
          <w:bCs/>
        </w:rPr>
        <w:t xml:space="preserve">10. Term</w:t>
      </w:r>
    </w:p>
    <w:p>
      <w:pPr>
        <w:spacing w:after="160"/>
        <w:jc w:val="both"/>
      </w:pPr>
      <w:r>
        <w:rPr>
          <w:b w:val="false"/>
          <w:bCs w:val="false"/>
          <w:i w:val="false"/>
          <w:iCs w:val="false"/>
        </w:rPr>
        <w:t xml:space="preserve">This Agreement shall remain in effect for a period of three (3) years from the Effective Date, except that the standstill obligations in Section 2 shall terminate at the end of the Standstill Period and the non-solicitation obligations in Section 4 shall terminate at the end of the twelve (12) month period described therein. The obligations in Sections 7 and 8 shall survive termination of this Agreement.</w:t>
      </w:r>
    </w:p>
    <w:p>
      <w:pPr>
        <w:pStyle w:val="Heading2"/>
        <w:spacing w:after="120" w:before="240"/>
      </w:pPr>
      <w:r>
        <w:rPr>
          <w:b/>
          <w:bCs/>
        </w:rPr>
        <w:t xml:space="preserve">11. Governing Law, Forum, and Equitable Relief</w:t>
      </w:r>
    </w:p>
    <w:p>
      <w:pPr>
        <w:spacing w:after="160"/>
        <w:jc w:val="both"/>
      </w:pPr>
      <w:r>
        <w:rPr>
          <w:b w:val="false"/>
          <w:bCs w:val="false"/>
          <w:i w:val="false"/>
          <w:iCs w:val="false"/>
        </w:rPr>
        <w:t xml:space="preserve">This Agreement shall be governed by the laws of [STATE OF GOVERNING LAW] without regard to its conflict-of-laws principles. The Parties consent to the exclusive jurisdiction of the state and federal courts located in [FORUM COUNTY, STATE], and each Party waives any objection to venue in such courts.</w:t>
      </w:r>
    </w:p>
    <w:p>
      <w:pPr>
        <w:spacing w:after="160"/>
        <w:jc w:val="both"/>
      </w:pPr>
      <w:r>
        <w:rPr>
          <w:b w:val="false"/>
          <w:bCs w:val="false"/>
          <w:i w:val="false"/>
          <w:iCs w:val="false"/>
        </w:rPr>
        <w:t xml:space="preserve">The Parties acknowledge that money damages may be inadequate to remedy a breach of this Agreement and that the non-breaching Party shall be entitled to seek injunctive relief and specific performance, subject to the applicable standards governing such relief, including the posting of bond consistent with applicable court rules. The prevailing Party in any action to enforce this Agreement shall be entitled to recover reasonable attorneys’ fees and costs.</w:t>
      </w:r>
    </w:p>
    <w:p>
      <w:pPr>
        <w:pStyle w:val="Heading1"/>
        <w:spacing w:after="120" w:before="240"/>
      </w:pPr>
      <w:r>
        <w:rPr>
          <w:b/>
          <w:bCs/>
        </w:rPr>
        <w:t xml:space="preserve">Signature Block</w:t>
      </w:r>
    </w:p>
    <w:p>
      <w:pPr>
        <w:spacing w:after="160"/>
        <w:jc w:val="both"/>
      </w:pPr>
      <w:r>
        <w:rPr>
          <w:b w:val="false"/>
          <w:bCs w:val="false"/>
          <w:i w:val="false"/>
          <w:iCs w:val="false"/>
        </w:rPr>
        <w:t xml:space="preserve">IN WITNESS WHEREOF, the Parties have executed this Agreement as of the Effective Date.</w:t>
      </w:r>
    </w:p>
    <w:p>
      <w:pPr>
        <w:spacing w:after="120" w:before="240"/>
      </w:pPr>
      <w:r>
        <w:rPr>
          <w:b/>
          <w:bCs/>
        </w:rPr>
        <w:t xml:space="preserve">BUYER:</w:t>
      </w:r>
    </w:p>
    <w:p>
      <w:pPr>
        <w:spacing w:after="160"/>
        <w:jc w:val="both"/>
      </w:pPr>
      <w:r>
        <w:rPr>
          <w:b w:val="false"/>
          <w:bCs w:val="false"/>
          <w:i w:val="false"/>
          <w:iCs w:val="false"/>
        </w:rPr>
        <w:t xml:space="preserve">[BUYER NAME]</w:t>
      </w:r>
    </w:p>
    <w:p>
      <w:pPr>
        <w:spacing w:after="160"/>
        <w:jc w:val="both"/>
      </w:pPr>
      <w:r>
        <w:rPr>
          <w:b w:val="false"/>
          <w:bCs w:val="false"/>
          <w:i w:val="false"/>
          <w:iCs w:val="false"/>
        </w:rPr>
        <w:t xml:space="preserve">By: _______________________________</w:t>
      </w:r>
    </w:p>
    <w:p>
      <w:pPr>
        <w:spacing w:after="160"/>
        <w:jc w:val="both"/>
      </w:pPr>
      <w:r>
        <w:rPr>
          <w:b w:val="false"/>
          <w:bCs w:val="false"/>
          <w:i w:val="false"/>
          <w:iCs w:val="false"/>
        </w:rPr>
        <w:t xml:space="preserve">Name: [AUTHORIZED SIGNATORY]</w:t>
      </w:r>
    </w:p>
    <w:p>
      <w:pPr>
        <w:spacing w:after="160"/>
        <w:jc w:val="both"/>
      </w:pPr>
      <w:r>
        <w:rPr>
          <w:b w:val="false"/>
          <w:bCs w:val="false"/>
          <w:i w:val="false"/>
          <w:iCs w:val="false"/>
        </w:rPr>
        <w:t xml:space="preserve">Title: [TITLE]</w:t>
      </w:r>
    </w:p>
    <w:p>
      <w:pPr>
        <w:spacing w:after="120" w:before="240"/>
      </w:pPr>
      <w:r>
        <w:rPr>
          <w:b/>
          <w:bCs/>
        </w:rPr>
        <w:t xml:space="preserve">COMPANY:</w:t>
      </w:r>
    </w:p>
    <w:p>
      <w:pPr>
        <w:spacing w:after="160"/>
        <w:jc w:val="both"/>
      </w:pPr>
      <w:r>
        <w:rPr>
          <w:b w:val="false"/>
          <w:bCs w:val="false"/>
          <w:i w:val="false"/>
          <w:iCs w:val="false"/>
        </w:rPr>
        <w:t xml:space="preserve">[TARGET NAME]</w:t>
      </w:r>
    </w:p>
    <w:p>
      <w:pPr>
        <w:spacing w:after="160"/>
        <w:jc w:val="both"/>
      </w:pPr>
      <w:r>
        <w:rPr>
          <w:b w:val="false"/>
          <w:bCs w:val="false"/>
          <w:i w:val="false"/>
          <w:iCs w:val="false"/>
        </w:rPr>
        <w:t xml:space="preserve">By: _______________________________</w:t>
      </w:r>
    </w:p>
    <w:p>
      <w:pPr>
        <w:spacing w:after="160"/>
        <w:jc w:val="both"/>
      </w:pPr>
      <w:r>
        <w:rPr>
          <w:b w:val="false"/>
          <w:bCs w:val="false"/>
          <w:i w:val="false"/>
          <w:iCs w:val="false"/>
        </w:rPr>
        <w:t xml:space="preserve">Name: [AUTHORIZED SIGNATORY]</w:t>
      </w:r>
    </w:p>
    <w:p>
      <w:pPr>
        <w:spacing w:after="160"/>
        <w:jc w:val="both"/>
      </w:pPr>
      <w:r>
        <w:rPr>
          <w:b w:val="false"/>
          <w:bCs w:val="false"/>
          <w:i w:val="false"/>
          <w:iCs w:val="false"/>
        </w:rPr>
        <w:t xml:space="preserve">Title: [TITLE]</w:t>
      </w:r>
    </w:p>
    <w:p>
      <w:pPr>
        <w:pStyle w:val="Heading1"/>
        <w:spacing w:after="120" w:before="240"/>
      </w:pPr>
      <w:r>
        <w:rPr>
          <w:b/>
          <w:bCs/>
        </w:rPr>
        <w:t xml:space="preserve">Schedule A — Clean Team Members</w:t>
      </w:r>
    </w:p>
    <w:p>
      <w:pPr>
        <w:spacing w:after="160"/>
        <w:jc w:val="both"/>
      </w:pPr>
      <w:r>
        <w:rPr>
          <w:b w:val="false"/>
          <w:bCs w:val="false"/>
          <w:i w:val="false"/>
          <w:iCs w:val="false"/>
        </w:rPr>
        <w:t xml:space="preserve">[LIST OF BUYER PERSONNEL AUTHORIZED TO ACCESS COMPETITIVELY SENSITIVE INFORMATION, BY NAME AND TITLE]</w:t>
      </w:r>
    </w:p>
    <w:p>
      <w:pPr>
        <w:pStyle w:val="Heading1"/>
        <w:spacing w:after="120" w:before="240"/>
      </w:pPr>
      <w:r>
        <w:rPr>
          <w:b/>
          <w:bCs/>
        </w:rPr>
        <w:t xml:space="preserve">Schedule B — Designated Representative</w:t>
      </w:r>
    </w:p>
    <w:p>
      <w:pPr>
        <w:spacing w:after="160"/>
        <w:jc w:val="both"/>
      </w:pPr>
      <w:r>
        <w:rPr>
          <w:b w:val="false"/>
          <w:bCs w:val="false"/>
          <w:i w:val="false"/>
          <w:iCs w:val="false"/>
        </w:rPr>
        <w:t xml:space="preserve">Name: [DESIGNATED REPRESENTATIVE]</w:t>
      </w:r>
    </w:p>
    <w:p>
      <w:pPr>
        <w:spacing w:after="160"/>
        <w:jc w:val="both"/>
      </w:pPr>
      <w:r>
        <w:rPr>
          <w:b w:val="false"/>
          <w:bCs w:val="false"/>
          <w:i w:val="false"/>
          <w:iCs w:val="false"/>
        </w:rPr>
        <w:t xml:space="preserve">Title: [TITLE]</w:t>
      </w:r>
    </w:p>
    <w:p>
      <w:pPr>
        <w:spacing w:after="160"/>
        <w:jc w:val="both"/>
      </w:pPr>
      <w:r>
        <w:rPr>
          <w:b w:val="false"/>
          <w:bCs w:val="false"/>
          <w:i w:val="false"/>
          <w:iCs w:val="false"/>
        </w:rPr>
        <w:t xml:space="preserve">Email: [EMAIL]</w:t>
      </w:r>
    </w:p>
    <w:p>
      <w:pPr>
        <w:spacing w:after="160"/>
        <w:jc w:val="both"/>
      </w:pPr>
      <w:r>
        <w:rPr>
          <w:b w:val="false"/>
          <w:bCs w:val="false"/>
          <w:i w:val="false"/>
          <w:iCs w:val="false"/>
        </w:rPr>
        <w:t xml:space="preserve">Phone: [PHONE]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6"/>
        <w:szCs w:val="16"/>
      </w:rPr>
      <w:t xml:space="preserve">Montague Law | 130 W. Adams St., Jacksonville, FL 32202 | montague.law | </w:t>
    </w:r>
    <w:r>
      <w:rPr>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b/>
        <w:bCs/>
        <w:color w:val="666666"/>
        <w:sz w:val="18"/>
        <w:szCs w:val="18"/>
      </w:rPr>
      <w:t xml:space="preserve">Montague Law — FMA-014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Buy-Side Confidentiality Agreement — FMA-014</dc:title>
  <dc:creator>Montague Law</dc:creator>
  <cp:lastModifiedBy>Un-named</cp:lastModifiedBy>
  <cp:revision>1</cp:revision>
  <dcterms:created xsi:type="dcterms:W3CDTF">2026-10-06T23:30:18.803Z</dcterms:created>
  <dcterms:modified xsi:type="dcterms:W3CDTF">2026-10-06T23:30:18.804Z</dcterms:modified>
</cp:coreProperties>
</file>

<file path=docProps/custom.xml><?xml version="1.0" encoding="utf-8"?>
<Properties xmlns="http://schemas.openxmlformats.org/officeDocument/2006/custom-properties" xmlns:vt="http://schemas.openxmlformats.org/officeDocument/2006/docPropsVTypes"/>
</file>