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Stockholder Agreement Joinder and Transfer-Restriction Adoption Agreement — Private Company Transferee</w:t>
      </w:r>
    </w:p>
    <w:p>
      <w:pPr>
        <w:widowControl/>
        <w:spacing w:after="240"/>
        <w:jc w:val="center"/>
      </w:pPr>
      <w:r>
        <w:rPr>
          <w:rFonts w:ascii="Times New Roman" w:hAnsi="Times New Roman"/>
          <w:b/>
          <w:sz w:val="20"/>
        </w:rPr>
        <w:t>EF-091  |  VERSION 1.0.0  |  29 SEPTEMBER 2026</w:t>
      </w:r>
    </w:p>
    <w:p>
      <w:pPr>
        <w:pStyle w:val="PractitionerBanner"/>
        <w:widowControl/>
        <w:shd w:fill="F2F2F2"/>
      </w:pPr>
      <w:r>
        <w:t>PRACTITIONER MASTER — EDUCATIONAL STARTING POINT ONLY. A joinder must be conformed to the actual agreements, defined stockholder category and permitted-transfer provisions. It cannot grant rights that do not run with the shares or bind non-signatories beyond the governing documents.</w:t>
      </w:r>
    </w:p>
    <w:p>
      <w:pPr>
        <w:pStyle w:val="Heading2"/>
        <w:widowControl/>
        <w:ind w:left="0" w:firstLine="0"/>
        <w:jc w:val="center"/>
      </w:pPr>
      <w:r>
        <w:rPr>
          <w:rFonts w:ascii="Times New Roman" w:hAnsi="Times New Roman"/>
          <w:b/>
          <w:sz w:val="24"/>
          <w:u w:val="none"/>
        </w:rPr>
        <w:t>Matter Completion Sheet — Complete Before Circulation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Topic</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input</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Completion / reviewer</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Company / transferee</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[TRANSFEREE]; entity/trust details; beneficial owner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Transferor / shares</w:t>
            </w:r>
          </w:p>
        </w:tc>
        <w:tc>
          <w:tcPr>
            <w:tcW w:type="dxa" w:w="6120"/>
            <w:vAlign w:val="center"/>
            <w:tcMar>
              <w:top w:w="55" w:type="dxa"/>
              <w:start w:w="70" w:type="dxa"/>
              <w:bottom w:w="55" w:type="dxa"/>
              <w:end w:w="70" w:type="dxa"/>
            </w:tcMar>
          </w:tcPr>
          <w:p>
            <w:pPr>
              <w:spacing w:after="0"/>
            </w:pPr>
            <w:r>
              <w:rPr>
                <w:rFonts w:ascii="Times New Roman" w:hAnsi="Times New Roman"/>
                <w:sz w:val="17"/>
              </w:rPr>
              <w:t>[TRANSFEROR]; number; class/series; acquisition date; certificate/book entry</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Joined agreements</w:t>
            </w:r>
          </w:p>
        </w:tc>
        <w:tc>
          <w:tcPr>
            <w:tcW w:type="dxa" w:w="6120"/>
            <w:vAlign w:val="center"/>
            <w:tcMar>
              <w:top w:w="55" w:type="dxa"/>
              <w:start w:w="70" w:type="dxa"/>
              <w:bottom w:w="55" w:type="dxa"/>
              <w:end w:w="70" w:type="dxa"/>
            </w:tcMar>
          </w:tcPr>
          <w:p>
            <w:pPr>
              <w:spacing w:after="0"/>
            </w:pPr>
            <w:r>
              <w:rPr>
                <w:rFonts w:ascii="Times New Roman" w:hAnsi="Times New Roman"/>
                <w:sz w:val="17"/>
              </w:rPr>
              <w:t>Exact titles, dates, amendments and joinder provisions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Stockholder category</w:t>
            </w:r>
          </w:p>
        </w:tc>
        <w:tc>
          <w:tcPr>
            <w:tcW w:type="dxa" w:w="6120"/>
            <w:vAlign w:val="center"/>
            <w:tcMar>
              <w:top w:w="55" w:type="dxa"/>
              <w:start w:w="70" w:type="dxa"/>
              <w:bottom w:w="55" w:type="dxa"/>
              <w:end w:w="70" w:type="dxa"/>
            </w:tcMar>
          </w:tcPr>
          <w:p>
            <w:pPr>
              <w:spacing w:after="0"/>
            </w:pPr>
            <w:r>
              <w:rPr>
                <w:rFonts w:ascii="Times New Roman" w:hAnsi="Times New Roman"/>
                <w:sz w:val="17"/>
              </w:rPr>
              <w:t>Founder, key holder, investor, common holder, permitted transferee, major investor or other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Rights that transfer</w:t>
            </w:r>
          </w:p>
        </w:tc>
        <w:tc>
          <w:tcPr>
            <w:tcW w:type="dxa" w:w="6120"/>
            <w:vAlign w:val="center"/>
            <w:tcMar>
              <w:top w:w="55" w:type="dxa"/>
              <w:start w:w="70" w:type="dxa"/>
              <w:bottom w:w="55" w:type="dxa"/>
              <w:end w:w="70" w:type="dxa"/>
            </w:tcMar>
          </w:tcPr>
          <w:p>
            <w:pPr>
              <w:spacing w:after="0"/>
            </w:pPr>
            <w:r>
              <w:rPr>
                <w:rFonts w:ascii="Times New Roman" w:hAnsi="Times New Roman"/>
                <w:sz w:val="17"/>
              </w:rPr>
              <w:t>Information, registration, preemptive, voting, board, observer, ROFR/co-sale or none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Personal rights excluded</w:t>
            </w:r>
          </w:p>
        </w:tc>
        <w:tc>
          <w:tcPr>
            <w:tcW w:type="dxa" w:w="6120"/>
            <w:vAlign w:val="center"/>
            <w:tcMar>
              <w:top w:w="55" w:type="dxa"/>
              <w:start w:w="70" w:type="dxa"/>
              <w:bottom w:w="55" w:type="dxa"/>
              <w:end w:w="70" w:type="dxa"/>
            </w:tcMar>
          </w:tcPr>
          <w:p>
            <w:pPr>
              <w:spacing w:after="0"/>
            </w:pPr>
            <w:r>
              <w:rPr>
                <w:rFonts w:ascii="Times New Roman" w:hAnsi="Times New Roman"/>
                <w:sz w:val="17"/>
              </w:rPr>
              <w:t>Founder/service, board designation, major-investor, threshold or other nontransferable rights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Continuing restrictions</w:t>
            </w:r>
          </w:p>
        </w:tc>
        <w:tc>
          <w:tcPr>
            <w:tcW w:type="dxa" w:w="6120"/>
            <w:vAlign w:val="center"/>
            <w:tcMar>
              <w:top w:w="55" w:type="dxa"/>
              <w:start w:w="70" w:type="dxa"/>
              <w:bottom w:w="55" w:type="dxa"/>
              <w:end w:w="70" w:type="dxa"/>
            </w:tcMar>
          </w:tcPr>
          <w:p>
            <w:pPr>
              <w:spacing w:after="0"/>
            </w:pPr>
            <w:r>
              <w:rPr>
                <w:rFonts w:ascii="Times New Roman" w:hAnsi="Times New Roman"/>
                <w:sz w:val="17"/>
              </w:rPr>
              <w:t>Transfer, lock-up, drag, ROFR, co-sale, voting, confidentiality, market standoff</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Notices</w:t>
            </w:r>
          </w:p>
        </w:tc>
        <w:tc>
          <w:tcPr>
            <w:tcW w:type="dxa" w:w="6120"/>
            <w:vAlign w:val="center"/>
            <w:tcMar>
              <w:top w:w="55" w:type="dxa"/>
              <w:start w:w="70" w:type="dxa"/>
              <w:bottom w:w="55" w:type="dxa"/>
              <w:end w:w="70" w:type="dxa"/>
            </w:tcMar>
          </w:tcPr>
          <w:p>
            <w:pPr>
              <w:spacing w:after="0"/>
            </w:pPr>
            <w:r>
              <w:rPr>
                <w:rFonts w:ascii="Times New Roman" w:hAnsi="Times New Roman"/>
                <w:sz w:val="17"/>
              </w:rPr>
              <w:t>Address, email, attention, copy recipient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Additional consents</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requisite holders, transferor, spouse/partner, lender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Counsel confirmation</w:t>
            </w:r>
          </w:p>
        </w:tc>
        <w:tc>
          <w:tcPr>
            <w:tcW w:type="dxa" w:w="6120"/>
            <w:vAlign w:val="center"/>
            <w:tcMar>
              <w:top w:w="55" w:type="dxa"/>
              <w:start w:w="70" w:type="dxa"/>
              <w:bottom w:w="55" w:type="dxa"/>
              <w:end w:w="70" w:type="dxa"/>
            </w:tcMar>
          </w:tcPr>
          <w:p>
            <w:pPr>
              <w:spacing w:after="0"/>
            </w:pPr>
            <w:r>
              <w:rPr>
                <w:rFonts w:ascii="Times New Roman" w:hAnsi="Times New Roman"/>
                <w:sz w:val="17"/>
              </w:rPr>
              <w:t>No conflicts among agreements; governing law; enforceability; legends/notices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1"/>
        <w:widowControl/>
      </w:pPr>
      <w:r>
        <w:rPr>
          <w:rFonts w:ascii="Times New Roman" w:hAnsi="Times New Roman"/>
          <w:b/>
          <w:sz w:val="24"/>
          <w:u w:val="none"/>
        </w:rPr>
        <w:t>JOINDER AND ADOPTION AGREEMENT</w:t>
      </w:r>
    </w:p>
    <w:p>
      <w:pPr>
        <w:keepLines w:val="0"/>
        <w:widowControl/>
        <w:ind w:firstLine="720"/>
        <w:jc w:val="both"/>
      </w:pPr>
      <w:r>
        <w:t xml:space="preserve">This Stockholder Agreement Joinder and Transfer-Restriction Adoption Agreement (this </w:t>
      </w:r>
      <w:r>
        <w:rPr>
          <w:b/>
          <w:i/>
        </w:rPr>
        <w:t>“Joinder”</w:t>
      </w:r>
      <w:r>
        <w:t>) is entered into as of [DATE] by [TRANSFEREE LEGAL NAME], a [JURISDICTION AND ENTITY TYPE / INDIVIDUAL] (</w:t>
      </w:r>
      <w:r>
        <w:rPr>
          <w:b/>
          <w:i/>
        </w:rPr>
        <w:t>“Transferee”</w:t>
      </w:r>
      <w:r>
        <w:t xml:space="preserve">), for the benefit of [COMPANY LEGAL NAME], a [STATE] corporation (the </w:t>
      </w:r>
      <w:r>
        <w:rPr>
          <w:b/>
          <w:i/>
        </w:rPr>
        <w:t>“Company”</w:t>
      </w:r>
      <w:r>
        <w:t>), and the parties to the Joined Agreements identified on Schedule 1.</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A. [TRANSFEROR] (</w:t>
      </w:r>
      <w:r>
        <w:rPr>
          <w:b/>
          <w:i/>
        </w:rPr>
        <w:t>“Transferor”</w:t>
      </w:r>
      <w:r>
        <w:t xml:space="preserve">) has agreed to transfer to Transferee the securities identified on Schedule 2 (the </w:t>
      </w:r>
      <w:r>
        <w:rPr>
          <w:b/>
          <w:i/>
        </w:rPr>
        <w:t>“Transferred Securities”</w:t>
      </w:r>
      <w:r>
        <w:t>), subject to the Company’s approval and the governing documents.</w:t>
      </w:r>
    </w:p>
    <w:p>
      <w:pPr>
        <w:widowControl/>
        <w:ind w:left="720" w:hanging="360"/>
        <w:jc w:val="both"/>
      </w:pPr>
      <w:r>
        <w:t>B. The Joined Agreements require or permit a transferee to become a party, assume specified obligations or make specified representations as a condition to registration of transfer.</w:t>
      </w:r>
    </w:p>
    <w:p>
      <w:pPr>
        <w:widowControl/>
        <w:ind w:left="720" w:hanging="360"/>
        <w:jc w:val="both"/>
      </w:pPr>
      <w:r>
        <w:t>C. Transferee desires to adopt the applicable terms of the Joined Agreements in the capacity and only to the extent stated in this Joinder.</w:t>
      </w:r>
    </w:p>
    <w:p>
      <w:pPr>
        <w:keepLines w:val="0"/>
        <w:widowControl/>
        <w:ind w:firstLine="720"/>
        <w:jc w:val="both"/>
      </w:pPr>
      <w:r>
        <w:t>The parties therefore agree as follows:</w:t>
      </w:r>
    </w:p>
    <w:p>
      <w:pPr>
        <w:pStyle w:val="Heading2"/>
        <w:widowControl/>
        <w:ind w:left="0" w:firstLine="0"/>
      </w:pPr>
      <w:r>
        <w:rPr>
          <w:rFonts w:ascii="Times New Roman" w:hAnsi="Times New Roman"/>
          <w:b/>
          <w:sz w:val="22"/>
          <w:u w:val="single"/>
        </w:rPr>
        <w:t>1. Joined Agreements and Incorporated Terms</w:t>
      </w:r>
    </w:p>
    <w:p>
      <w:pPr>
        <w:pStyle w:val="Heading3"/>
        <w:widowControl/>
        <w:ind w:left="0" w:firstLine="0"/>
      </w:pPr>
      <w:r>
        <w:rPr>
          <w:rFonts w:ascii="Times New Roman" w:hAnsi="Times New Roman"/>
          <w:b/>
          <w:sz w:val="22"/>
          <w:u w:val="single"/>
        </w:rPr>
        <w:t>1.1 Joined Agreements</w:t>
      </w:r>
    </w:p>
    <w:p>
      <w:pPr>
        <w:keepLines w:val="0"/>
        <w:widowControl/>
        <w:ind w:firstLine="720"/>
        <w:jc w:val="both"/>
      </w:pPr>
      <w:r>
        <w:t xml:space="preserve">Each agreement listed on Schedule 1, including its amendments and supplements expressly identified there, is a </w:t>
      </w:r>
      <w:r>
        <w:rPr>
          <w:b/>
          <w:i/>
        </w:rPr>
        <w:t>“Joined Agreement.”</w:t>
      </w:r>
      <w:r>
        <w:t xml:space="preserve"> The Company shall attach or provide a complete execution copy of each Joined Agreement before Transferee signs. A document omitted from Schedule 1 is not incorporated merely because it is referenced in another agreement, except to the extent the Joined Agreement validly incorporates it and counsel confirms the resulting obligation.</w:t>
      </w:r>
    </w:p>
    <w:p>
      <w:pPr>
        <w:pStyle w:val="Heading3"/>
        <w:widowControl/>
        <w:ind w:left="0" w:firstLine="0"/>
      </w:pPr>
      <w:r>
        <w:rPr>
          <w:rFonts w:ascii="Times New Roman" w:hAnsi="Times New Roman"/>
          <w:b/>
          <w:sz w:val="22"/>
          <w:u w:val="single"/>
        </w:rPr>
        <w:t>1.2 Defined Terms</w:t>
      </w:r>
    </w:p>
    <w:p>
      <w:pPr>
        <w:widowControl/>
        <w:ind w:firstLine="720"/>
        <w:jc w:val="both"/>
      </w:pPr>
      <w:r>
        <w:t xml:space="preserve">Capitalized terms not defined in this Joinder have the meanings in the applicable Joined Agreement. If the same term has different meanings, it applies separately within each Joined Agreement. </w:t>
      </w:r>
      <w:r>
        <w:rPr>
          <w:b/>
          <w:i/>
        </w:rPr>
        <w:t>“Applicable Capacity”</w:t>
      </w:r>
      <w:r>
        <w:t xml:space="preserve"> means the stockholder category shown for that Joined Agreement on Schedule 1.</w:t>
      </w:r>
    </w:p>
    <w:p>
      <w:pPr>
        <w:pStyle w:val="Heading3"/>
        <w:widowControl/>
        <w:ind w:left="0" w:firstLine="0"/>
      </w:pPr>
      <w:r>
        <w:rPr>
          <w:rFonts w:ascii="Times New Roman" w:hAnsi="Times New Roman"/>
          <w:b/>
          <w:sz w:val="22"/>
          <w:u w:val="single"/>
        </w:rPr>
        <w:t>1.3 Priority and Conflict</w:t>
      </w:r>
    </w:p>
    <w:p>
      <w:pPr>
        <w:keepLines w:val="0"/>
        <w:widowControl/>
        <w:ind w:firstLine="720"/>
        <w:jc w:val="both"/>
      </w:pPr>
      <w:r>
        <w:t>This Joinder supplements and does not amend a Joined Agreement. If this Joinder conflicts with a Joined Agreement, the Joined Agreement controls, except that an express matter-specific limitation signed by the Company and every person whose rights are adversely affected may control to the extent the Joined Agreement permits. The Company’s certificate of incorporation and mandatory law control over inconsistent contractual terms.</w:t>
      </w:r>
    </w:p>
    <w:p>
      <w:pPr>
        <w:pStyle w:val="Heading2"/>
        <w:widowControl/>
        <w:ind w:left="0" w:firstLine="0"/>
      </w:pPr>
      <w:r>
        <w:rPr>
          <w:rFonts w:ascii="Times New Roman" w:hAnsi="Times New Roman"/>
          <w:b/>
          <w:sz w:val="22"/>
          <w:u w:val="single"/>
        </w:rPr>
        <w:t>2. Adoption and Assumption</w:t>
      </w:r>
    </w:p>
    <w:p>
      <w:pPr>
        <w:pStyle w:val="Heading3"/>
        <w:widowControl/>
        <w:ind w:left="0" w:firstLine="0"/>
      </w:pPr>
      <w:r>
        <w:rPr>
          <w:rFonts w:ascii="Times New Roman" w:hAnsi="Times New Roman"/>
          <w:b/>
          <w:sz w:val="22"/>
          <w:u w:val="single"/>
        </w:rPr>
        <w:t>2.1 Becoming a Party</w:t>
      </w:r>
    </w:p>
    <w:p>
      <w:pPr>
        <w:widowControl/>
        <w:ind w:firstLine="720"/>
        <w:jc w:val="both"/>
      </w:pPr>
      <w:r>
        <w:t>Effective only upon the Closing and registration of the Transferred Securities in Transferee’s name, Transferee becomes a party to each Joined Agreement in the Applicable Capacity and agrees to be bound as though an original signatory in that capacity.</w:t>
      </w:r>
    </w:p>
    <w:p>
      <w:pPr>
        <w:pStyle w:val="Heading3"/>
        <w:widowControl/>
        <w:ind w:left="0" w:firstLine="0"/>
      </w:pPr>
      <w:r>
        <w:rPr>
          <w:rFonts w:ascii="Times New Roman" w:hAnsi="Times New Roman"/>
          <w:b/>
          <w:sz w:val="22"/>
          <w:u w:val="single"/>
        </w:rPr>
        <w:t>2.2 Obligations Assumed</w:t>
      </w:r>
    </w:p>
    <w:p>
      <w:pPr>
        <w:widowControl/>
        <w:ind w:firstLine="720"/>
        <w:jc w:val="both"/>
      </w:pPr>
      <w:r>
        <w:t>Transferee assumes the obligations applicable to the Transferred Securities or Applicable Capacity, including as identified in the Joined Agreements: transfer restrictions; rights of first refusal and first offer; co-sale and drag-along obligations; voting commitments; market standoff or lock-up provisions; confidentiality; legends and notices; notice obligations; further assurances; dispute resolution; and successor or permitted-transferee obligations.</w:t>
      </w:r>
    </w:p>
    <w:p>
      <w:pPr>
        <w:pStyle w:val="Heading3"/>
        <w:widowControl/>
        <w:ind w:left="0" w:firstLine="0"/>
      </w:pPr>
      <w:r>
        <w:rPr>
          <w:rFonts w:ascii="Times New Roman" w:hAnsi="Times New Roman"/>
          <w:b/>
          <w:sz w:val="22"/>
          <w:u w:val="single"/>
        </w:rPr>
        <w:t>2.3 No Assumption of Transferor’s Personal Liabilities</w:t>
      </w:r>
    </w:p>
    <w:p>
      <w:pPr>
        <w:widowControl/>
        <w:ind w:firstLine="720"/>
        <w:jc w:val="both"/>
      </w:pPr>
      <w:r>
        <w:t>Except as expressly listed on Schedule 3, Transferee does not assume Transferor’s accrued payment obligations, indemnity for Transferor’s pre-Closing breach, employment or service duties, tax liabilities, personal representations, confidentiality breaches, or other liabilities not running with the Transferred Securities.</w:t>
      </w:r>
    </w:p>
    <w:p>
      <w:pPr>
        <w:pStyle w:val="Heading3"/>
        <w:widowControl/>
        <w:ind w:left="0" w:firstLine="0"/>
      </w:pPr>
      <w:r>
        <w:rPr>
          <w:rFonts w:ascii="Times New Roman" w:hAnsi="Times New Roman"/>
          <w:b/>
          <w:sz w:val="22"/>
          <w:u w:val="single"/>
        </w:rPr>
        <w:t>2.4 No Release of Transferor</w:t>
      </w:r>
    </w:p>
    <w:p>
      <w:pPr>
        <w:keepLines w:val="0"/>
        <w:widowControl/>
        <w:ind w:firstLine="720"/>
        <w:jc w:val="both"/>
      </w:pPr>
      <w:r>
        <w:t>This Joinder does not release Transferor from any liability or obligation unless the Company and each required counterparty expressly release it in a separate signed writing. Any obligation that by its terms continues after transfer remains enforceable.</w:t>
      </w:r>
    </w:p>
    <w:p>
      <w:pPr>
        <w:pStyle w:val="Heading2"/>
        <w:widowControl/>
        <w:ind w:left="0" w:firstLine="0"/>
      </w:pPr>
      <w:r>
        <w:rPr>
          <w:rFonts w:ascii="Times New Roman" w:hAnsi="Times New Roman"/>
          <w:b/>
          <w:sz w:val="22"/>
          <w:u w:val="single"/>
        </w:rPr>
        <w:t>3. Rights Associated with the Transferred Securities</w:t>
      </w:r>
    </w:p>
    <w:p>
      <w:pPr>
        <w:pStyle w:val="Heading3"/>
        <w:widowControl/>
        <w:ind w:left="0" w:firstLine="0"/>
      </w:pPr>
      <w:r>
        <w:rPr>
          <w:rFonts w:ascii="Times New Roman" w:hAnsi="Times New Roman"/>
          <w:b/>
          <w:sz w:val="22"/>
          <w:u w:val="single"/>
        </w:rPr>
        <w:t>3.1 Rights That Run with the Securities</w:t>
      </w:r>
    </w:p>
    <w:p>
      <w:pPr>
        <w:widowControl/>
        <w:ind w:firstLine="720"/>
        <w:jc w:val="both"/>
      </w:pPr>
      <w:r>
        <w:t>Subject to the Joined Agreements, thresholds and Schedule 3, Transferee may exercise rights that expressly transfer with the Transferred Securities, but only after the Company recognizes Transferee as a party and record holder. Rights are calculated using Transferee’s eligible holdings, aggregation rules and Affiliate holdings only as the applicable agreement provides.</w:t>
      </w:r>
    </w:p>
    <w:p>
      <w:pPr>
        <w:pStyle w:val="Heading3"/>
        <w:widowControl/>
        <w:ind w:left="0" w:firstLine="0"/>
      </w:pPr>
      <w:r>
        <w:rPr>
          <w:rFonts w:ascii="Times New Roman" w:hAnsi="Times New Roman"/>
          <w:b/>
          <w:sz w:val="22"/>
          <w:u w:val="single"/>
        </w:rPr>
        <w:t>3.2 Personal and Status-Based Rights Excluded</w:t>
      </w:r>
    </w:p>
    <w:p>
      <w:pPr>
        <w:widowControl/>
        <w:ind w:firstLine="720"/>
        <w:jc w:val="both"/>
      </w:pPr>
      <w:r>
        <w:t>No founder, service, employment, board designation, observer, veto, major-investor, lead-investor, information, inspection, registration-demand, preemptive, expense-reimbursement, management-rights or similar right transfers if it is personal, nonassignable, conditioned on a threshold Transferee does not meet, or requires a separate approval not obtained. Schedule 3 must affirmatively identify any such right that does transfer and the authority for transfer.</w:t>
      </w:r>
    </w:p>
    <w:p>
      <w:pPr>
        <w:pStyle w:val="Heading3"/>
        <w:widowControl/>
        <w:ind w:left="0" w:firstLine="0"/>
      </w:pPr>
      <w:r>
        <w:rPr>
          <w:rFonts w:ascii="Times New Roman" w:hAnsi="Times New Roman"/>
          <w:b/>
          <w:sz w:val="22"/>
          <w:u w:val="single"/>
        </w:rPr>
        <w:t>3.3 Partial Transfers and Allocation</w:t>
      </w:r>
    </w:p>
    <w:p>
      <w:pPr>
        <w:widowControl/>
        <w:ind w:firstLine="720"/>
        <w:jc w:val="both"/>
      </w:pPr>
      <w:r>
        <w:t>If Transferor retains securities, any divisible rights shall be allocated as the Joined Agreement requires. Indivisible or threshold-based rights remain with, terminate for, or transfer from Transferor only as expressly stated on Schedule 3 and approved by each required party. No duplicate right is created.</w:t>
      </w:r>
    </w:p>
    <w:p>
      <w:pPr>
        <w:pStyle w:val="Heading3"/>
        <w:widowControl/>
        <w:ind w:left="0" w:firstLine="0"/>
      </w:pPr>
      <w:r>
        <w:rPr>
          <w:rFonts w:ascii="Times New Roman" w:hAnsi="Times New Roman"/>
          <w:b/>
          <w:sz w:val="22"/>
          <w:u w:val="single"/>
        </w:rPr>
        <w:t>3.4 Future Changes in Holdings</w:t>
      </w:r>
    </w:p>
    <w:p>
      <w:pPr>
        <w:widowControl/>
        <w:ind w:firstLine="720"/>
        <w:jc w:val="both"/>
      </w:pPr>
      <w:r>
        <w:t>If Transferee later ceases to meet a threshold or disposes of securities, any dependent right terminates or adjusts automatically under the Joined Agreement. The Company may update its records without further consent, after reasonable notice where required.</w:t>
      </w:r>
    </w:p>
    <w:p>
      <w:pPr>
        <w:pStyle w:val="Heading2"/>
        <w:widowControl/>
        <w:ind w:left="0" w:firstLine="0"/>
      </w:pPr>
      <w:r>
        <w:rPr>
          <w:rFonts w:ascii="Times New Roman" w:hAnsi="Times New Roman"/>
          <w:b/>
          <w:sz w:val="22"/>
          <w:u w:val="single"/>
        </w:rPr>
        <w:t>4. Transfer Restrictions and Enforcement</w:t>
      </w:r>
    </w:p>
    <w:p>
      <w:pPr>
        <w:pStyle w:val="Heading3"/>
        <w:widowControl/>
        <w:ind w:left="0" w:firstLine="0"/>
      </w:pPr>
      <w:r>
        <w:rPr>
          <w:rFonts w:ascii="Times New Roman" w:hAnsi="Times New Roman"/>
          <w:b/>
          <w:sz w:val="22"/>
          <w:u w:val="single"/>
        </w:rPr>
        <w:t>4.1 Notice of Restrictions</w:t>
      </w:r>
    </w:p>
    <w:p>
      <w:pPr>
        <w:widowControl/>
        <w:ind w:firstLine="720"/>
        <w:jc w:val="both"/>
      </w:pPr>
      <w:r>
        <w:t>Transferee acknowledges actual receipt of the Joined Agreements and actual knowledge of the restrictions summarized on Schedule 4. The summary is for administration only; the executed Joined Agreements control. Transferee consents to legends, uncertificated-share notices and stop-transfer instructions reasonably designed to enforce valid restrictions.</w:t>
      </w:r>
    </w:p>
    <w:p>
      <w:pPr>
        <w:pStyle w:val="Heading3"/>
        <w:widowControl/>
        <w:ind w:left="0" w:firstLine="0"/>
      </w:pPr>
      <w:r>
        <w:rPr>
          <w:rFonts w:ascii="Times New Roman" w:hAnsi="Times New Roman"/>
          <w:b/>
          <w:sz w:val="22"/>
          <w:u w:val="single"/>
        </w:rPr>
        <w:t>4.2 Future Transfers</w:t>
      </w:r>
    </w:p>
    <w:p>
      <w:pPr>
        <w:widowControl/>
        <w:ind w:firstLine="720"/>
        <w:jc w:val="both"/>
      </w:pPr>
      <w:r>
        <w:t>Transferee shall not transfer any interest in the Transferred Securities, including an economic participation, pledge, derivative, proxy coupled with an interest or indirect transfer of a holding vehicle, except in compliance with Applicable Law and all Joined Agreements. A permitted transferee must execute required joinders before registration.</w:t>
      </w:r>
    </w:p>
    <w:p>
      <w:pPr>
        <w:pStyle w:val="Heading3"/>
        <w:widowControl/>
        <w:ind w:left="0" w:firstLine="0"/>
      </w:pPr>
      <w:r>
        <w:rPr>
          <w:rFonts w:ascii="Times New Roman" w:hAnsi="Times New Roman"/>
          <w:b/>
          <w:sz w:val="22"/>
          <w:u w:val="single"/>
        </w:rPr>
        <w:t>4.3 Equitable Relief</w:t>
      </w:r>
    </w:p>
    <w:p>
      <w:pPr>
        <w:widowControl/>
        <w:ind w:firstLine="720"/>
        <w:jc w:val="both"/>
      </w:pPr>
      <w:r>
        <w:t>An unauthorized transfer or breach of voting, confidentiality, lock-up, ROFR, co-sale or drag-along obligations may cause irreparable harm. The Company and affected parties may seek specific performance, injunction and other equitable relief, subject to the applicable agreement and law.</w:t>
      </w:r>
    </w:p>
    <w:p>
      <w:pPr>
        <w:pStyle w:val="Heading3"/>
        <w:widowControl/>
        <w:ind w:left="0" w:firstLine="0"/>
      </w:pPr>
      <w:r>
        <w:rPr>
          <w:rFonts w:ascii="Times New Roman" w:hAnsi="Times New Roman"/>
          <w:b/>
          <w:sz w:val="22"/>
          <w:u w:val="single"/>
        </w:rPr>
        <w:t>4.4 Void or Non-Registrable Transfers</w:t>
      </w:r>
    </w:p>
    <w:p>
      <w:pPr>
        <w:widowControl/>
        <w:ind w:firstLine="720"/>
        <w:jc w:val="both"/>
      </w:pPr>
      <w:r>
        <w:t>Any transfer made in violation of an enforceable restriction is [VOID / NOT RECOGNIZED OR REGISTERED BY THE COMPANY TO THE EXTENT PERMITTED BY LAW]. Counsel must conform this provision to the exact Joined Agreements and governing law; the bracketed choice must not be left unresolved.</w:t>
      </w:r>
    </w:p>
    <w:p>
      <w:pPr>
        <w:pStyle w:val="Heading2"/>
        <w:widowControl/>
        <w:ind w:left="0" w:firstLine="0"/>
      </w:pPr>
      <w:r>
        <w:rPr>
          <w:rFonts w:ascii="Times New Roman" w:hAnsi="Times New Roman"/>
          <w:b/>
          <w:sz w:val="22"/>
          <w:u w:val="single"/>
        </w:rPr>
        <w:t>5. Voting and Governance Commitments</w:t>
      </w:r>
    </w:p>
    <w:p>
      <w:pPr>
        <w:pStyle w:val="Heading3"/>
        <w:widowControl/>
        <w:ind w:left="0" w:firstLine="0"/>
      </w:pPr>
      <w:r>
        <w:rPr>
          <w:rFonts w:ascii="Times New Roman" w:hAnsi="Times New Roman"/>
          <w:b/>
          <w:sz w:val="22"/>
          <w:u w:val="single"/>
        </w:rPr>
        <w:t>5.1 Voting Agreement</w:t>
      </w:r>
    </w:p>
    <w:p>
      <w:pPr>
        <w:widowControl/>
        <w:ind w:firstLine="720"/>
        <w:jc w:val="both"/>
      </w:pPr>
      <w:r>
        <w:t>To the extent Schedule 1 includes a voting agreement, Transferee agrees to vote, consent or refrain from voting the Transferred Securities as required, including for director elections, drag-along transactions, protective arrangements or amendments. Transferee appoints any proxy only to the extent, for the term and under the conditions stated in that agreement.</w:t>
      </w:r>
    </w:p>
    <w:p>
      <w:pPr>
        <w:pStyle w:val="Heading3"/>
        <w:widowControl/>
        <w:ind w:left="0" w:firstLine="0"/>
      </w:pPr>
      <w:r>
        <w:rPr>
          <w:rFonts w:ascii="Times New Roman" w:hAnsi="Times New Roman"/>
          <w:b/>
          <w:sz w:val="22"/>
          <w:u w:val="single"/>
        </w:rPr>
        <w:t>5.2 No Director or Fiduciary Status</w:t>
      </w:r>
    </w:p>
    <w:p>
      <w:pPr>
        <w:widowControl/>
        <w:ind w:firstLine="720"/>
        <w:jc w:val="both"/>
      </w:pPr>
      <w:r>
        <w:t>Ownership of the Transferred Securities and execution of this Joinder do not appoint Transferee or its representative as a director, officer, observer, agent, partner or fiduciary of the Company or another stockholder.</w:t>
      </w:r>
    </w:p>
    <w:p>
      <w:pPr>
        <w:pStyle w:val="Heading3"/>
        <w:widowControl/>
        <w:ind w:left="0" w:firstLine="0"/>
      </w:pPr>
      <w:r>
        <w:rPr>
          <w:rFonts w:ascii="Times New Roman" w:hAnsi="Times New Roman"/>
          <w:b/>
          <w:sz w:val="22"/>
          <w:u w:val="single"/>
        </w:rPr>
        <w:t>5.3 Information Boundaries</w:t>
      </w:r>
    </w:p>
    <w:p>
      <w:pPr>
        <w:widowControl/>
        <w:ind w:firstLine="720"/>
        <w:jc w:val="both"/>
      </w:pPr>
      <w:r>
        <w:t>If Transferee receives Company information under a Joined Agreement, it shall use it only for the permitted purpose, protect it with at least reasonable care, comply with privilege and competitive-information safeguards, and return or destroy it when required. The Company may withhold information to preserve privilege, comply with law, avoid a conflict, protect highly sensitive information from a competitor, or enforce a valid information protocol, subject to the agreement.</w:t>
      </w:r>
    </w:p>
    <w:p>
      <w:pPr>
        <w:pStyle w:val="Heading2"/>
        <w:widowControl/>
        <w:ind w:left="0" w:firstLine="0"/>
      </w:pPr>
      <w:r>
        <w:rPr>
          <w:rFonts w:ascii="Times New Roman" w:hAnsi="Times New Roman"/>
          <w:b/>
          <w:sz w:val="22"/>
          <w:u w:val="single"/>
        </w:rPr>
        <w:t>6. Transferee Representations</w:t>
      </w:r>
    </w:p>
    <w:p>
      <w:pPr>
        <w:widowControl/>
        <w:ind w:firstLine="720"/>
        <w:jc w:val="both"/>
      </w:pPr>
      <w:r>
        <w:t>Transferee represents as of signing and effectiveness that:</w:t>
      </w:r>
    </w:p>
    <w:p>
      <w:pPr>
        <w:pStyle w:val="ListBullet"/>
        <w:widowControl/>
        <w:spacing w:after="40"/>
        <w:ind w:left="346" w:hanging="202"/>
      </w:pPr>
      <w:r>
        <w:t>it has legal capacity and authority to execute and perform this Joinder, and its signatory is duly authorized;</w:t>
      </w:r>
    </w:p>
    <w:p>
      <w:pPr>
        <w:pStyle w:val="ListBullet"/>
        <w:widowControl/>
        <w:spacing w:after="40"/>
        <w:ind w:left="346" w:hanging="202"/>
      </w:pPr>
      <w:r>
        <w:t>it received or had access to complete copies of the Joined Agreements listed on Schedule 1 and had an opportunity to consult independent counsel;</w:t>
      </w:r>
    </w:p>
    <w:p>
      <w:pPr>
        <w:pStyle w:val="ListBullet"/>
        <w:widowControl/>
        <w:spacing w:after="40"/>
        <w:ind w:left="346" w:hanging="202"/>
      </w:pPr>
      <w:r>
        <w:t>the identity, beneficial ownership, Affiliate status and notice information on Schedule 2 are complete and accurate;</w:t>
      </w:r>
    </w:p>
    <w:p>
      <w:pPr>
        <w:pStyle w:val="ListBullet"/>
        <w:widowControl/>
        <w:spacing w:after="40"/>
        <w:ind w:left="346" w:hanging="202"/>
      </w:pPr>
      <w:r>
        <w:t>it is not acquiring as an undisclosed nominee or for a person ineligible under the Joined Agreements or Applicable Law;</w:t>
      </w:r>
    </w:p>
    <w:p>
      <w:pPr>
        <w:pStyle w:val="ListBullet"/>
        <w:widowControl/>
        <w:spacing w:after="40"/>
        <w:ind w:left="346" w:hanging="202"/>
      </w:pPr>
      <w:r>
        <w:t>executing this Joinder does not violate its governing instruments, another contract, a court order, sanctions restriction or law;</w:t>
      </w:r>
    </w:p>
    <w:p>
      <w:pPr>
        <w:pStyle w:val="ListBullet"/>
        <w:widowControl/>
        <w:spacing w:after="40"/>
        <w:ind w:left="346" w:hanging="202"/>
      </w:pPr>
      <w:r>
        <w:t>it understands the Transferred Securities are illiquid and subject to securities-law and contractual restrictions; and</w:t>
      </w:r>
    </w:p>
    <w:p>
      <w:pPr>
        <w:pStyle w:val="ListBullet"/>
        <w:widowControl/>
        <w:spacing w:after="40"/>
        <w:ind w:left="346" w:hanging="202"/>
      </w:pPr>
      <w:r>
        <w:t>it will promptly notify the Company of a change affecting eligibility, beneficial ownership, Affiliate status, sanctions status or notice information.</w:t>
      </w:r>
    </w:p>
    <w:p>
      <w:pPr>
        <w:pStyle w:val="Heading2"/>
        <w:widowControl/>
        <w:ind w:left="0" w:firstLine="0"/>
      </w:pPr>
      <w:r>
        <w:rPr>
          <w:rFonts w:ascii="Times New Roman" w:hAnsi="Times New Roman"/>
          <w:b/>
          <w:sz w:val="22"/>
          <w:u w:val="single"/>
        </w:rPr>
        <w:t>7. Company Acknowledgment</w:t>
      </w:r>
    </w:p>
    <w:p>
      <w:pPr>
        <w:widowControl/>
        <w:ind w:firstLine="720"/>
        <w:jc w:val="both"/>
      </w:pPr>
      <w:r>
        <w:t>The Company acknowledges this Joinder solely to confirm that, upon satisfaction of the closing conditions and registration of transfer, it will record Transferee as a party in the Applicable Capacity. The Company does not represent that every provision is enforceable in all circumstances, that Transferee receives any particular right, or that the transfer is advisable. Recognition is subject to correction of clerical error and to the controlling Joined Agreements.</w:t>
      </w:r>
    </w:p>
    <w:p>
      <w:pPr>
        <w:pStyle w:val="Heading2"/>
        <w:widowControl/>
        <w:ind w:left="0" w:firstLine="0"/>
      </w:pPr>
      <w:r>
        <w:rPr>
          <w:rFonts w:ascii="Times New Roman" w:hAnsi="Times New Roman"/>
          <w:b/>
          <w:sz w:val="22"/>
          <w:u w:val="single"/>
        </w:rPr>
        <w:t>8. Notices</w:t>
      </w:r>
    </w:p>
    <w:p>
      <w:pPr>
        <w:widowControl/>
        <w:ind w:firstLine="720"/>
        <w:jc w:val="both"/>
      </w:pPr>
      <w:r>
        <w:t>For each Joined Agreement, Transferee’s notice details are those on Schedule 2 unless that agreement requires a different method. Transferee consents to email notice only to the extent permitted by the Joined Agreement and law. A change is effective after receipt by the Company and any agreement administrator.</w:t>
      </w:r>
    </w:p>
    <w:p>
      <w:pPr>
        <w:widowControl/>
      </w:pPr>
      <w:r>
        <w:br w:type="page"/>
      </w:r>
    </w:p>
    <w:p>
      <w:pPr>
        <w:pStyle w:val="Heading2"/>
        <w:widowControl/>
        <w:ind w:left="0" w:firstLine="0"/>
      </w:pPr>
      <w:r>
        <w:rPr>
          <w:rFonts w:ascii="Times New Roman" w:hAnsi="Times New Roman"/>
          <w:b/>
          <w:sz w:val="22"/>
          <w:u w:val="single"/>
        </w:rPr>
        <w:t>9. Miscellaneous</w:t>
      </w:r>
    </w:p>
    <w:p>
      <w:pPr>
        <w:pStyle w:val="Heading3"/>
        <w:widowControl/>
        <w:ind w:left="0" w:firstLine="0"/>
      </w:pPr>
      <w:r>
        <w:rPr>
          <w:rFonts w:ascii="Times New Roman" w:hAnsi="Times New Roman"/>
          <w:b/>
          <w:sz w:val="22"/>
          <w:u w:val="single"/>
        </w:rPr>
        <w:t>9.1 Governing Law and Forum</w:t>
      </w:r>
    </w:p>
    <w:p>
      <w:pPr>
        <w:keepLines w:val="0"/>
        <w:widowControl/>
        <w:ind w:firstLine="720"/>
        <w:jc w:val="both"/>
      </w:pPr>
      <w:r>
        <w:t>Each Joined Agreement’s governing-law and forum provisions apply to this Joinder as to that agreement. If no such provision applies, this Joinder is governed by [STATE] law, except internal-affairs matters are governed by the Company’s state of incorporation.</w:t>
      </w:r>
    </w:p>
    <w:p>
      <w:pPr>
        <w:pStyle w:val="Heading3"/>
        <w:widowControl/>
        <w:ind w:left="0" w:firstLine="0"/>
      </w:pPr>
      <w:r>
        <w:rPr>
          <w:rFonts w:ascii="Times New Roman" w:hAnsi="Times New Roman"/>
          <w:b/>
          <w:sz w:val="22"/>
          <w:u w:val="single"/>
        </w:rPr>
        <w:t>9.2 Entire Agreement; Amendments</w:t>
      </w:r>
    </w:p>
    <w:p>
      <w:pPr>
        <w:keepLines w:val="0"/>
        <w:widowControl/>
        <w:ind w:firstLine="720"/>
        <w:jc w:val="both"/>
      </w:pPr>
      <w:r>
        <w:t>This Joinder, the Joined Agreements and the approved transfer documents contain the entire agreement concerning Transferee’s adherence. An amendment must satisfy each Joined Agreement’s amendment standard and be signed by any party whose rights are uniquely affected.</w:t>
      </w:r>
    </w:p>
    <w:p>
      <w:pPr>
        <w:pStyle w:val="Heading3"/>
        <w:widowControl/>
        <w:ind w:left="0" w:firstLine="0"/>
      </w:pPr>
      <w:r>
        <w:rPr>
          <w:rFonts w:ascii="Times New Roman" w:hAnsi="Times New Roman"/>
          <w:b/>
          <w:sz w:val="22"/>
          <w:u w:val="single"/>
        </w:rPr>
        <w:t>9.3 Counterparts; Electronic Signatures</w:t>
      </w:r>
    </w:p>
    <w:p>
      <w:pPr>
        <w:keepLines w:val="0"/>
        <w:widowControl/>
        <w:ind w:firstLine="720"/>
        <w:jc w:val="both"/>
      </w:pPr>
      <w:r>
        <w:t>This Joinder may be signed in counterparts and electronically. Signature pages may be attached to counterparts, provided the final closing set clearly identifies the version signed.</w:t>
      </w:r>
    </w:p>
    <w:p>
      <w:pPr>
        <w:pStyle w:val="Heading3"/>
        <w:widowControl/>
        <w:ind w:left="0" w:firstLine="0"/>
      </w:pPr>
      <w:r>
        <w:rPr>
          <w:rFonts w:ascii="Times New Roman" w:hAnsi="Times New Roman"/>
          <w:b/>
          <w:sz w:val="22"/>
          <w:u w:val="single"/>
        </w:rPr>
        <w:t>9.4 Successors; No Assignment Apart from Securities</w:t>
      </w:r>
    </w:p>
    <w:p>
      <w:pPr>
        <w:keepLines w:val="0"/>
        <w:widowControl/>
        <w:ind w:firstLine="720"/>
        <w:jc w:val="both"/>
      </w:pPr>
      <w:r>
        <w:t>This Joinder binds Transferee and its permitted successors. Transferee may not assign this Joinder separately from a permitted transfer of the securities and compliance with the applicable joinder process.</w:t>
      </w:r>
    </w:p>
    <w:p>
      <w:pPr>
        <w:pStyle w:val="Heading3"/>
        <w:widowControl/>
        <w:ind w:left="0" w:firstLine="0"/>
      </w:pPr>
      <w:r>
        <w:rPr>
          <w:rFonts w:ascii="Times New Roman" w:hAnsi="Times New Roman"/>
          <w:b/>
          <w:sz w:val="22"/>
          <w:u w:val="single"/>
        </w:rPr>
        <w:t>9.5 Severability; No Waiver</w:t>
      </w:r>
    </w:p>
    <w:p>
      <w:pPr>
        <w:widowControl/>
        <w:ind w:firstLine="720"/>
        <w:jc w:val="both"/>
      </w:pPr>
      <w:r>
        <w:t>An invalid provision shall be narrowed or severed while preserving the parties’ intent. Failure to enforce a provision is not a waiver. No waiver is continuing unless expressly stated.</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TRANSFEREE:</w:t>
            </w:r>
            <w:r>
              <w:rPr>
                <w:rFonts w:ascii="Times New Roman" w:hAnsi="Times New Roman"/>
                <w:sz w:val="22"/>
              </w:rPr>
              <w:br/>
            </w:r>
            <w:r>
              <w:rPr>
                <w:rFonts w:ascii="Times New Roman" w:hAnsi="Times New Roman"/>
                <w:sz w:val="22"/>
              </w:rPr>
              <w:t>[TRANSFEREE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 — ACKNOWLEDGED:</w:t>
            </w:r>
            <w:r>
              <w:rPr>
                <w:rFonts w:ascii="Times New Roman" w:hAnsi="Times New Roman"/>
                <w:sz w:val="22"/>
              </w:rPr>
              <w:br/>
            </w:r>
            <w:r>
              <w:rPr>
                <w:rFonts w:ascii="Times New Roman" w:hAnsi="Times New Roman"/>
                <w:sz w:val="22"/>
              </w:rPr>
              <w:t>[COMPANY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w:t>
            </w:r>
            <w:r>
              <w:rPr>
                <w:rFonts w:ascii="Times New Roman" w:hAnsi="Times New Roman"/>
                <w:sz w:val="22"/>
              </w:rPr>
              <w:br/>
            </w:r>
            <w:r>
              <w:rPr>
                <w:rFonts w:ascii="Times New Roman" w:hAnsi="Times New Roman"/>
                <w:sz w:val="22"/>
              </w:rPr>
              <w:t>Date: [●]</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TRANSFEROR — ACKNOWLEDGED AS TO SCHEDULES 2 AND 3:</w:t>
            </w:r>
            <w:r>
              <w:rPr>
                <w:rFonts w:ascii="Times New Roman" w:hAnsi="Times New Roman"/>
                <w:sz w:val="22"/>
              </w:rPr>
              <w:br/>
            </w:r>
            <w:r>
              <w:rPr>
                <w:rFonts w:ascii="Times New Roman" w:hAnsi="Times New Roman"/>
                <w:sz w:val="22"/>
              </w:rPr>
              <w:t>[TRANSFEROR NAME]</w:t>
            </w:r>
            <w:r>
              <w:rPr>
                <w:rFonts w:ascii="Times New Roman" w:hAnsi="Times New Roman"/>
                <w:sz w:val="22"/>
              </w:rPr>
              <w:br/>
            </w:r>
            <w:r>
              <w:rPr>
                <w:rFonts w:ascii="Times New Roman" w:hAnsi="Times New Roman"/>
                <w:sz w:val="22"/>
              </w:rPr>
              <w:t>Signature: ________________________</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 Joined Agreements and Applicable Capacity</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Joined Agreement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Date / amendment history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Joinder section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Applicable Capacity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Administrator / required consent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2 — Transferee, Beneficial Ownership and Transferred Securities</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Matter-specific information</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Legal name / jurisdiction / entity type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Beneficial owner(s) / controlling person(s)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Affiliates relevant to aggregation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Transferor</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Number and class/series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Certificate or book-entry reference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Notice address / email / attention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3 — Rights and Liabilities Allocation</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Right or obligation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Transfers / assumed?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Source and authority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Allocation or limitation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Required approval</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[YES / NO / PARTIAL]</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4 — Continuing Restrictions Summary</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Restriction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Source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Trigger / procedure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Administrator</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Legend or notice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[ROFR / CO-SALE / DRAG / VOTING / LOCK-UP / OTHER]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A — Consent of Spouse or Domestic Partner, if Required</w:t>
      </w:r>
    </w:p>
    <w:p>
      <w:pPr>
        <w:widowControl/>
        <w:jc w:val="left"/>
      </w:pPr>
      <w:r>
        <w:t>The undersigned acknowledges the Transferee’s obligations and agrees that any community, marital or similar interest the undersigned may have in the Transferred Securities is subject to the Joined Agreements, without becoming liable for unrelated obligations.</w:t>
      </w:r>
      <w:r>
        <w:br/>
      </w:r>
      <w:r>
        <w:t>Name: [●]</w:t>
      </w:r>
      <w:r>
        <w:br/>
      </w:r>
      <w:r>
        <w:t>Signature/Date: [●]</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joinder is used when a private-company stock transferee must become bound by existing stockholder arrangements. It is designed to prevent the two common extremes: failing to bind a transferee to restrictions and accidentally granting personal or threshold-based rights that should not transfer.</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senior venture and private-company counsel completing EF-091. Obtain the signed, amended versions of every candidate agreement before drafting. For each agreement, identify its exact joinder clause, defined transferee category, permitted-transfer rule, rights that run with shares, personal rights, threshold or aggregation rules, obligations that survive transfer, amendment standard, notice procedure, governing law and required consent. Produce a rights-and-obligations allocation matrix before editing the form. Do not copy a single stockholder label across agreements unless the definitions align. Do not grant board, observer, founder, major-investor, information, registration, preemptive or management rights without an express contractual basis and all required approvals. Preserve transfer restrictions, legends, confidentiality and future-joinder obligations; separate Transferee’s assumed obligations from Transferor’s accrued liabilities; and bracket every unresolved classification. Output the completed Joinder, a conflict report across the Joined Agreements, a signature/consent matrix and a final closing checklist for company counsel.</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Use exact agreement names, dates, amendment history and joinder citations.</w:t>
      </w:r>
    </w:p>
    <w:p>
      <w:pPr>
        <w:pStyle w:val="ListBullet"/>
        <w:widowControl/>
        <w:spacing w:after="40"/>
        <w:ind w:left="346" w:hanging="202"/>
      </w:pPr>
      <w:r>
        <w:t>Classify the transferee separately under each agreement.</w:t>
      </w:r>
    </w:p>
    <w:p>
      <w:pPr>
        <w:pStyle w:val="ListBullet"/>
        <w:widowControl/>
        <w:spacing w:after="40"/>
        <w:ind w:left="346" w:hanging="202"/>
      </w:pPr>
      <w:r>
        <w:t>Identify personal, nonassignable, threshold-based and divisible rights.</w:t>
      </w:r>
    </w:p>
    <w:p>
      <w:pPr>
        <w:pStyle w:val="ListBullet"/>
        <w:widowControl/>
        <w:spacing w:after="40"/>
        <w:ind w:left="346" w:hanging="202"/>
      </w:pPr>
      <w:r>
        <w:t>Allocate rights on a partial transfer without creating duplicates.</w:t>
      </w:r>
    </w:p>
    <w:p>
      <w:pPr>
        <w:pStyle w:val="ListBullet"/>
        <w:widowControl/>
        <w:spacing w:after="40"/>
        <w:ind w:left="346" w:hanging="202"/>
      </w:pPr>
      <w:r>
        <w:t>Preserve accrued Transferor liabilities unless expressly released.</w:t>
      </w:r>
    </w:p>
    <w:p>
      <w:pPr>
        <w:pStyle w:val="ListBullet"/>
        <w:widowControl/>
        <w:spacing w:after="40"/>
        <w:ind w:left="346" w:hanging="202"/>
      </w:pPr>
      <w:r>
        <w:t>Confirm beneficial ownership, Affiliate aggregation, notice details and eligibility.</w:t>
      </w:r>
    </w:p>
    <w:p>
      <w:pPr>
        <w:pStyle w:val="ListBullet"/>
        <w:widowControl/>
        <w:spacing w:after="40"/>
        <w:ind w:left="346" w:hanging="202"/>
      </w:pPr>
      <w:r>
        <w:t>Conform void-transfer language, legends and enforcement remedies to current law.</w:t>
      </w:r>
    </w:p>
    <w:p>
      <w:pPr>
        <w:pStyle w:val="ListBullet"/>
        <w:widowControl/>
        <w:spacing w:after="40"/>
        <w:ind w:left="346" w:hanging="202"/>
      </w:pPr>
      <w:r>
        <w:t>Attach the final Joinder to the Company’s stock records and update agreement-party schedules.</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Source mapping.</w:t>
      </w:r>
      <w:r>
        <w:t xml:space="preserve"> Trace every assumed duty and claimed right to a signed provision. </w:t>
      </w:r>
      <w:r>
        <w:rPr>
          <w:b/>
        </w:rPr>
        <w:t>Pass 2 — Cross-document coherence.</w:t>
      </w:r>
      <w:r>
        <w:t xml:space="preserve"> Resolve conflicting categories, thresholds, amendment standards, governing law and transfer procedures. </w:t>
      </w:r>
      <w:r>
        <w:rPr>
          <w:b/>
        </w:rPr>
        <w:t>Pass 3 — Execution mechanics.</w:t>
      </w:r>
      <w:r>
        <w:t xml:space="preserve"> Verify securities, beneficial owners, signatures, consents, legends, notices, ledger entry and closing-set retention.</w:t>
      </w:r>
    </w:p>
    <w:p>
      <w:pPr>
        <w:pStyle w:val="Heading3"/>
        <w:widowControl/>
        <w:ind w:left="0" w:firstLine="0"/>
      </w:pPr>
      <w:r>
        <w:rPr>
          <w:rFonts w:ascii="Times New Roman" w:hAnsi="Times New Roman"/>
          <w:b/>
          <w:sz w:val="22"/>
          <w:u w:val="single"/>
        </w:rPr>
        <w:t>Attorney-review warning</w:t>
      </w:r>
    </w:p>
    <w:p>
      <w:pPr>
        <w:widowControl/>
        <w:ind w:firstLine="720"/>
        <w:jc w:val="both"/>
      </w:pPr>
      <w:r>
        <w:t>A generic joinder can accidentally expand investor rights or fail to bind a transferee. Qualified counsel must conform this form to the actual agreements, governing law and transaction.</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Stockholder Agreement Joinder and Transfer-Restriction Adoption Agreement — Private Company Transferee</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