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20" w:after="40"/>
      </w:pPr>
      <w:r>
        <w:rPr>
          <w:rFonts w:ascii="Calibri" w:hAnsi="Calibri" w:eastAsia="Calibri"/>
          <w:b/>
          <w:i w:val="0"/>
          <w:color w:val="2E74B5"/>
          <w:sz w:val="18"/>
        </w:rPr>
        <w:t>PRACTITIONER MASTER</w:t>
      </w:r>
    </w:p>
    <w:p>
      <w:pPr>
        <w:spacing w:after="80"/>
      </w:pPr>
      <w:r>
        <w:rPr>
          <w:rFonts w:ascii="Calibri" w:hAnsi="Calibri" w:eastAsia="Calibri"/>
          <w:b/>
          <w:i w:val="0"/>
          <w:color w:val="111111"/>
          <w:sz w:val="46"/>
        </w:rPr>
        <w:t>Stock Pledge Agreement</w:t>
      </w:r>
    </w:p>
    <w:p>
      <w:pPr>
        <w:spacing w:after="280"/>
      </w:pPr>
      <w:r>
        <w:rPr>
          <w:rFonts w:ascii="Calibri" w:hAnsi="Calibri" w:eastAsia="Calibri"/>
          <w:b w:val="0"/>
          <w:i w:val="0"/>
          <w:color w:val="5B6573"/>
          <w:sz w:val="22"/>
        </w:rPr>
        <w:t>A pledge of private-company equity securing identified obligations, with certificated and uncertificated interest modules, issuer acknowledgments, control and transfer mechanics, voting and distributions before default, remedies, securities-law gates, and release.</w:t>
      </w:r>
    </w:p>
    <w:p>
      <w:pPr>
        <w:spacing w:after="40"/>
      </w:pPr>
      <w:r>
        <w:rPr>
          <w:rFonts w:ascii="Calibri" w:hAnsi="Calibri" w:eastAsia="Calibri"/>
          <w:b/>
          <w:i w:val="0"/>
          <w:color w:val="111111"/>
          <w:sz w:val="20"/>
        </w:rPr>
        <w:t xml:space="preserve">Form: </w:t>
      </w:r>
      <w:r>
        <w:rPr>
          <w:rFonts w:ascii="Calibri" w:hAnsi="Calibri" w:eastAsia="Calibri"/>
          <w:b w:val="0"/>
          <w:i w:val="0"/>
          <w:color w:val="111111"/>
          <w:sz w:val="20"/>
        </w:rPr>
        <w:t>EF-079</w:t>
      </w:r>
    </w:p>
    <w:p>
      <w:pPr>
        <w:spacing w:after="40"/>
      </w:pPr>
      <w:r>
        <w:rPr>
          <w:rFonts w:ascii="Calibri" w:hAnsi="Calibri" w:eastAsia="Calibri"/>
          <w:b/>
          <w:i w:val="0"/>
          <w:color w:val="111111"/>
          <w:sz w:val="20"/>
        </w:rPr>
        <w:t xml:space="preserve">Version: </w:t>
      </w:r>
      <w:r>
        <w:rPr>
          <w:rFonts w:ascii="Calibri" w:hAnsi="Calibri" w:eastAsia="Calibri"/>
          <w:b w:val="0"/>
          <w:i w:val="0"/>
          <w:color w:val="111111"/>
          <w:sz w:val="20"/>
        </w:rPr>
        <w:t>3.1.0</w:t>
      </w:r>
    </w:p>
    <w:p>
      <w:pPr>
        <w:spacing w:after="40"/>
      </w:pPr>
      <w:r>
        <w:rPr>
          <w:rFonts w:ascii="Calibri" w:hAnsi="Calibri" w:eastAsia="Calibri"/>
          <w:b/>
          <w:i w:val="0"/>
          <w:color w:val="111111"/>
          <w:sz w:val="20"/>
        </w:rPr>
        <w:t xml:space="preserve">Prepared: </w:t>
      </w:r>
      <w:r>
        <w:rPr>
          <w:rFonts w:ascii="Calibri" w:hAnsi="Calibri" w:eastAsia="Calibri"/>
          <w:b w:val="0"/>
          <w:i w:val="0"/>
          <w:color w:val="111111"/>
          <w:sz w:val="20"/>
        </w:rPr>
        <w:t>2026-09-01</w:t>
      </w:r>
    </w:p>
    <w:p>
      <w:pPr>
        <w:spacing w:after="40"/>
      </w:pPr>
      <w:r>
        <w:rPr>
          <w:rFonts w:ascii="Calibri" w:hAnsi="Calibri" w:eastAsia="Calibri"/>
          <w:b/>
          <w:i w:val="0"/>
          <w:color w:val="111111"/>
          <w:sz w:val="20"/>
        </w:rPr>
        <w:t xml:space="preserve">Governing law: </w:t>
      </w:r>
      <w:r>
        <w:rPr>
          <w:rFonts w:ascii="Calibri" w:hAnsi="Calibri" w:eastAsia="Calibri"/>
          <w:b w:val="0"/>
          <w:i w:val="0"/>
          <w:color w:val="111111"/>
          <w:sz w:val="20"/>
        </w:rPr>
        <w:t>[STATE; CHECK ISSUER JURISDICTION AND ARTICLE 8]</w:t>
      </w:r>
    </w:p>
    <w:p>
      <w:pPr>
        <w:spacing w:after="240"/>
        <w:pBdr>
          <w:bottom w:val="single" w:sz="18" w:space="6" w:color="17365D"/>
        </w:pBdr>
      </w:pPr>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FCE8E6"/>
          </w:tcPr>
          <w:p>
            <w:r>
              <w:rPr>
                <w:rFonts w:ascii="Calibri" w:hAnsi="Calibri" w:eastAsia="Calibri"/>
                <w:b/>
                <w:i w:val="0"/>
                <w:color w:val="9C2B2E"/>
                <w:sz w:val="19"/>
              </w:rPr>
              <w:t xml:space="preserve">DELETE BEFORE EXECUTION.  </w:t>
            </w:r>
            <w:r>
              <w:rPr>
                <w:rFonts w:ascii="Calibri" w:hAnsi="Calibri" w:eastAsia="Calibri"/>
                <w:b w:val="0"/>
                <w:i w:val="0"/>
                <w:color w:val="111111"/>
                <w:sz w:val="19"/>
              </w:rPr>
              <w:t>This practitioner master contains bracketed elections. Verify facts, law, authority, economics, schedules, and related documents; delete alternatives; and obtain responsible-lawyer approval. Drafting analysis is intentionally maintained in the companion Markdown, not in this instrument.</w:t>
            </w:r>
          </w:p>
        </w:tc>
      </w:tr>
    </w:tbl>
    <w:p/>
    <w:p>
      <w:pPr>
        <w:pStyle w:val="AgreementText"/>
      </w:pPr>
      <w:r>
        <w:t>This Stock Pledge Agreement (this “Agreement”) is entered into as of [DATE] by [PLEDGOR LEGAL NAME] (“Pledgor”) and [SECURED PARTY LEGAL NAME] (“Secured Party”) with respect to equity interests in [ISSUER LEGAL NAME] (“Issuer”).</w:t>
      </w:r>
    </w:p>
    <w:p>
      <w:pPr>
        <w:pStyle w:val="Heading1"/>
      </w:pPr>
      <w:r>
        <w:t>Background</w:t>
      </w:r>
    </w:p>
    <w:p>
      <w:pPr>
        <w:pStyle w:val="AgreementText"/>
      </w:pPr>
      <w:r>
        <w:t>A. Pledgor has obligations to Secured Party under [IDENTIFY CREDIT DOCUMENTS].</w:t>
      </w:r>
    </w:p>
    <w:p>
      <w:pPr>
        <w:pStyle w:val="AgreementText"/>
      </w:pPr>
      <w:r>
        <w:t>B. Pledgor wishes to secure those obligations with only the equity interests identified in the completed Pledged Equity Register.</w:t>
      </w:r>
    </w:p>
    <w:p>
      <w:pPr>
        <w:pStyle w:val="AgreementText"/>
      </w:pPr>
      <w:r>
        <w:rPr>
          <w:b/>
        </w:rPr>
        <w:t>Therefore, for good and valuable consideration, the parties agree as follows:</w:t>
      </w:r>
    </w:p>
    <w:p>
      <w:pPr>
        <w:pStyle w:val="Heading1"/>
      </w:pPr>
      <w:r>
        <w:t>Terms</w:t>
      </w:r>
    </w:p>
    <w:p>
      <w:pPr>
        <w:pStyle w:val="Heading2"/>
      </w:pPr>
      <w:r>
        <w:t>1. Pledge</w:t>
      </w:r>
    </w:p>
    <w:p>
      <w:pPr>
        <w:pStyle w:val="AgreementText"/>
      </w:pPr>
      <w:r>
        <w:t>Pledgor grants Secured Party a continuing security interest in the identified Pledged Equity and related Collateral to secure the defined Obligations. The pledge covers only listed shares, units, certificates, security entitlements, distributions, rights, and proceeds and after-acquired interests expressly included. It does not transfer ownership or voting before the contractual trigger.</w:t>
      </w:r>
    </w:p>
    <w:p>
      <w:pPr>
        <w:pStyle w:val="Heading2"/>
      </w:pPr>
      <w:r>
        <w:t>2. Secured Obligations</w:t>
      </w:r>
    </w:p>
    <w:p>
      <w:pPr>
        <w:pStyle w:val="AgreementText"/>
      </w:pPr>
      <w:r>
        <w:t>“Secured Obligations” means the debt, guaranty, reimbursement, interest, fees, enforcement costs, amendments, and reinstated amounts expressly identified in [CREDIT DOCUMENTS / SCHEDULE 1], subject to the stated cap and future-advance limits. Secured Obligations exclude unrelated obligations. “Discharge” occurs only upon the completed discharge conditions in Schedule 1.</w:t>
      </w:r>
    </w:p>
    <w:p>
      <w:pPr>
        <w:pStyle w:val="Heading2"/>
      </w:pPr>
      <w:r>
        <w:t>3. Equity Status and Article 8</w:t>
      </w:r>
    </w:p>
    <w:p>
      <w:pPr>
        <w:pStyle w:val="AgreementText"/>
      </w:pPr>
      <w:r>
        <w:t>Schedule 1 states whether each Pledged Interest is a security, general intangible, certificated security, uncertificated security, or security entitlement under enacted law. For an LLC or partnership interest, Schedule 1 identifies any Article 8 opt-in and governing-document amendment. No characterization in this Agreement overrides a valid issuer election, governing record, or applicable law.</w:t>
      </w:r>
    </w:p>
    <w:p>
      <w:pPr>
        <w:pStyle w:val="Heading2"/>
      </w:pPr>
      <w:r>
        <w:t>4. Delivery and Control</w:t>
      </w:r>
    </w:p>
    <w:p>
      <w:pPr>
        <w:pStyle w:val="AgreementText"/>
      </w:pPr>
      <w:r>
        <w:t>Pledgor delivers original certificates with separate undated transfer powers if lawful, or causes issuer registration, control agreement, or securities-account control as the selected perfection method requires. Secured Party safeguards delivered instruments and records custody. Blank powers are used only after default and lawful enforcement, not to alter ownership records prematurely.</w:t>
      </w:r>
    </w:p>
    <w:p>
      <w:pPr>
        <w:pStyle w:val="Heading2"/>
      </w:pPr>
      <w:r>
        <w:t>5. Issuer Acknowledgment</w:t>
      </w:r>
    </w:p>
    <w:p>
      <w:pPr>
        <w:pStyle w:val="AgreementText"/>
      </w:pPr>
      <w:r>
        <w:t>Issuer acknowledges notice, equity description, transfer restrictions, Article 8 status, record owner, and agreed instructions; agrees not to issue replacement certificates or register prohibited transfers; and states whether it will follow Secured Party instructions after the trigger. The acknowledgment does not make Issuer a guarantor or waive charter, tax, regulatory, or fiduciary duties.</w:t>
      </w:r>
    </w:p>
    <w:p>
      <w:pPr>
        <w:pStyle w:val="Heading2"/>
      </w:pPr>
      <w:r>
        <w:t>6. Representations</w:t>
      </w:r>
    </w:p>
    <w:p>
      <w:pPr>
        <w:pStyle w:val="AgreementText"/>
      </w:pPr>
      <w:r>
        <w:t>Pledgor represents authority, ownership, stated percentage, valid issuance and payment status to knowledge after records review, no undisclosed liens or adverse claims, no conflicting transfer, accurate schedules, and disclosed community-property, trust, option, proxy, voting, and transfer restrictions. Securities-law and tax representations require specialist diligence and appropriate qualification.</w:t>
      </w:r>
    </w:p>
    <w:p>
      <w:pPr>
        <w:pStyle w:val="Heading2"/>
      </w:pPr>
      <w:r>
        <w:t>7. Covenants</w:t>
      </w:r>
    </w:p>
    <w:p>
      <w:pPr>
        <w:pStyle w:val="AgreementText"/>
      </w:pPr>
      <w:r>
        <w:t>Pledgor shall preserve the Pledged Equity, not sell, transfer, further pledge, redeem, cancel, exchange, or amend rights adversely without consent, maintain issuer records, deliver new certificates and distributions, and notify changes. Permitted transfers, restructurings, equity financings, splits, conversions, and tax elections must be coordinated with replacement collateral and consents.</w:t>
      </w:r>
    </w:p>
    <w:p>
      <w:pPr>
        <w:pStyle w:val="Heading2"/>
      </w:pPr>
      <w:r>
        <w:t>8. Voting Before Default</w:t>
      </w:r>
    </w:p>
    <w:p>
      <w:pPr>
        <w:pStyle w:val="AgreementText"/>
      </w:pPr>
      <w:r>
        <w:t>Until an enforceable default notice or other selected trigger, Pledgor retains voting, consent, information, and management rights and shall not exercise them to impair collateral or violate finance covenants. Secured Party has no management duty, fiduciary status, or obligation to vote. Reserved major actions may require consent under the credit documents.</w:t>
      </w:r>
    </w:p>
    <w:p>
      <w:pPr>
        <w:pStyle w:val="Heading2"/>
      </w:pPr>
      <w:r>
        <w:t>9. Distributions Before Default</w:t>
      </w:r>
    </w:p>
    <w:p>
      <w:pPr>
        <w:pStyle w:val="AgreementText"/>
      </w:pPr>
      <w:r>
        <w:t>Pledgor may receive ordinary cash distributions permitted by finance documents and law. Stock dividends, new securities, extraordinary distributions, liquidation proceeds, and property distributions become Collateral and must be delivered or controlled. Tax distributions require a clear formula and no-default rule. Issuer withholding and solvency restrictions remain effective.</w:t>
      </w:r>
    </w:p>
    <w:p>
      <w:pPr>
        <w:pStyle w:val="Heading2"/>
      </w:pPr>
      <w:r>
        <w:t>10. Default Control</w:t>
      </w:r>
    </w:p>
    <w:p>
      <w:pPr>
        <w:pStyle w:val="AgreementText"/>
      </w:pPr>
      <w:r>
        <w:t>After an uncured Event of Default and required notice, Secured Party may exercise voting and distribution rights to the extent lawful and reasonably related to protection or enforcement. Pledgor executes proxies or directions that become effective only at the trigger. Secured Party shall account for distributions and is not required to assume management obligations beyond law.</w:t>
      </w:r>
    </w:p>
    <w:p>
      <w:pPr>
        <w:pStyle w:val="Heading2"/>
      </w:pPr>
      <w:r>
        <w:t>11. Additional and Substitute Equity</w:t>
      </w:r>
    </w:p>
    <w:p>
      <w:pPr>
        <w:pStyle w:val="AgreementText"/>
      </w:pPr>
      <w:r>
        <w:t>Splits, dividends, conversions, mergers, exchanges, recapitalizations, and replacement interests attributable to Pledged Equity become Collateral within the intended scope. Pledgor and Issuer shall update schedules, certificates, registers, control agreements, and filings. Cash sale proceeds follow the credit documents and any approved release.</w:t>
      </w:r>
    </w:p>
    <w:p>
      <w:pPr>
        <w:pStyle w:val="Heading2"/>
      </w:pPr>
      <w:r>
        <w:t>12. Transfer Restrictions and Consents</w:t>
      </w:r>
    </w:p>
    <w:p>
      <w:pPr>
        <w:pStyle w:val="AgreementText"/>
      </w:pPr>
      <w:r>
        <w:t>Schedule 3 identifies each right of first refusal, co-sale, drag-along, buy-sell, repurchase right, board or lender approval, franchise or professional-entity requirement, regulatory consent, and other transfer restriction affecting the Pledged Interests. Pledgor shall obtain the listed consents and Secured Party shall conduct enforcement subject to applicable restrictions. Nothing represents that Article 9 overrides every entity, securities, or regulatory restriction.</w:t>
      </w:r>
    </w:p>
    <w:p>
      <w:pPr>
        <w:pStyle w:val="Heading2"/>
      </w:pPr>
      <w:r>
        <w:t>13. Securities-Law Compliance</w:t>
      </w:r>
    </w:p>
    <w:p>
      <w:pPr>
        <w:pStyle w:val="AgreementText"/>
      </w:pPr>
      <w:r>
        <w:t>Any disposition or acceptance of collateral must comply with applicable securities laws, including transfer restrictions, exemptions, information requirements, purchaser qualifications, and legends. Secured Party may use a private sale only if lawful and commercially reasonable and may require representations from purchasers. Pledgor acknowledges that a restricted sale may yield a lower price without waiving mandatory protections.</w:t>
      </w:r>
    </w:p>
    <w:p>
      <w:pPr>
        <w:pStyle w:val="Heading2"/>
      </w:pPr>
      <w:r>
        <w:t>14. Remedies</w:t>
      </w:r>
    </w:p>
    <w:p>
      <w:pPr>
        <w:pStyle w:val="AgreementText"/>
      </w:pPr>
      <w:r>
        <w:t>After default, Secured Party may exercise Article 8, Article 9, contractual, and lawful equitable remedies, including collection, control, registration, voting, and commercially reasonable disposition, subject to required notice and transfer restrictions. Self-help may not breach the peace, access systems unlawfully, or force Issuer to violate law or governing documents.</w:t>
      </w:r>
    </w:p>
    <w:p>
      <w:pPr>
        <w:pStyle w:val="Heading2"/>
      </w:pPr>
      <w:r>
        <w:t>15. Valuation and Commercial Reasonableness</w:t>
      </w:r>
    </w:p>
    <w:p>
      <w:pPr>
        <w:pStyle w:val="AgreementText"/>
      </w:pPr>
      <w:r>
        <w:t>Enforcement planning should consider current financials, capitalization, preferences, transfer restrictions, minority discounts, pending financings, tax attributes, and reasonable marketing. No agreed value predetermines disposition price unless law permits. Secured Party documents process, bids, conflicts, purchaser relationships, and reasons for sale method.</w:t>
      </w:r>
    </w:p>
    <w:p>
      <w:pPr>
        <w:pStyle w:val="Heading2"/>
      </w:pPr>
      <w:r>
        <w:t>16. Power of Attorney</w:t>
      </w:r>
    </w:p>
    <w:p>
      <w:pPr>
        <w:pStyle w:val="AgreementText"/>
      </w:pPr>
      <w:r>
        <w:t>Any power of attorney is limited, coupled with an interest, and exercisable only after the stated default trigger to complete transfers, endorsements, registrations, notices, and other lawful enforcement steps. It does not authorize unrelated management, false filings, or alteration of economic rights before enforcement. Use must be documented.</w:t>
      </w:r>
    </w:p>
    <w:p>
      <w:pPr>
        <w:pStyle w:val="Heading2"/>
      </w:pPr>
      <w:r>
        <w:t>17. Release</w:t>
      </w:r>
    </w:p>
    <w:p>
      <w:pPr>
        <w:pStyle w:val="AgreementText"/>
      </w:pPr>
      <w:r>
        <w:t>Upon discharge of Obligations or approved partial release, Secured Party returns certificates and powers, terminates control and financing statements, withdraws issuer instructions, and provides release evidence. Pledgor confirms delivery instructions and indemnifies only for misdirection caused by inaccurate instructions, not lender negligence. Replacement certificates require a documented lost-instrument process.</w:t>
      </w:r>
    </w:p>
    <w:p>
      <w:pPr>
        <w:pStyle w:val="Heading2"/>
      </w:pPr>
      <w:r>
        <w:t>18. General Terms</w:t>
      </w:r>
    </w:p>
    <w:p>
      <w:pPr>
        <w:pStyle w:val="AgreementText"/>
      </w:pPr>
      <w:r>
        <w:t>Notices must be delivered by [METHODS] to the completed addresses and are effective on [OBJECTIVE RECEIPT RULE]. Secured Party may assign this Agreement only with the related Secured Obligations; Pledgor may not assign it without Secured Party’s prior written consent. Article 8 and Article 9 choice-of-law rules govern classification, perfection, and priority; [STATE] governs other contractual issues, subject to the Issuer’s governing law and mandatory securities, entity, and regulatory law. A waiver must be written and applies only to the stated instance. Invalid terms are narrowed only to the minimum enforceable scope. Electronic signatures and counterparts are effective for this Agreement, but any certificate, instrument, stock power, control acknowledgment, or transfer document must satisfy its separate delivery and originality requirements. This Agreement, its schedules, and the identified credit documents are the entire agreement on the pledge and may be amended only in a writing signed by Pledgor and Secured Party, with Issuer consent where its obligations are affected. Secured Party shall use reasonable care in custody of tangible collateral. Reinstatement, accounting, release, dispute, and other terms intended by their nature to continue survive until final Discharge.</w:t>
      </w:r>
    </w:p>
    <w:p>
      <w:pPr>
        <w:pStyle w:val="Heading1"/>
      </w:pPr>
      <w:r>
        <w:t>Signatures</w:t>
      </w:r>
    </w:p>
    <w:tbl>
      <w:tblPr>
        <w:tblW w:type="dxa" w:w="9360"/>
        <w:jc w:val="left"/>
        <w:tblLayout w:type="fixed"/>
        <w:tblLook w:firstColumn="1" w:firstRow="1" w:lastColumn="0" w:lastRow="0" w:noHBand="0" w:noVBand="1" w:val="04A0"/>
        <w:tblInd w:w="120" w:type="dxa"/>
      </w:tblPr>
      <w:tblGrid>
        <w:gridCol w:w="3120"/>
        <w:gridCol w:w="3120"/>
        <w:gridCol w:w="3120"/>
      </w:tblGrid>
      <w:tr>
        <w:trPr>
          <w:cantSplit/>
          <w:trHeight w:hRule="atLeast"/>
        </w:trPr>
        <w:tc>
          <w:tcPr>
            <w:tcW w:type="dxa" w:w="3120"/>
            <w:vAlign w:val="top"/>
            <w:tcMar>
              <w:top w:w="80" w:type="dxa"/>
              <w:bottom w:w="80" w:type="dxa"/>
              <w:start w:w="120" w:type="dxa"/>
              <w:end w:w="120" w:type="dxa"/>
            </w:tcMar>
          </w:tcPr>
          <w:p>
            <w:r>
              <w:rPr>
                <w:rFonts w:ascii="Calibri" w:hAnsi="Calibri" w:eastAsia="Calibri"/>
                <w:b/>
                <w:i w:val="0"/>
                <w:color w:val="17365D"/>
                <w:sz w:val="18"/>
              </w:rPr>
              <w:t>PLEDGOR</w:t>
              <w:br/>
            </w:r>
            <w:r>
              <w:rPr>
                <w:rFonts w:ascii="Calibri" w:hAnsi="Calibri" w:eastAsia="Calibri"/>
                <w:b w:val="0"/>
                <w:i w:val="0"/>
                <w:color w:val="111111"/>
                <w:sz w:val="18"/>
              </w:rPr>
              <w:t>[PLEDGOR LEGAL NAME]</w:t>
              <w:br/>
            </w:r>
            <w:r>
              <w:rPr>
                <w:rFonts w:ascii="Calibri" w:hAnsi="Calibri" w:eastAsia="Calibri"/>
                <w:b w:val="0"/>
                <w:i w:val="0"/>
                <w:color w:val="111111"/>
                <w:sz w:val="18"/>
              </w:rPr>
              <w:t>By: [NAME]</w:t>
              <w:br/>
            </w:r>
            <w:r>
              <w:rPr>
                <w:rFonts w:ascii="Calibri" w:hAnsi="Calibri" w:eastAsia="Calibri"/>
                <w:b w:val="0"/>
                <w:i w:val="0"/>
                <w:color w:val="111111"/>
                <w:sz w:val="18"/>
              </w:rPr>
              <w:t>Title: [TITLE]</w:t>
              <w:br/>
            </w:r>
            <w:r>
              <w:rPr>
                <w:rFonts w:ascii="Calibri" w:hAnsi="Calibri" w:eastAsia="Calibri"/>
                <w:b w:val="0"/>
                <w:i w:val="0"/>
                <w:color w:val="111111"/>
                <w:sz w:val="18"/>
              </w:rPr>
              <w:t>Date: [DATE]</w:t>
            </w:r>
          </w:p>
        </w:tc>
        <w:tc>
          <w:tcPr>
            <w:tcW w:type="dxa" w:w="3120"/>
            <w:vAlign w:val="top"/>
            <w:tcMar>
              <w:top w:w="80" w:type="dxa"/>
              <w:bottom w:w="80" w:type="dxa"/>
              <w:start w:w="120" w:type="dxa"/>
              <w:end w:w="120" w:type="dxa"/>
            </w:tcMar>
          </w:tcPr>
          <w:p>
            <w:r>
              <w:rPr>
                <w:rFonts w:ascii="Calibri" w:hAnsi="Calibri" w:eastAsia="Calibri"/>
                <w:b/>
                <w:i w:val="0"/>
                <w:color w:val="17365D"/>
                <w:sz w:val="18"/>
              </w:rPr>
              <w:t>SECURED PARTY</w:t>
              <w:br/>
            </w:r>
            <w:r>
              <w:rPr>
                <w:rFonts w:ascii="Calibri" w:hAnsi="Calibri" w:eastAsia="Calibri"/>
                <w:b w:val="0"/>
                <w:i w:val="0"/>
                <w:color w:val="111111"/>
                <w:sz w:val="18"/>
              </w:rPr>
              <w:t>[SECURED PARTY LEGAL NAME]</w:t>
              <w:br/>
            </w:r>
            <w:r>
              <w:rPr>
                <w:rFonts w:ascii="Calibri" w:hAnsi="Calibri" w:eastAsia="Calibri"/>
                <w:b w:val="0"/>
                <w:i w:val="0"/>
                <w:color w:val="111111"/>
                <w:sz w:val="18"/>
              </w:rPr>
              <w:t>By: [NAME]</w:t>
              <w:br/>
            </w:r>
            <w:r>
              <w:rPr>
                <w:rFonts w:ascii="Calibri" w:hAnsi="Calibri" w:eastAsia="Calibri"/>
                <w:b w:val="0"/>
                <w:i w:val="0"/>
                <w:color w:val="111111"/>
                <w:sz w:val="18"/>
              </w:rPr>
              <w:t>Title: [TITLE]</w:t>
              <w:br/>
            </w:r>
            <w:r>
              <w:rPr>
                <w:rFonts w:ascii="Calibri" w:hAnsi="Calibri" w:eastAsia="Calibri"/>
                <w:b w:val="0"/>
                <w:i w:val="0"/>
                <w:color w:val="111111"/>
                <w:sz w:val="18"/>
              </w:rPr>
              <w:t>Date: [DATE]</w:t>
            </w:r>
          </w:p>
        </w:tc>
        <w:tc>
          <w:tcPr>
            <w:tcW w:type="dxa" w:w="3120"/>
            <w:vAlign w:val="top"/>
            <w:tcMar>
              <w:top w:w="80" w:type="dxa"/>
              <w:bottom w:w="80" w:type="dxa"/>
              <w:start w:w="120" w:type="dxa"/>
              <w:end w:w="120" w:type="dxa"/>
            </w:tcMar>
          </w:tcPr>
          <w:p>
            <w:r>
              <w:rPr>
                <w:rFonts w:ascii="Calibri" w:hAnsi="Calibri" w:eastAsia="Calibri"/>
                <w:b/>
                <w:i w:val="0"/>
                <w:color w:val="17365D"/>
                <w:sz w:val="18"/>
              </w:rPr>
              <w:t>ISSUER ACKNOWLEDGMENT</w:t>
              <w:br/>
            </w:r>
            <w:r>
              <w:rPr>
                <w:rFonts w:ascii="Calibri" w:hAnsi="Calibri" w:eastAsia="Calibri"/>
                <w:b w:val="0"/>
                <w:i w:val="0"/>
                <w:color w:val="111111"/>
                <w:sz w:val="18"/>
              </w:rPr>
              <w:t>[ISSUER LEGAL NAME]</w:t>
              <w:br/>
            </w:r>
            <w:r>
              <w:rPr>
                <w:rFonts w:ascii="Calibri" w:hAnsi="Calibri" w:eastAsia="Calibri"/>
                <w:b w:val="0"/>
                <w:i w:val="0"/>
                <w:color w:val="111111"/>
                <w:sz w:val="18"/>
              </w:rPr>
              <w:t>By: [NAME]</w:t>
              <w:br/>
            </w:r>
            <w:r>
              <w:rPr>
                <w:rFonts w:ascii="Calibri" w:hAnsi="Calibri" w:eastAsia="Calibri"/>
                <w:b w:val="0"/>
                <w:i w:val="0"/>
                <w:color w:val="111111"/>
                <w:sz w:val="18"/>
              </w:rPr>
              <w:t>Title: [TITLE]</w:t>
              <w:br/>
            </w:r>
            <w:r>
              <w:rPr>
                <w:rFonts w:ascii="Calibri" w:hAnsi="Calibri" w:eastAsia="Calibri"/>
                <w:b w:val="0"/>
                <w:i w:val="0"/>
                <w:color w:val="111111"/>
                <w:sz w:val="18"/>
              </w:rPr>
              <w:t>Date: [DATE]</w:t>
            </w:r>
          </w:p>
        </w:tc>
      </w:tr>
    </w:tbl>
    <w:p/>
    <w:p>
      <w:pPr>
        <w:pStyle w:val="Heading1"/>
        <w:pageBreakBefore/>
      </w:pPr>
      <w:r>
        <w:t>Schedule 1 — Pledged Equity Register</w:t>
      </w:r>
    </w:p>
    <w:p>
      <w:r>
        <w:rPr>
          <w:rFonts w:ascii="Calibri" w:hAnsi="Calibri" w:eastAsia="Calibri"/>
          <w:b w:val="0"/>
          <w:i/>
          <w:color w:val="5B6573"/>
          <w:sz w:val="19"/>
        </w:rPr>
        <w:t>Complete, reconcile to the operative terms, and delete instructions before execution. Reconcile to issuer ledger and cap table.</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Issuer/class</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Quantity/%</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Certificate/account</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Owner/restrictions</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[ISSUER/CLASS]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[CERTIFICATE]</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[OWNER/ROFR]</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[ISSUER/CLASS]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[UNCERTIFICATED]</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[OWNER/CONSENT]</w:t>
            </w:r>
          </w:p>
        </w:tc>
      </w:tr>
    </w:tbl>
    <w:p/>
    <w:p>
      <w:pPr>
        <w:pStyle w:val="Heading1"/>
        <w:pageBreakBefore/>
      </w:pPr>
      <w:r>
        <w:t>Schedule 2 — Perfection and Delivery</w:t>
      </w:r>
    </w:p>
    <w:p>
      <w:r>
        <w:rPr>
          <w:rFonts w:ascii="Calibri" w:hAnsi="Calibri" w:eastAsia="Calibri"/>
          <w:b w:val="0"/>
          <w:i/>
          <w:color w:val="5B6573"/>
          <w:sz w:val="19"/>
        </w:rPr>
        <w:t>Complete, reconcile to the operative terms, and delete instructions before execution. Confirm enacted law and issuer status.</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Asset</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Classification</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Method</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Closing evidence</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Certificate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Certificated security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Possession + power</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[RECEIPT]</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Uncertificated</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[SECURITY/GENERAL INTANGIBLE]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[CONTROL/FILING]</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[ISSUER ACK]</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Securities account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Security entitlement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Control</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[SACA]</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LLC interest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[ARTICLE 8 ELECTION?]</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[METHOD]</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[GOV DOC]</w:t>
            </w:r>
          </w:p>
        </w:tc>
      </w:tr>
    </w:tbl>
    <w:p/>
    <w:p>
      <w:pPr>
        <w:pStyle w:val="Heading1"/>
        <w:pageBreakBefore/>
      </w:pPr>
      <w:r>
        <w:t>Schedule 3 — Consents and Restrictions</w:t>
      </w:r>
    </w:p>
    <w:p>
      <w:r>
        <w:rPr>
          <w:rFonts w:ascii="Calibri" w:hAnsi="Calibri" w:eastAsia="Calibri"/>
          <w:b w:val="0"/>
          <w:i/>
          <w:color w:val="5B6573"/>
          <w:sz w:val="19"/>
        </w:rPr>
        <w:t>Complete, reconcile to the operative terms, and delete instructions before execution. Complete before attachment and enforcement assumptions.</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Source</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Restriction</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Consent/solution</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Status</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Charter/bylaws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[RESTRICTION]</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[CONSENT]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[OPEN/DONE]</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Investor agreement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[ROFR/CO-SALE]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[WAIVER]</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[STATUS]</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LLC agreement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[TRANSFER/ADMISSION]</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[JOINDER]</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[STATUS]</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Regulatory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[LICENSE]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[APPROVAL]</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[STATUS]</w:t>
            </w:r>
          </w:p>
        </w:tc>
      </w:tr>
    </w:tbl>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Pr>
    <w:tblGrid>
      <w:gridCol w:w="7000"/>
      <w:gridCol w:w="2360"/>
    </w:tblGrid>
    <w:tr>
      <w:trPr>
        <w:cantSplit/>
        <w:trHeight w:hRule="atLeast"/>
      </w:trPr>
      <w:tc>
        <w:tcPr>
          <w:tcW w:type="dxa" w:w="7000"/>
          <w:vAlign w:val="top"/>
          <w:tcMar>
            <w:top w:w="80" w:type="dxa"/>
            <w:bottom w:w="80" w:type="dxa"/>
            <w:start w:w="120" w:type="dxa"/>
            <w:end w:w="120" w:type="dxa"/>
          </w:tcMar>
        </w:tcPr>
        <w:p>
          <w:r>
            <w:rPr>
              <w:rFonts w:ascii="Calibri" w:hAnsi="Calibri" w:eastAsia="Calibri"/>
              <w:b w:val="0"/>
              <w:i w:val="0"/>
              <w:color w:val="5B6573"/>
              <w:sz w:val="16"/>
            </w:rPr>
            <w:t>Practitioner master | Complete and review before use</w:t>
          </w:r>
        </w:p>
      </w:tc>
      <w:tc>
        <w:tcPr>
          <w:tcW w:type="dxa" w:w="2360"/>
          <w:vAlign w:val="top"/>
          <w:tcMar>
            <w:top w:w="80" w:type="dxa"/>
            <w:bottom w:w="80" w:type="dxa"/>
            <w:start w:w="120" w:type="dxa"/>
            <w:end w:w="120" w:type="dxa"/>
          </w:tcMar>
        </w:tcPr>
        <w:p>
          <w:pPr>
            <w:jc w:val="right"/>
          </w:pPr>
          <w:r>
            <w:rPr>
              <w:rFonts w:ascii="Calibri" w:hAnsi="Calibri" w:eastAsia="Calibri"/>
              <w:b w:val="0"/>
              <w:i w:val="0"/>
              <w:color w:val="5B6573"/>
              <w:sz w:val="16"/>
            </w:rPr>
            <w:t xml:space="preserve">Page </w:t>
          </w:r>
          <w:r>
            <w:rPr>
              <w:rFonts w:ascii="Calibri" w:hAnsi="Calibri" w:eastAsia="Calibri"/>
              <w:b w:val="0"/>
              <w:i w:val="0"/>
              <w:color w:val="5B6573"/>
              <w:sz w:val="16"/>
            </w:rPr>
            <w:fldChar w:fldCharType="begin"/>
            <w:instrText xml:space="preserve">PAGE</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9360"/>
      <w:jc w:val="left"/>
      <w:tblLayout w:type="fixed"/>
      <w:tblLook w:firstColumn="1" w:firstRow="1" w:lastColumn="0" w:lastRow="0" w:noHBand="0" w:noVBand="1" w:val="04A0"/>
      <w:tblInd w:w="120" w:type="dxa"/>
    </w:tblPr>
    <w:tblGrid>
      <w:gridCol w:w="5600"/>
      <w:gridCol w:w="3760"/>
    </w:tblGrid>
    <w:tr>
      <w:trPr>
        <w:cantSplit/>
        <w:trHeight w:hRule="atLeast"/>
      </w:trPr>
      <w:tc>
        <w:tcPr>
          <w:tcW w:type="dxa" w:w="5600"/>
          <w:vAlign w:val="top"/>
          <w:tcMar>
            <w:top w:w="80" w:type="dxa"/>
            <w:bottom w:w="80" w:type="dxa"/>
            <w:start w:w="120" w:type="dxa"/>
            <w:end w:w="120" w:type="dxa"/>
          </w:tcMar>
        </w:tcPr>
        <w:p>
          <w:pPr>
            <w:jc w:val="left"/>
          </w:pPr>
          <w:r>
            <w:rPr>
              <w:rFonts w:ascii="Calibri" w:hAnsi="Calibri" w:eastAsia="Calibri"/>
              <w:b/>
              <w:i w:val="0"/>
              <w:color w:val="17365D"/>
              <w:sz w:val="17"/>
            </w:rPr>
            <w:t>MONTAGUE ENTREPRENEUR FORMS</w:t>
          </w:r>
        </w:p>
      </w:tc>
      <w:tc>
        <w:tcPr>
          <w:tcW w:type="dxa" w:w="3760"/>
          <w:vAlign w:val="top"/>
          <w:tcMar>
            <w:top w:w="80" w:type="dxa"/>
            <w:bottom w:w="80" w:type="dxa"/>
            <w:start w:w="120" w:type="dxa"/>
            <w:end w:w="120" w:type="dxa"/>
          </w:tcMar>
        </w:tcPr>
        <w:p>
          <w:pPr>
            <w:jc w:val="right"/>
          </w:pPr>
          <w:r>
            <w:rPr>
              <w:rFonts w:ascii="Calibri" w:hAnsi="Calibri" w:eastAsia="Calibri"/>
              <w:b/>
              <w:i w:val="0"/>
              <w:color w:val="17365D"/>
              <w:sz w:val="17"/>
            </w:rPr>
            <w:t>EF-079 | v3.1.0</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greementText">
    <w:name w:val="Agreement Text"/>
    <w:pPr>
      <w:spacing w:before="0" w:after="120" w:line="264" w:lineRule="auto"/>
    </w:pPr>
    <w:rPr>
      <w:rFonts w:ascii="Calibri" w:hAnsi="Calibri"/>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Pledge Agreement</dc:title>
  <dc:subject>Lean original legal practitioner master; companion analysis maintained separately</dc:subject>
  <dc:creator>Montague Entrepreneur Forms</dc:creator>
  <cp:keywords>EF-079, entrepreneur forms, practitioner master, Ground Truth</cp:keywords>
  <dc:description>Original drafting. No Westlaw or Practical Law text reproduced.</dc:description>
  <cp:lastModifiedBy/>
  <cp:revision>1</cp:revision>
  <dcterms:created xsi:type="dcterms:W3CDTF">2013-12-23T23:15:00Z</dcterms:created>
  <dcterms:modified xsi:type="dcterms:W3CDTF">2013-12-23T23:15:00Z</dcterms:modified>
  <cp:category/>
</cp:coreProperties>
</file>