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Secondary Transfer Deal Control, Closing Checklist and Stock-Ledger Instructions — Private Company</w:t>
      </w:r>
    </w:p>
    <w:p>
      <w:pPr>
        <w:widowControl/>
        <w:spacing w:after="240"/>
        <w:jc w:val="center"/>
      </w:pPr>
      <w:r>
        <w:rPr>
          <w:rFonts w:ascii="Times New Roman" w:hAnsi="Times New Roman"/>
          <w:b/>
          <w:sz w:val="20"/>
        </w:rPr>
        <w:t>EF-096  |  VERSION 1.0.0  |  29 SEPTEMBER 2026</w:t>
      </w:r>
    </w:p>
    <w:p>
      <w:pPr>
        <w:pStyle w:val="PractitionerBanner"/>
        <w:widowControl/>
        <w:shd w:fill="F2F2F2"/>
      </w:pPr>
      <w:r>
        <w:t>PRACTITIONER MASTER — EDUCATIONAL STARTING POINT ONLY. This checklist is a control document, not a legal opinion. Assign a named owner and objective evidence to every item; no blank or “N/A” entry should remain unexplained at Closing.</w:t>
      </w:r>
    </w:p>
    <w:p>
      <w:pPr>
        <w:pStyle w:val="Heading2"/>
        <w:widowControl/>
        <w:ind w:left="0" w:firstLine="0"/>
        <w:jc w:val="center"/>
      </w:pPr>
      <w:r>
        <w:rPr>
          <w:rFonts w:ascii="Times New Roman" w:hAnsi="Times New Roman"/>
          <w:b/>
          <w:sz w:val="24"/>
          <w:u w:val="none"/>
        </w:rPr>
        <w:t>Matter Completion Sheet — Open the File with These Controls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Control</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entry</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Owner / status</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Matter identification</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Seller; Purchaser; shares; agreement date; Closing target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Authoritative record</w:t>
            </w:r>
          </w:p>
        </w:tc>
        <w:tc>
          <w:tcPr>
            <w:tcW w:type="dxa" w:w="6120"/>
            <w:vAlign w:val="center"/>
            <w:tcMar>
              <w:top w:w="55" w:type="dxa"/>
              <w:start w:w="70" w:type="dxa"/>
              <w:bottom w:w="55" w:type="dxa"/>
              <w:end w:w="70" w:type="dxa"/>
            </w:tcMar>
          </w:tcPr>
          <w:p>
            <w:pPr>
              <w:spacing w:after="0"/>
            </w:pPr>
            <w:r>
              <w:rPr>
                <w:rFonts w:ascii="Times New Roman" w:hAnsi="Times New Roman"/>
                <w:sz w:val="17"/>
              </w:rPr>
              <w:t>Custodian and location of stock ledger; cut-off date; reconciliation reviewer</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Deal team</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seller, purchaser, securities, tax, escrow and transfer-agent contacts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Approval path</w:t>
            </w:r>
          </w:p>
        </w:tc>
        <w:tc>
          <w:tcPr>
            <w:tcW w:type="dxa" w:w="6120"/>
            <w:vAlign w:val="center"/>
            <w:tcMar>
              <w:top w:w="55" w:type="dxa"/>
              <w:start w:w="70" w:type="dxa"/>
              <w:bottom w:w="55" w:type="dxa"/>
              <w:end w:w="70" w:type="dxa"/>
            </w:tcMar>
          </w:tcPr>
          <w:p>
            <w:pPr>
              <w:spacing w:after="0"/>
            </w:pPr>
            <w:r>
              <w:rPr>
                <w:rFonts w:ascii="Times New Roman" w:hAnsi="Times New Roman"/>
                <w:sz w:val="17"/>
              </w:rPr>
              <w:t>Board/committee/officer, Company rights, third-party rights and waiver holders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Securities path</w:t>
            </w:r>
          </w:p>
        </w:tc>
        <w:tc>
          <w:tcPr>
            <w:tcW w:type="dxa" w:w="6120"/>
            <w:vAlign w:val="center"/>
            <w:tcMar>
              <w:top w:w="55" w:type="dxa"/>
              <w:start w:w="70" w:type="dxa"/>
              <w:bottom w:w="55" w:type="dxa"/>
              <w:end w:w="70" w:type="dxa"/>
            </w:tcMar>
          </w:tcPr>
          <w:p>
            <w:pPr>
              <w:spacing w:after="0"/>
            </w:pPr>
            <w:r>
              <w:rPr>
                <w:rFonts w:ascii="Times New Roman" w:hAnsi="Times New Roman"/>
                <w:sz w:val="17"/>
              </w:rPr>
              <w:t>Federal and state basis; facts memo; counsel sign-off</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Information process</w:t>
            </w:r>
          </w:p>
        </w:tc>
        <w:tc>
          <w:tcPr>
            <w:tcW w:type="dxa" w:w="6120"/>
            <w:vAlign w:val="center"/>
            <w:tcMar>
              <w:top w:w="55" w:type="dxa"/>
              <w:start w:w="70" w:type="dxa"/>
              <w:bottom w:w="55" w:type="dxa"/>
              <w:end w:w="70" w:type="dxa"/>
            </w:tcMar>
          </w:tcPr>
          <w:p>
            <w:pPr>
              <w:spacing w:after="0"/>
            </w:pPr>
            <w:r>
              <w:rPr>
                <w:rFonts w:ascii="Times New Roman" w:hAnsi="Times New Roman"/>
                <w:sz w:val="17"/>
              </w:rPr>
              <w:t>NDA, data room, Q&amp;A, cut-off, supplement, competitor/privilege controls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Money control</w:t>
            </w:r>
          </w:p>
        </w:tc>
        <w:tc>
          <w:tcPr>
            <w:tcW w:type="dxa" w:w="6120"/>
            <w:vAlign w:val="center"/>
            <w:tcMar>
              <w:top w:w="55" w:type="dxa"/>
              <w:start w:w="70" w:type="dxa"/>
              <w:bottom w:w="55" w:type="dxa"/>
              <w:end w:w="70" w:type="dxa"/>
            </w:tcMar>
          </w:tcPr>
          <w:p>
            <w:pPr>
              <w:spacing w:after="0"/>
            </w:pPr>
            <w:r>
              <w:rPr>
                <w:rFonts w:ascii="Times New Roman" w:hAnsi="Times New Roman"/>
                <w:sz w:val="17"/>
              </w:rPr>
              <w:t>Escrow/direct, sources and uses, authentication, withholding, fees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Closing authority</w:t>
            </w:r>
          </w:p>
        </w:tc>
        <w:tc>
          <w:tcPr>
            <w:tcW w:type="dxa" w:w="6120"/>
            <w:vAlign w:val="center"/>
            <w:tcMar>
              <w:top w:w="55" w:type="dxa"/>
              <w:start w:w="70" w:type="dxa"/>
              <w:bottom w:w="55" w:type="dxa"/>
              <w:end w:w="70" w:type="dxa"/>
            </w:tcMar>
          </w:tcPr>
          <w:p>
            <w:pPr>
              <w:spacing w:after="0"/>
            </w:pPr>
            <w:r>
              <w:rPr>
                <w:rFonts w:ascii="Times New Roman" w:hAnsi="Times New Roman"/>
                <w:sz w:val="17"/>
              </w:rPr>
              <w:t>Closing coordinator; release approvers; backup; outside date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Post-Closing</w:t>
            </w:r>
          </w:p>
        </w:tc>
        <w:tc>
          <w:tcPr>
            <w:tcW w:type="dxa" w:w="6120"/>
            <w:vAlign w:val="center"/>
            <w:tcMar>
              <w:top w:w="55" w:type="dxa"/>
              <w:start w:w="70" w:type="dxa"/>
              <w:bottom w:w="55" w:type="dxa"/>
              <w:end w:w="70" w:type="dxa"/>
            </w:tcMar>
          </w:tcPr>
          <w:p>
            <w:pPr>
              <w:spacing w:after="0"/>
            </w:pPr>
            <w:r>
              <w:rPr>
                <w:rFonts w:ascii="Times New Roman" w:hAnsi="Times New Roman"/>
                <w:sz w:val="17"/>
              </w:rPr>
              <w:t>Ledger, certificate/notice, agreement schedules, tax/reporting, archive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Exceptions</w:t>
            </w:r>
          </w:p>
        </w:tc>
        <w:tc>
          <w:tcPr>
            <w:tcW w:type="dxa" w:w="6120"/>
            <w:vAlign w:val="center"/>
            <w:tcMar>
              <w:top w:w="55" w:type="dxa"/>
              <w:start w:w="70" w:type="dxa"/>
              <w:bottom w:w="55" w:type="dxa"/>
              <w:end w:w="70" w:type="dxa"/>
            </w:tcMar>
          </w:tcPr>
          <w:p>
            <w:pPr>
              <w:spacing w:after="0"/>
            </w:pPr>
            <w:r>
              <w:rPr>
                <w:rFonts w:ascii="Times New Roman" w:hAnsi="Times New Roman"/>
                <w:sz w:val="17"/>
              </w:rPr>
              <w:t>Every deviation, approving person, legal basis and expiration</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1"/>
        <w:widowControl/>
      </w:pPr>
      <w:r>
        <w:rPr>
          <w:rFonts w:ascii="Times New Roman" w:hAnsi="Times New Roman"/>
          <w:b/>
          <w:sz w:val="24"/>
          <w:u w:val="none"/>
        </w:rPr>
        <w:t>DEAL CONTROL MEMORANDUM</w:t>
      </w:r>
    </w:p>
    <w:p>
      <w:pPr>
        <w:pStyle w:val="Heading2"/>
        <w:widowControl/>
        <w:ind w:left="0" w:firstLine="0"/>
      </w:pPr>
      <w:r>
        <w:rPr>
          <w:rFonts w:ascii="Times New Roman" w:hAnsi="Times New Roman"/>
          <w:b/>
          <w:sz w:val="22"/>
          <w:u w:val="single"/>
        </w:rPr>
        <w:t>1. Transaction Snapshot</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Final transaction detail</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Company / jurisdiction</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Seller / capacity</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Purchaser / entity type / beneficial owners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Shares / class / certificate or book entry</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Price per share / aggregate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Purchase Agreement</w:t>
            </w:r>
          </w:p>
        </w:tc>
        <w:tc>
          <w:tcPr>
            <w:tcW w:type="dxa" w:w="4680"/>
            <w:vAlign w:val="center"/>
            <w:tcMar>
              <w:top w:w="55" w:type="dxa"/>
              <w:start w:w="70" w:type="dxa"/>
              <w:bottom w:w="55" w:type="dxa"/>
              <w:end w:w="70" w:type="dxa"/>
            </w:tcMar>
          </w:tcPr>
          <w:p>
            <w:pPr>
              <w:spacing w:after="0"/>
            </w:pPr>
            <w:r>
              <w:rPr>
                <w:rFonts w:ascii="Times New Roman" w:hAnsi="Times New Roman"/>
                <w:sz w:val="18"/>
              </w:rPr>
              <w:t>[TITLE / DATE / VERSION]</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Closing date / outside date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Closing method</w:t>
            </w:r>
          </w:p>
        </w:tc>
        <w:tc>
          <w:tcPr>
            <w:tcW w:type="dxa" w:w="4680"/>
            <w:vAlign w:val="center"/>
            <w:tcMar>
              <w:top w:w="55" w:type="dxa"/>
              <w:start w:w="70" w:type="dxa"/>
              <w:bottom w:w="55" w:type="dxa"/>
              <w:end w:w="70" w:type="dxa"/>
            </w:tcMar>
          </w:tcPr>
          <w:p>
            <w:pPr>
              <w:spacing w:after="0"/>
            </w:pPr>
            <w:r>
              <w:rPr>
                <w:rFonts w:ascii="Times New Roman" w:hAnsi="Times New Roman"/>
                <w:sz w:val="18"/>
              </w:rPr>
              <w:t>[ESCROW / DIRECT DVP / OTHER]</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Program or one-off approval</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2"/>
        <w:widowControl/>
        <w:ind w:left="0" w:firstLine="0"/>
      </w:pPr>
      <w:r>
        <w:rPr>
          <w:rFonts w:ascii="Times New Roman" w:hAnsi="Times New Roman"/>
          <w:b/>
          <w:sz w:val="22"/>
          <w:u w:val="single"/>
        </w:rPr>
        <w:t>2. Governing-Document and Rights Audit</w:t>
      </w:r>
    </w:p>
    <w:p>
      <w:pPr>
        <w:widowControl/>
        <w:ind w:firstLine="720"/>
        <w:jc w:val="both"/>
      </w:pPr>
      <w:r>
        <w:t>Create a complete, date-stamped document list before negotiating. Review signed versions and all amendments; do not rely on a summary.</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Source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Relevant control</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Holder / authority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Procedure and deadline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Evidence / status</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Certificate of incorporation</w:t>
            </w:r>
          </w:p>
        </w:tc>
        <w:tc>
          <w:tcPr>
            <w:tcW w:type="dxa" w:w="1872"/>
            <w:vAlign w:val="center"/>
            <w:tcMar>
              <w:top w:w="55" w:type="dxa"/>
              <w:start w:w="70" w:type="dxa"/>
              <w:bottom w:w="55" w:type="dxa"/>
              <w:end w:w="70" w:type="dxa"/>
            </w:tcMar>
          </w:tcPr>
          <w:p>
            <w:pPr>
              <w:spacing w:after="0"/>
            </w:pPr>
            <w:r>
              <w:rPr>
                <w:rFonts w:ascii="Times New Roman" w:hAnsi="Times New Roman"/>
                <w:sz w:val="18"/>
              </w:rPr>
              <w:t>[Class rights / ownership limits / other]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Bylaws</w:t>
            </w:r>
          </w:p>
        </w:tc>
        <w:tc>
          <w:tcPr>
            <w:tcW w:type="dxa" w:w="1872"/>
            <w:vAlign w:val="center"/>
            <w:tcMar>
              <w:top w:w="55" w:type="dxa"/>
              <w:start w:w="70" w:type="dxa"/>
              <w:bottom w:w="55" w:type="dxa"/>
              <w:end w:w="70" w:type="dxa"/>
            </w:tcMar>
          </w:tcPr>
          <w:p>
            <w:pPr>
              <w:spacing w:after="0"/>
            </w:pPr>
            <w:r>
              <w:rPr>
                <w:rFonts w:ascii="Times New Roman" w:hAnsi="Times New Roman"/>
                <w:sz w:val="18"/>
              </w:rPr>
              <w:t>[Board/officer authority / transfer mechanics]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Original issuance or award document</w:t>
            </w:r>
          </w:p>
        </w:tc>
        <w:tc>
          <w:tcPr>
            <w:tcW w:type="dxa" w:w="1872"/>
            <w:vAlign w:val="center"/>
            <w:tcMar>
              <w:top w:w="55" w:type="dxa"/>
              <w:start w:w="70" w:type="dxa"/>
              <w:bottom w:w="55" w:type="dxa"/>
              <w:end w:w="70" w:type="dxa"/>
            </w:tcMar>
          </w:tcPr>
          <w:p>
            <w:pPr>
              <w:spacing w:after="0"/>
            </w:pPr>
            <w:r>
              <w:rPr>
                <w:rFonts w:ascii="Times New Roman" w:hAnsi="Times New Roman"/>
                <w:sz w:val="18"/>
              </w:rPr>
              <w:t>[Vesting / repurchase / legends]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ROFR / co-sale agreement</w:t>
            </w:r>
          </w:p>
        </w:tc>
        <w:tc>
          <w:tcPr>
            <w:tcW w:type="dxa" w:w="1872"/>
            <w:vAlign w:val="center"/>
            <w:tcMar>
              <w:top w:w="55" w:type="dxa"/>
              <w:start w:w="70" w:type="dxa"/>
              <w:bottom w:w="55" w:type="dxa"/>
              <w:end w:w="70" w:type="dxa"/>
            </w:tcMar>
          </w:tcPr>
          <w:p>
            <w:pPr>
              <w:spacing w:after="0"/>
            </w:pPr>
            <w:r>
              <w:rPr>
                <w:rFonts w:ascii="Times New Roman" w:hAnsi="Times New Roman"/>
                <w:sz w:val="18"/>
              </w:rPr>
              <w:t>[ROFR / co-sale / permitted transfer]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Voting agreement</w:t>
            </w:r>
          </w:p>
        </w:tc>
        <w:tc>
          <w:tcPr>
            <w:tcW w:type="dxa" w:w="1872"/>
            <w:vAlign w:val="center"/>
            <w:tcMar>
              <w:top w:w="55" w:type="dxa"/>
              <w:start w:w="70" w:type="dxa"/>
              <w:bottom w:w="55" w:type="dxa"/>
              <w:end w:w="70" w:type="dxa"/>
            </w:tcMar>
          </w:tcPr>
          <w:p>
            <w:pPr>
              <w:spacing w:after="0"/>
            </w:pPr>
            <w:r>
              <w:rPr>
                <w:rFonts w:ascii="Times New Roman" w:hAnsi="Times New Roman"/>
                <w:sz w:val="18"/>
              </w:rPr>
              <w:t>[Joinder / voting / drag]</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Investor-rights agreement</w:t>
            </w:r>
          </w:p>
        </w:tc>
        <w:tc>
          <w:tcPr>
            <w:tcW w:type="dxa" w:w="1872"/>
            <w:vAlign w:val="center"/>
            <w:tcMar>
              <w:top w:w="55" w:type="dxa"/>
              <w:start w:w="70" w:type="dxa"/>
              <w:bottom w:w="55" w:type="dxa"/>
              <w:end w:w="70" w:type="dxa"/>
            </w:tcMar>
          </w:tcPr>
          <w:p>
            <w:pPr>
              <w:spacing w:after="0"/>
            </w:pPr>
            <w:r>
              <w:rPr>
                <w:rFonts w:ascii="Times New Roman" w:hAnsi="Times New Roman"/>
                <w:sz w:val="18"/>
              </w:rPr>
              <w:t>[Information / registration / preemptive]</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Lock-up / market standoff</w:t>
            </w:r>
          </w:p>
        </w:tc>
        <w:tc>
          <w:tcPr>
            <w:tcW w:type="dxa" w:w="1872"/>
            <w:vAlign w:val="center"/>
            <w:tcMar>
              <w:top w:w="55" w:type="dxa"/>
              <w:start w:w="70" w:type="dxa"/>
              <w:bottom w:w="55" w:type="dxa"/>
              <w:end w:w="70" w:type="dxa"/>
            </w:tcMar>
          </w:tcPr>
          <w:p>
            <w:pPr>
              <w:spacing w:after="0"/>
            </w:pPr>
            <w:r>
              <w:rPr>
                <w:rFonts w:ascii="Times New Roman" w:hAnsi="Times New Roman"/>
                <w:sz w:val="18"/>
              </w:rPr>
              <w:t>[Consent / blackout]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Debt / pledge document</w:t>
            </w:r>
          </w:p>
        </w:tc>
        <w:tc>
          <w:tcPr>
            <w:tcW w:type="dxa" w:w="1872"/>
            <w:vAlign w:val="center"/>
            <w:tcMar>
              <w:top w:w="55" w:type="dxa"/>
              <w:start w:w="70" w:type="dxa"/>
              <w:bottom w:w="55" w:type="dxa"/>
              <w:end w:w="70" w:type="dxa"/>
            </w:tcMar>
          </w:tcPr>
          <w:p>
            <w:pPr>
              <w:spacing w:after="0"/>
            </w:pPr>
            <w:r>
              <w:rPr>
                <w:rFonts w:ascii="Times New Roman" w:hAnsi="Times New Roman"/>
                <w:sz w:val="18"/>
              </w:rPr>
              <w:t>[Lien / negative covenant]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Company policy</w:t>
            </w:r>
          </w:p>
        </w:tc>
        <w:tc>
          <w:tcPr>
            <w:tcW w:type="dxa" w:w="1872"/>
            <w:vAlign w:val="center"/>
            <w:tcMar>
              <w:top w:w="55" w:type="dxa"/>
              <w:start w:w="70" w:type="dxa"/>
              <w:bottom w:w="55" w:type="dxa"/>
              <w:end w:w="70" w:type="dxa"/>
            </w:tcMar>
          </w:tcPr>
          <w:p>
            <w:pPr>
              <w:spacing w:after="0"/>
            </w:pPr>
            <w:r>
              <w:rPr>
                <w:rFonts w:ascii="Times New Roman" w:hAnsi="Times New Roman"/>
                <w:sz w:val="18"/>
              </w:rPr>
              <w:t>[Window / cap / retention / process]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2"/>
        <w:widowControl/>
        <w:ind w:left="0" w:firstLine="0"/>
      </w:pPr>
      <w:r>
        <w:rPr>
          <w:rFonts w:ascii="Times New Roman" w:hAnsi="Times New Roman"/>
          <w:b/>
          <w:sz w:val="22"/>
          <w:u w:val="single"/>
        </w:rPr>
        <w:t>3. Capitalization and Chain-of-Title Control</w:t>
      </w:r>
    </w:p>
    <w:p>
      <w:pPr>
        <w:pStyle w:val="Heading3"/>
        <w:widowControl/>
        <w:ind w:left="0" w:firstLine="0"/>
      </w:pPr>
      <w:r>
        <w:rPr>
          <w:rFonts w:ascii="Times New Roman" w:hAnsi="Times New Roman"/>
          <w:b/>
          <w:sz w:val="22"/>
          <w:u w:val="single"/>
        </w:rPr>
        <w:t>3.1 Required Reconciliation</w:t>
      </w:r>
    </w:p>
    <w:p>
      <w:pPr>
        <w:pStyle w:val="ListBullet"/>
        <w:widowControl/>
        <w:spacing w:after="40"/>
        <w:ind w:left="346" w:hanging="202"/>
      </w:pPr>
      <w:r>
        <w:t>Obtain a certified stock-ledger excerpt dated no earlier than [DATE].</w:t>
      </w:r>
    </w:p>
    <w:p>
      <w:pPr>
        <w:pStyle w:val="ListBullet"/>
        <w:widowControl/>
        <w:spacing w:after="40"/>
        <w:ind w:left="346" w:hanging="202"/>
      </w:pPr>
      <w:r>
        <w:t>Reconcile Seller’s name, address, class, share count, issuance date, consideration and certificate or book-entry identifier to the cap table.</w:t>
      </w:r>
    </w:p>
    <w:p>
      <w:pPr>
        <w:pStyle w:val="ListBullet"/>
        <w:widowControl/>
        <w:spacing w:after="40"/>
        <w:ind w:left="346" w:hanging="202"/>
      </w:pPr>
      <w:r>
        <w:t>Trace splits, combinations, conversions, cancellations, transfers, certificate replacements and name changes.</w:t>
      </w:r>
    </w:p>
    <w:p>
      <w:pPr>
        <w:pStyle w:val="ListBullet"/>
        <w:widowControl/>
        <w:spacing w:after="40"/>
        <w:ind w:left="346" w:hanging="202"/>
      </w:pPr>
      <w:r>
        <w:t>Reconcile vesting, repurchase, forfeiture, clawback and service-termination records.</w:t>
      </w:r>
    </w:p>
    <w:p>
      <w:pPr>
        <w:pStyle w:val="ListBullet"/>
        <w:widowControl/>
        <w:spacing w:after="40"/>
        <w:ind w:left="346" w:hanging="202"/>
      </w:pPr>
      <w:r>
        <w:t>Identify pledges, custody, UCC filings where appropriate, marital rights, trusts, estates, divorce orders and other adverse claims.</w:t>
      </w:r>
    </w:p>
    <w:p>
      <w:pPr>
        <w:pStyle w:val="ListBullet"/>
        <w:widowControl/>
        <w:spacing w:after="40"/>
        <w:ind w:left="346" w:hanging="202"/>
      </w:pPr>
      <w:r>
        <w:t>Confirm Seller’s post-Closing holdings and any minimum-retention requirement.</w:t>
      </w:r>
    </w:p>
    <w:p>
      <w:pPr>
        <w:pStyle w:val="Heading3"/>
        <w:widowControl/>
        <w:ind w:left="0" w:firstLine="0"/>
      </w:pPr>
      <w:r>
        <w:rPr>
          <w:rFonts w:ascii="Times New Roman" w:hAnsi="Times New Roman"/>
          <w:b/>
          <w:sz w:val="22"/>
          <w:u w:val="single"/>
        </w:rPr>
        <w:t>3.2 Discrepancy Log</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Discrepancy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Records affected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Proposed correction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Approval / evidence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Closed by / date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No transaction may close with an unexplained difference between the stock ledger and the securities to be transferred. A platform display or spreadsheet does not supersede the authoritative ledger.</w:t>
      </w:r>
    </w:p>
    <w:p>
      <w:pPr>
        <w:pStyle w:val="Heading2"/>
        <w:widowControl/>
        <w:ind w:left="0" w:firstLine="0"/>
      </w:pPr>
      <w:r>
        <w:rPr>
          <w:rFonts w:ascii="Times New Roman" w:hAnsi="Times New Roman"/>
          <w:b/>
          <w:sz w:val="22"/>
          <w:u w:val="single"/>
        </w:rPr>
        <w:t>4. Securities-Law Workstream</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Question</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Counsel conclusion / factual predicate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Evidence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Sign-off</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Federal resale pathway</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Seller Affiliate status and holding period</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Information requirement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Manner, volume or purchaser limitations</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General solicitation / broker issue</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State securities law</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Purchaser eligibility / sophistication</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Legend and transfer-opinion standard</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Do not equate an accredited purchaser with an available seller exemption. Counsel must document the complete path and any facts that must remain true through Closing.</w:t>
      </w:r>
    </w:p>
    <w:p>
      <w:pPr>
        <w:pStyle w:val="Heading2"/>
        <w:widowControl/>
        <w:ind w:left="0" w:firstLine="0"/>
      </w:pPr>
      <w:r>
        <w:rPr>
          <w:rFonts w:ascii="Times New Roman" w:hAnsi="Times New Roman"/>
          <w:b/>
          <w:sz w:val="22"/>
          <w:u w:val="single"/>
        </w:rPr>
        <w:t>5. Corporate and Conflict Workstream</w:t>
      </w:r>
    </w:p>
    <w:p>
      <w:pPr>
        <w:pStyle w:val="ListBullet"/>
        <w:widowControl/>
        <w:spacing w:after="40"/>
        <w:ind w:left="346" w:hanging="202"/>
      </w:pPr>
      <w:r>
        <w:t>Identify whether approval belongs to the Board, a committee, an officer under delegated authority, one or more stockholder classes, or a contractual right holder.</w:t>
      </w:r>
    </w:p>
    <w:p>
      <w:pPr>
        <w:pStyle w:val="ListBullet"/>
        <w:widowControl/>
        <w:spacing w:after="40"/>
        <w:ind w:left="346" w:hanging="202"/>
      </w:pPr>
      <w:r>
        <w:t>Obtain interested-director, officer, controller, seller and purchaser disclosures.</w:t>
      </w:r>
    </w:p>
    <w:p>
      <w:pPr>
        <w:pStyle w:val="ListBullet"/>
        <w:widowControl/>
        <w:spacing w:after="40"/>
        <w:ind w:left="346" w:hanging="202"/>
      </w:pPr>
      <w:r>
        <w:t>Select a meeting, written consent or committee process that is lawful and creates an adequate record.</w:t>
      </w:r>
    </w:p>
    <w:p>
      <w:pPr>
        <w:pStyle w:val="ListBullet"/>
        <w:widowControl/>
        <w:spacing w:after="40"/>
        <w:ind w:left="346" w:hanging="202"/>
      </w:pPr>
      <w:r>
        <w:t>Record recusals, attendance, information considered, questions, advice, alternatives and the approving vote.</w:t>
      </w:r>
    </w:p>
    <w:p>
      <w:pPr>
        <w:pStyle w:val="ListBullet"/>
        <w:widowControl/>
        <w:spacing w:after="40"/>
        <w:ind w:left="346" w:hanging="202"/>
      </w:pPr>
      <w:r>
        <w:t>Confirm investor protective provisions, class votes, vetoes and amendment standards.</w:t>
      </w:r>
    </w:p>
    <w:p>
      <w:pPr>
        <w:pStyle w:val="ListBullet"/>
        <w:widowControl/>
        <w:spacing w:after="40"/>
        <w:ind w:left="346" w:hanging="202"/>
      </w:pPr>
      <w:r>
        <w:t>Verify that management does not waive a right held by another person or approve its own exception without authority.</w:t>
      </w:r>
    </w:p>
    <w:p>
      <w:pPr>
        <w:pStyle w:val="ListBullet"/>
        <w:widowControl/>
        <w:spacing w:after="40"/>
        <w:ind w:left="346" w:hanging="202"/>
      </w:pPr>
      <w:r>
        <w:t>Preserve the final action and attachments in the minute book.</w:t>
      </w:r>
    </w:p>
    <w:p>
      <w:pPr>
        <w:pStyle w:val="Heading2"/>
        <w:widowControl/>
        <w:ind w:left="0" w:firstLine="0"/>
      </w:pPr>
      <w:r>
        <w:rPr>
          <w:rFonts w:ascii="Times New Roman" w:hAnsi="Times New Roman"/>
          <w:b/>
          <w:sz w:val="22"/>
          <w:u w:val="single"/>
        </w:rPr>
        <w:t>6. ROFR, Co-Sale and Consent Timeline</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Event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Contractual requirement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Responsible person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Target / actual date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Evidence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Complete transfer notice</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Company ROFR election period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Holder ROFR period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Co-sale election period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Allocation / oversubscription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Final waiver / expiration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Outside closing window</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If price, purchaser, consideration or another material term changes, counsel must decide whether notices must be reissued and response periods restart.</w:t>
      </w:r>
    </w:p>
    <w:p>
      <w:pPr>
        <w:pStyle w:val="Heading2"/>
        <w:widowControl/>
        <w:ind w:left="0" w:firstLine="0"/>
      </w:pPr>
      <w:r>
        <w:rPr>
          <w:rFonts w:ascii="Times New Roman" w:hAnsi="Times New Roman"/>
          <w:b/>
          <w:sz w:val="22"/>
          <w:u w:val="single"/>
        </w:rPr>
        <w:t>7. Diligence and Information Protocol</w:t>
      </w:r>
    </w:p>
    <w:p>
      <w:pPr>
        <w:pStyle w:val="Heading3"/>
        <w:widowControl/>
        <w:ind w:left="0" w:firstLine="0"/>
      </w:pPr>
      <w:r>
        <w:rPr>
          <w:rFonts w:ascii="Times New Roman" w:hAnsi="Times New Roman"/>
          <w:b/>
          <w:sz w:val="22"/>
          <w:u w:val="single"/>
        </w:rPr>
        <w:t>7.1 Minimum Controls</w:t>
      </w:r>
    </w:p>
    <w:p>
      <w:pPr>
        <w:pStyle w:val="ListBullet"/>
        <w:widowControl/>
        <w:spacing w:after="40"/>
        <w:ind w:left="346" w:hanging="202"/>
      </w:pPr>
      <w:r>
        <w:t>Signed confidentiality agreement before nonpublic disclosure.</w:t>
      </w:r>
    </w:p>
    <w:p>
      <w:pPr>
        <w:pStyle w:val="ListBullet"/>
        <w:widowControl/>
        <w:spacing w:after="40"/>
        <w:ind w:left="346" w:hanging="202"/>
      </w:pPr>
      <w:r>
        <w:t>Approved information set with source, date and stated limitation.</w:t>
      </w:r>
    </w:p>
    <w:p>
      <w:pPr>
        <w:pStyle w:val="ListBullet"/>
        <w:widowControl/>
        <w:spacing w:after="40"/>
        <w:ind w:left="346" w:hanging="202"/>
      </w:pPr>
      <w:r>
        <w:t>Authorized speakers and a logged question-and-answer process.</w:t>
      </w:r>
    </w:p>
    <w:p>
      <w:pPr>
        <w:pStyle w:val="ListBullet"/>
        <w:widowControl/>
        <w:spacing w:after="40"/>
        <w:ind w:left="346" w:hanging="202"/>
      </w:pPr>
      <w:r>
        <w:t>Information cut-off date and material-update decision immediately before Closing.</w:t>
      </w:r>
    </w:p>
    <w:p>
      <w:pPr>
        <w:pStyle w:val="ListBullet"/>
        <w:widowControl/>
        <w:spacing w:after="40"/>
        <w:ind w:left="346" w:hanging="202"/>
      </w:pPr>
      <w:r>
        <w:t>Competitor, privilege, personal-data, trade-secret and export-control safeguards.</w:t>
      </w:r>
    </w:p>
    <w:p>
      <w:pPr>
        <w:pStyle w:val="ListBullet"/>
        <w:widowControl/>
        <w:spacing w:after="40"/>
        <w:ind w:left="346" w:hanging="202"/>
      </w:pPr>
      <w:r>
        <w:t>Clear disclosure that the Company does not recommend the price or investment.</w:t>
      </w:r>
    </w:p>
    <w:p>
      <w:pPr>
        <w:pStyle w:val="ListBullet"/>
        <w:widowControl/>
        <w:spacing w:after="40"/>
        <w:ind w:left="346" w:hanging="202"/>
      </w:pPr>
      <w:r>
        <w:t>Seller prohibition on unauthorized disclosure of Company information.</w:t>
      </w:r>
    </w:p>
    <w:p>
      <w:pPr>
        <w:pStyle w:val="ListBullet"/>
        <w:widowControl/>
        <w:spacing w:after="40"/>
        <w:ind w:left="346" w:hanging="202"/>
      </w:pPr>
      <w:r>
        <w:t>Retention of the final information index without unnecessary sensitive data.</w:t>
      </w:r>
    </w:p>
    <w:p>
      <w:pPr>
        <w:pStyle w:val="Heading3"/>
        <w:widowControl/>
        <w:ind w:left="0" w:firstLine="0"/>
      </w:pPr>
      <w:r>
        <w:rPr>
          <w:rFonts w:ascii="Times New Roman" w:hAnsi="Times New Roman"/>
          <w:b/>
          <w:sz w:val="22"/>
          <w:u w:val="single"/>
        </w:rPr>
        <w:t>7.2 Information Index</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Version / period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Date provided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Recipient / access</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Update or limitation</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2"/>
        <w:widowControl/>
        <w:ind w:left="0" w:firstLine="0"/>
      </w:pPr>
      <w:r>
        <w:rPr>
          <w:rFonts w:ascii="Times New Roman" w:hAnsi="Times New Roman"/>
          <w:b/>
          <w:sz w:val="22"/>
          <w:u w:val="single"/>
        </w:rPr>
        <w:t>8. Principal Documents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Document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Drafting owner</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Required parties</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Final version / date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Signature status</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Stock Purchase Agreement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Seller / Purchaser / limited Company joinder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Company consent / waivers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Company / right holders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Transferee joinder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Purchaser / Company / others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Seller certificate</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Seller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Purchaser representations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Purchaser / beneficial owner if needed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Escrow and funds flow</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Transaction parties / Escrow Agent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Board / committee record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Directors / Secretary</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Stock power / book-entry instruction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Seller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Certificate affidavit / indemnity</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Seller / Company</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Tax forms / reporting instructions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Applicable parties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2"/>
        <w:widowControl/>
        <w:ind w:left="0" w:firstLine="0"/>
      </w:pPr>
      <w:r>
        <w:rPr>
          <w:rFonts w:ascii="Times New Roman" w:hAnsi="Times New Roman"/>
          <w:b/>
          <w:sz w:val="22"/>
          <w:u w:val="single"/>
        </w:rPr>
        <w:t>9. Closing Conditions Matrix</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Condition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Benefited party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Waivable by</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Evidence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Status / release note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Representations brought down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Closing certificates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Required approvals effective</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Signed approvals / expiry</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Securities pathway confirmed</w:t>
            </w:r>
          </w:p>
        </w:tc>
        <w:tc>
          <w:tcPr>
            <w:tcW w:type="dxa" w:w="1872"/>
            <w:vAlign w:val="center"/>
            <w:tcMar>
              <w:top w:w="55" w:type="dxa"/>
              <w:start w:w="70" w:type="dxa"/>
              <w:bottom w:w="55" w:type="dxa"/>
              <w:end w:w="70" w:type="dxa"/>
            </w:tcMar>
          </w:tcPr>
          <w:p>
            <w:pPr>
              <w:spacing w:after="0"/>
            </w:pPr>
            <w:r>
              <w:rPr>
                <w:rFonts w:ascii="Times New Roman" w:hAnsi="Times New Roman"/>
                <w:sz w:val="18"/>
              </w:rPr>
              <w:t>All / Company</w:t>
            </w:r>
          </w:p>
        </w:tc>
        <w:tc>
          <w:tcPr>
            <w:tcW w:type="dxa" w:w="1872"/>
            <w:vAlign w:val="center"/>
            <w:tcMar>
              <w:top w:w="55" w:type="dxa"/>
              <w:start w:w="70" w:type="dxa"/>
              <w:bottom w:w="55" w:type="dxa"/>
              <w:end w:w="70" w:type="dxa"/>
            </w:tcMar>
          </w:tcPr>
          <w:p>
            <w:pPr>
              <w:spacing w:after="0"/>
            </w:pPr>
            <w:r>
              <w:rPr>
                <w:rFonts w:ascii="Times New Roman" w:hAnsi="Times New Roman"/>
                <w:sz w:val="18"/>
              </w:rPr>
              <w:t>Counsel only as to conclusion</w:t>
            </w:r>
          </w:p>
        </w:tc>
        <w:tc>
          <w:tcPr>
            <w:tcW w:type="dxa" w:w="1872"/>
            <w:vAlign w:val="center"/>
            <w:tcMar>
              <w:top w:w="55" w:type="dxa"/>
              <w:start w:w="70" w:type="dxa"/>
              <w:bottom w:w="55" w:type="dxa"/>
              <w:end w:w="70" w:type="dxa"/>
            </w:tcMar>
          </w:tcPr>
          <w:p>
            <w:pPr>
              <w:spacing w:after="0"/>
            </w:pPr>
            <w:r>
              <w:rPr>
                <w:rFonts w:ascii="Times New Roman" w:hAnsi="Times New Roman"/>
                <w:sz w:val="18"/>
              </w:rPr>
              <w:t>Memorandum / email</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Transfer instruments valid</w:t>
            </w:r>
          </w:p>
        </w:tc>
        <w:tc>
          <w:tcPr>
            <w:tcW w:type="dxa" w:w="1872"/>
            <w:vAlign w:val="center"/>
            <w:tcMar>
              <w:top w:w="55" w:type="dxa"/>
              <w:start w:w="70" w:type="dxa"/>
              <w:bottom w:w="55" w:type="dxa"/>
              <w:end w:w="70" w:type="dxa"/>
            </w:tcMar>
          </w:tcPr>
          <w:p>
            <w:pPr>
              <w:spacing w:after="0"/>
            </w:pPr>
            <w:r>
              <w:rPr>
                <w:rFonts w:ascii="Times New Roman" w:hAnsi="Times New Roman"/>
                <w:sz w:val="18"/>
              </w:rPr>
              <w:t>Company / Purchaser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Originals / authenticated instruction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Purchaser joinders complete</w:t>
            </w:r>
          </w:p>
        </w:tc>
        <w:tc>
          <w:tcPr>
            <w:tcW w:type="dxa" w:w="1872"/>
            <w:vAlign w:val="center"/>
            <w:tcMar>
              <w:top w:w="55" w:type="dxa"/>
              <w:start w:w="70" w:type="dxa"/>
              <w:bottom w:w="55" w:type="dxa"/>
              <w:end w:w="70" w:type="dxa"/>
            </w:tcMar>
          </w:tcPr>
          <w:p>
            <w:pPr>
              <w:spacing w:after="0"/>
            </w:pPr>
            <w:r>
              <w:rPr>
                <w:rFonts w:ascii="Times New Roman" w:hAnsi="Times New Roman"/>
                <w:sz w:val="18"/>
              </w:rPr>
              <w:t>Company / holders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Signed joinders</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Final Funds available</w:t>
            </w:r>
          </w:p>
        </w:tc>
        <w:tc>
          <w:tcPr>
            <w:tcW w:type="dxa" w:w="1872"/>
            <w:vAlign w:val="center"/>
            <w:tcMar>
              <w:top w:w="55" w:type="dxa"/>
              <w:start w:w="70" w:type="dxa"/>
              <w:bottom w:w="55" w:type="dxa"/>
              <w:end w:w="70" w:type="dxa"/>
            </w:tcMar>
          </w:tcPr>
          <w:p>
            <w:pPr>
              <w:spacing w:after="0"/>
            </w:pPr>
            <w:r>
              <w:rPr>
                <w:rFonts w:ascii="Times New Roman" w:hAnsi="Times New Roman"/>
                <w:sz w:val="18"/>
              </w:rPr>
              <w:t>Seller</w:t>
            </w:r>
          </w:p>
        </w:tc>
        <w:tc>
          <w:tcPr>
            <w:tcW w:type="dxa" w:w="1872"/>
            <w:vAlign w:val="center"/>
            <w:tcMar>
              <w:top w:w="55" w:type="dxa"/>
              <w:start w:w="70" w:type="dxa"/>
              <w:bottom w:w="55" w:type="dxa"/>
              <w:end w:w="70" w:type="dxa"/>
            </w:tcMar>
          </w:tcPr>
          <w:p>
            <w:pPr>
              <w:spacing w:after="0"/>
            </w:pPr>
            <w:r>
              <w:rPr>
                <w:rFonts w:ascii="Times New Roman" w:hAnsi="Times New Roman"/>
                <w:sz w:val="18"/>
              </w:rPr>
              <w:t>Seller</w:t>
            </w:r>
          </w:p>
        </w:tc>
        <w:tc>
          <w:tcPr>
            <w:tcW w:type="dxa" w:w="1872"/>
            <w:vAlign w:val="center"/>
            <w:tcMar>
              <w:top w:w="55" w:type="dxa"/>
              <w:start w:w="70" w:type="dxa"/>
              <w:bottom w:w="55" w:type="dxa"/>
              <w:end w:w="70" w:type="dxa"/>
            </w:tcMar>
          </w:tcPr>
          <w:p>
            <w:pPr>
              <w:spacing w:after="0"/>
            </w:pPr>
            <w:r>
              <w:rPr>
                <w:rFonts w:ascii="Times New Roman" w:hAnsi="Times New Roman"/>
                <w:sz w:val="18"/>
              </w:rPr>
              <w:t>Escrow confirmation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No injunction / sanctions block</w:t>
            </w:r>
          </w:p>
        </w:tc>
        <w:tc>
          <w:tcPr>
            <w:tcW w:type="dxa" w:w="1872"/>
            <w:vAlign w:val="center"/>
            <w:tcMar>
              <w:top w:w="55" w:type="dxa"/>
              <w:start w:w="70" w:type="dxa"/>
              <w:bottom w:w="55" w:type="dxa"/>
              <w:end w:w="70" w:type="dxa"/>
            </w:tcMar>
          </w:tcPr>
          <w:p>
            <w:pPr>
              <w:spacing w:after="0"/>
            </w:pPr>
            <w:r>
              <w:rPr>
                <w:rFonts w:ascii="Times New Roman" w:hAnsi="Times New Roman"/>
                <w:sz w:val="18"/>
              </w:rPr>
              <w:t>All</w:t>
            </w:r>
          </w:p>
        </w:tc>
        <w:tc>
          <w:tcPr>
            <w:tcW w:type="dxa" w:w="1872"/>
            <w:vAlign w:val="center"/>
            <w:tcMar>
              <w:top w:w="55" w:type="dxa"/>
              <w:start w:w="70" w:type="dxa"/>
              <w:bottom w:w="55" w:type="dxa"/>
              <w:end w:w="70" w:type="dxa"/>
            </w:tcMar>
          </w:tcPr>
          <w:p>
            <w:pPr>
              <w:spacing w:after="0"/>
            </w:pPr>
            <w:r>
              <w:rPr>
                <w:rFonts w:ascii="Times New Roman" w:hAnsi="Times New Roman"/>
                <w:sz w:val="18"/>
              </w:rPr>
              <w:t>Nonwaivable as applicable</w:t>
            </w:r>
          </w:p>
        </w:tc>
        <w:tc>
          <w:tcPr>
            <w:tcW w:type="dxa" w:w="1872"/>
            <w:vAlign w:val="center"/>
            <w:tcMar>
              <w:top w:w="55" w:type="dxa"/>
              <w:start w:w="70" w:type="dxa"/>
              <w:bottom w:w="55" w:type="dxa"/>
              <w:end w:w="70" w:type="dxa"/>
            </w:tcMar>
          </w:tcPr>
          <w:p>
            <w:pPr>
              <w:spacing w:after="0"/>
            </w:pPr>
            <w:r>
              <w:rPr>
                <w:rFonts w:ascii="Times New Roman" w:hAnsi="Times New Roman"/>
                <w:sz w:val="18"/>
              </w:rPr>
              <w:t>Bring-down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Ledger ready for update</w:t>
            </w:r>
          </w:p>
        </w:tc>
        <w:tc>
          <w:tcPr>
            <w:tcW w:type="dxa" w:w="1872"/>
            <w:vAlign w:val="center"/>
            <w:tcMar>
              <w:top w:w="55" w:type="dxa"/>
              <w:start w:w="70" w:type="dxa"/>
              <w:bottom w:w="55" w:type="dxa"/>
              <w:end w:w="70" w:type="dxa"/>
            </w:tcMar>
          </w:tcPr>
          <w:p>
            <w:pPr>
              <w:spacing w:after="0"/>
            </w:pPr>
            <w:r>
              <w:rPr>
                <w:rFonts w:ascii="Times New Roman" w:hAnsi="Times New Roman"/>
                <w:sz w:val="18"/>
              </w:rPr>
              <w:t>All</w:t>
            </w:r>
          </w:p>
        </w:tc>
        <w:tc>
          <w:tcPr>
            <w:tcW w:type="dxa" w:w="1872"/>
            <w:vAlign w:val="center"/>
            <w:tcMar>
              <w:top w:w="55" w:type="dxa"/>
              <w:start w:w="70" w:type="dxa"/>
              <w:bottom w:w="55" w:type="dxa"/>
              <w:end w:w="70" w:type="dxa"/>
            </w:tcMar>
          </w:tcPr>
          <w:p>
            <w:pPr>
              <w:spacing w:after="0"/>
            </w:pPr>
            <w:r>
              <w:rPr>
                <w:rFonts w:ascii="Times New Roman" w:hAnsi="Times New Roman"/>
                <w:sz w:val="18"/>
              </w:rPr>
              <w:t>Company</w:t>
            </w:r>
          </w:p>
        </w:tc>
        <w:tc>
          <w:tcPr>
            <w:tcW w:type="dxa" w:w="1872"/>
            <w:vAlign w:val="center"/>
            <w:tcMar>
              <w:top w:w="55" w:type="dxa"/>
              <w:start w:w="70" w:type="dxa"/>
              <w:bottom w:w="55" w:type="dxa"/>
              <w:end w:w="70" w:type="dxa"/>
            </w:tcMar>
          </w:tcPr>
          <w:p>
            <w:pPr>
              <w:spacing w:after="0"/>
            </w:pPr>
            <w:r>
              <w:rPr>
                <w:rFonts w:ascii="Times New Roman" w:hAnsi="Times New Roman"/>
                <w:sz w:val="18"/>
              </w:rPr>
              <w:t>Secretary / transfer-agent confirmation</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Only the party entitled to a condition may waive it. No person may waive law, a non-signatory’s right or a reserved Board matter without authority.</w:t>
      </w:r>
    </w:p>
    <w:p>
      <w:pPr>
        <w:pStyle w:val="Heading2"/>
        <w:widowControl/>
        <w:ind w:left="0" w:firstLine="0"/>
      </w:pPr>
      <w:r>
        <w:rPr>
          <w:rFonts w:ascii="Times New Roman" w:hAnsi="Times New Roman"/>
          <w:b/>
          <w:sz w:val="22"/>
          <w:u w:val="single"/>
        </w:rPr>
        <w:t>10. Funds-Flow and Wire Controls</w:t>
      </w:r>
    </w:p>
    <w:p>
      <w:pPr>
        <w:pStyle w:val="ListBullet"/>
        <w:widowControl/>
        <w:spacing w:after="40"/>
        <w:ind w:left="346" w:hanging="202"/>
      </w:pPr>
      <w:r>
        <w:t>Prepare a final sources-and-uses schedule that balances to zero.</w:t>
      </w:r>
    </w:p>
    <w:p>
      <w:pPr>
        <w:pStyle w:val="ListBullet"/>
        <w:widowControl/>
        <w:spacing w:after="40"/>
        <w:ind w:left="346" w:hanging="202"/>
      </w:pPr>
      <w:r>
        <w:t>Identify gross Purchase Price, withholding, lien payoff, approved fees, expenses and net proceeds.</w:t>
      </w:r>
    </w:p>
    <w:p>
      <w:pPr>
        <w:pStyle w:val="ListBullet"/>
        <w:widowControl/>
        <w:spacing w:after="40"/>
        <w:ind w:left="346" w:hanging="202"/>
      </w:pPr>
      <w:r>
        <w:t>Obtain tax forms and written withholding advice where required.</w:t>
      </w:r>
    </w:p>
    <w:p>
      <w:pPr>
        <w:pStyle w:val="ListBullet"/>
        <w:widowControl/>
        <w:spacing w:after="40"/>
        <w:ind w:left="346" w:hanging="202"/>
      </w:pPr>
      <w:r>
        <w:t>Independently authenticate every payee and bank instruction using pre-established contacts.</w:t>
      </w:r>
    </w:p>
    <w:p>
      <w:pPr>
        <w:pStyle w:val="ListBullet"/>
        <w:widowControl/>
        <w:spacing w:after="40"/>
        <w:ind w:left="346" w:hanging="202"/>
      </w:pPr>
      <w:r>
        <w:t>Require dual authorization for any change and prohibit email-only changes.</w:t>
      </w:r>
    </w:p>
    <w:p>
      <w:pPr>
        <w:pStyle w:val="ListBullet"/>
        <w:widowControl/>
        <w:spacing w:after="40"/>
        <w:ind w:left="346" w:hanging="202"/>
      </w:pPr>
      <w:r>
        <w:t>Confirm collected, available funds and bank cut-off times.</w:t>
      </w:r>
    </w:p>
    <w:p>
      <w:pPr>
        <w:pStyle w:val="ListBullet"/>
        <w:widowControl/>
        <w:spacing w:after="40"/>
        <w:ind w:left="346" w:hanging="202"/>
      </w:pPr>
      <w:r>
        <w:t>Keep full account numbers out of broadly circulated drafts and closing binders.</w:t>
      </w:r>
    </w:p>
    <w:p>
      <w:pPr>
        <w:pStyle w:val="ListBullet"/>
        <w:widowControl/>
        <w:spacing w:after="40"/>
        <w:ind w:left="346" w:hanging="202"/>
      </w:pPr>
      <w:r>
        <w:t>Record masked wire confirmations, value dates and failed or returned payments.</w:t>
      </w:r>
    </w:p>
    <w:p>
      <w:pPr>
        <w:pStyle w:val="Heading2"/>
        <w:widowControl/>
        <w:ind w:left="0" w:firstLine="0"/>
      </w:pPr>
      <w:r>
        <w:rPr>
          <w:rFonts w:ascii="Times New Roman" w:hAnsi="Times New Roman"/>
          <w:b/>
          <w:sz w:val="22"/>
          <w:u w:val="single"/>
        </w:rPr>
        <w:t>11. Closing Script</w:t>
      </w:r>
    </w:p>
    <w:p>
      <w:pPr>
        <w:pStyle w:val="Heading3"/>
        <w:widowControl/>
        <w:ind w:left="0" w:firstLine="0"/>
      </w:pPr>
      <w:r>
        <w:rPr>
          <w:rFonts w:ascii="Times New Roman" w:hAnsi="Times New Roman"/>
          <w:b/>
          <w:sz w:val="22"/>
          <w:u w:val="single"/>
        </w:rPr>
        <w:t>11.1 Pre-Closing</w:t>
      </w:r>
    </w:p>
    <w:p>
      <w:pPr>
        <w:pStyle w:val="ListNumber"/>
        <w:widowControl/>
        <w:spacing w:after="40"/>
        <w:ind w:left="346" w:hanging="202"/>
      </w:pPr>
      <w:r>
        <w:t>Closing coordinator circulates the final document index, conditions matrix and sources and uses.</w:t>
      </w:r>
    </w:p>
    <w:p>
      <w:pPr>
        <w:pStyle w:val="ListNumber"/>
        <w:widowControl/>
        <w:spacing w:after="40"/>
        <w:ind w:left="346" w:hanging="202"/>
      </w:pPr>
      <w:r>
        <w:t>Each workstream owner marks items satisfied, not applicable with explanation, or escalated.</w:t>
      </w:r>
    </w:p>
    <w:p>
      <w:pPr>
        <w:pStyle w:val="ListNumber"/>
        <w:widowControl/>
        <w:spacing w:after="40"/>
        <w:ind w:left="346" w:hanging="202"/>
      </w:pPr>
      <w:r>
        <w:t>Counsel confirms the legal pathway and any required updates.</w:t>
      </w:r>
    </w:p>
    <w:p>
      <w:pPr>
        <w:pStyle w:val="ListNumber"/>
        <w:widowControl/>
        <w:spacing w:after="40"/>
        <w:ind w:left="346" w:hanging="202"/>
      </w:pPr>
      <w:r>
        <w:t>Escrow Agent confirms documents held and Final Funds.</w:t>
      </w:r>
    </w:p>
    <w:p>
      <w:pPr>
        <w:pStyle w:val="ListNumber"/>
        <w:widowControl/>
        <w:spacing w:after="40"/>
        <w:ind w:left="346" w:hanging="202"/>
      </w:pPr>
      <w:r>
        <w:t>Company confirms readiness to update the authoritative stock ledger.</w:t>
      </w:r>
    </w:p>
    <w:p>
      <w:pPr>
        <w:pStyle w:val="Heading3"/>
        <w:widowControl/>
        <w:ind w:left="0" w:firstLine="0"/>
      </w:pPr>
      <w:r>
        <w:rPr>
          <w:rFonts w:ascii="Times New Roman" w:hAnsi="Times New Roman"/>
          <w:b/>
          <w:sz w:val="22"/>
          <w:u w:val="single"/>
        </w:rPr>
        <w:t>11.2 Release</w:t>
      </w:r>
    </w:p>
    <w:p>
      <w:pPr>
        <w:pStyle w:val="ListNumber"/>
        <w:widowControl/>
        <w:spacing w:after="40"/>
        <w:ind w:left="346" w:hanging="202"/>
      </w:pPr>
      <w:r>
        <w:t>Authenticated party representatives authorize release.</w:t>
      </w:r>
    </w:p>
    <w:p>
      <w:pPr>
        <w:pStyle w:val="ListNumber"/>
        <w:widowControl/>
        <w:spacing w:after="40"/>
        <w:ind w:left="346" w:hanging="202"/>
      </w:pPr>
      <w:r>
        <w:t>Escrow Agent releases transfer instruments to the Company or transfer agent.</w:t>
      </w:r>
    </w:p>
    <w:p>
      <w:pPr>
        <w:pStyle w:val="ListNumber"/>
        <w:widowControl/>
        <w:spacing w:after="40"/>
        <w:ind w:left="346" w:hanging="202"/>
      </w:pPr>
      <w:r>
        <w:t>Company records the transfer and confirms the dated ledger entry.</w:t>
      </w:r>
    </w:p>
    <w:p>
      <w:pPr>
        <w:pStyle w:val="ListNumber"/>
        <w:widowControl/>
        <w:spacing w:after="40"/>
        <w:ind w:left="346" w:hanging="202"/>
      </w:pPr>
      <w:r>
        <w:t>Escrow Agent disburses under the final sources and uses.</w:t>
      </w:r>
    </w:p>
    <w:p>
      <w:pPr>
        <w:pStyle w:val="ListNumber"/>
        <w:widowControl/>
        <w:spacing w:after="40"/>
        <w:ind w:left="346" w:hanging="202"/>
      </w:pPr>
      <w:r>
        <w:t>Company issues the certificate or uncertificated-share notice with required legends.</w:t>
      </w:r>
    </w:p>
    <w:p>
      <w:pPr>
        <w:pStyle w:val="ListNumber"/>
        <w:widowControl/>
        <w:spacing w:after="40"/>
        <w:ind w:left="346" w:hanging="202"/>
      </w:pPr>
      <w:r>
        <w:t>Closing coordinator sends a completion notice and preserves confirmations.</w:t>
      </w:r>
    </w:p>
    <w:p>
      <w:pPr>
        <w:pStyle w:val="Heading3"/>
        <w:widowControl/>
        <w:ind w:left="0" w:firstLine="0"/>
      </w:pPr>
      <w:r>
        <w:rPr>
          <w:rFonts w:ascii="Times New Roman" w:hAnsi="Times New Roman"/>
          <w:b/>
          <w:sz w:val="22"/>
          <w:u w:val="single"/>
        </w:rPr>
        <w:t>11.3 Abort Protocol</w:t>
      </w:r>
    </w:p>
    <w:p>
      <w:pPr>
        <w:widowControl/>
        <w:ind w:firstLine="720"/>
        <w:jc w:val="both"/>
      </w:pPr>
      <w:r>
        <w:t>If any condition fails, instruction conflicts, fraud is suspected, funds are unavailable or the ledger cannot be updated, stop the release. Notify authenticated contacts, preserve evidence and follow the termination or dispute provisions. Do not improvise a partial closing.</w:t>
      </w:r>
    </w:p>
    <w:p>
      <w:pPr>
        <w:pStyle w:val="Heading2"/>
        <w:widowControl/>
        <w:ind w:left="0" w:firstLine="0"/>
      </w:pPr>
      <w:r>
        <w:rPr>
          <w:rFonts w:ascii="Times New Roman" w:hAnsi="Times New Roman"/>
          <w:b/>
          <w:sz w:val="22"/>
          <w:u w:val="single"/>
        </w:rPr>
        <w:t>12. Stock-Ledger Instruction</w:t>
      </w:r>
    </w:p>
    <w:p>
      <w:pPr>
        <w:widowControl/>
        <w:ind w:firstLine="720"/>
        <w:jc w:val="both"/>
      </w:pPr>
      <w:r>
        <w:t>Upon receipt of the signed release authorization, the [SECRETARY / TRANSFER AGENT] is instructed to:</w:t>
      </w:r>
    </w:p>
    <w:p>
      <w:pPr>
        <w:pStyle w:val="ListBullet"/>
        <w:widowControl/>
        <w:spacing w:after="40"/>
        <w:ind w:left="346" w:hanging="202"/>
      </w:pPr>
      <w:r>
        <w:t>verify Seller’s record position and the exact Shares against the pre-Closing ledger;</w:t>
      </w:r>
    </w:p>
    <w:p>
      <w:pPr>
        <w:pStyle w:val="ListBullet"/>
        <w:widowControl/>
        <w:spacing w:after="40"/>
        <w:ind w:left="346" w:hanging="202"/>
      </w:pPr>
      <w:r>
        <w:t>cancel or debit [NUMBER] [CLASS/SERIES] shares from Seller under certificate/book-entry [●];</w:t>
      </w:r>
    </w:p>
    <w:p>
      <w:pPr>
        <w:pStyle w:val="ListBullet"/>
        <w:widowControl/>
        <w:spacing w:after="40"/>
        <w:ind w:left="346" w:hanging="202"/>
      </w:pPr>
      <w:r>
        <w:t>register those shares to Purchaser under Purchaser’s exact legal name and address;</w:t>
      </w:r>
    </w:p>
    <w:p>
      <w:pPr>
        <w:pStyle w:val="ListBullet"/>
        <w:widowControl/>
        <w:spacing w:after="40"/>
        <w:ind w:left="346" w:hanging="202"/>
      </w:pPr>
      <w:r>
        <w:t>preserve original issuance and acquisition data required for Company records without making a tax conclusion;</w:t>
      </w:r>
    </w:p>
    <w:p>
      <w:pPr>
        <w:pStyle w:val="ListBullet"/>
        <w:widowControl/>
        <w:spacing w:after="40"/>
        <w:ind w:left="346" w:hanging="202"/>
      </w:pPr>
      <w:r>
        <w:t>apply the legends and restriction notices listed on Schedule 1;</w:t>
      </w:r>
    </w:p>
    <w:p>
      <w:pPr>
        <w:pStyle w:val="ListBullet"/>
        <w:widowControl/>
        <w:spacing w:after="40"/>
        <w:ind w:left="346" w:hanging="202"/>
      </w:pPr>
      <w:r>
        <w:t>update agreement-party and notice schedules only as the executed joinders require;</w:t>
      </w:r>
    </w:p>
    <w:p>
      <w:pPr>
        <w:pStyle w:val="ListBullet"/>
        <w:widowControl/>
        <w:spacing w:after="40"/>
        <w:ind w:left="346" w:hanging="202"/>
      </w:pPr>
      <w:r>
        <w:t>cancel and retain or destroy surrendered certificates under policy;</w:t>
      </w:r>
    </w:p>
    <w:p>
      <w:pPr>
        <w:pStyle w:val="ListBullet"/>
        <w:widowControl/>
        <w:spacing w:after="40"/>
        <w:ind w:left="346" w:hanging="202"/>
      </w:pPr>
      <w:r>
        <w:t>issue certificate or uncertificated notice [●];</w:t>
      </w:r>
    </w:p>
    <w:p>
      <w:pPr>
        <w:pStyle w:val="ListBullet"/>
        <w:widowControl/>
        <w:spacing w:after="40"/>
        <w:ind w:left="346" w:hanging="202"/>
      </w:pPr>
      <w:r>
        <w:t>obtain independent second-person review of the entry; and</w:t>
      </w:r>
    </w:p>
    <w:p>
      <w:pPr>
        <w:pStyle w:val="ListBullet"/>
        <w:widowControl/>
        <w:spacing w:after="40"/>
        <w:ind w:left="346" w:hanging="202"/>
      </w:pPr>
      <w:r>
        <w:t>deliver a dated post-Closing excerpt showing the affected entries and resulting balances.</w:t>
      </w:r>
    </w:p>
    <w:p>
      <w:pPr>
        <w:widowControl/>
        <w:ind w:firstLine="720"/>
        <w:jc w:val="both"/>
      </w:pPr>
      <w:r>
        <w:t>The ledger instruction expires at [TIME/DATE] if not released. It may not be changed orally.</w:t>
      </w:r>
    </w:p>
    <w:p>
      <w:pPr>
        <w:pStyle w:val="Heading2"/>
        <w:widowControl/>
        <w:ind w:left="0" w:firstLine="0"/>
      </w:pPr>
      <w:r>
        <w:rPr>
          <w:rFonts w:ascii="Times New Roman" w:hAnsi="Times New Roman"/>
          <w:b/>
          <w:sz w:val="22"/>
          <w:u w:val="single"/>
        </w:rPr>
        <w:t>13. Post-Closing Checklist</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Owner</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Deadline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Evidence / archive location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Complete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Final ledger excerpt independently reviewed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Certificate / book-entry notice delivered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Seller and Purchaser balances confirmed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Cap table / platform conformed to ledger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Joined-agreement schedules updated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Tax withholding and reporting queued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Fees and invoices reconciled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Closing set and privilege segregation complete</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Sensitive bank/identity data access restricted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Board / committee report delivered</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 ]</w:t>
            </w:r>
          </w:p>
        </w:tc>
      </w:tr>
    </w:tbl>
    <w:p>
      <w:pPr>
        <w:widowControl/>
        <w:spacing w:after="20"/>
      </w:pPr>
    </w:p>
    <w:p>
      <w:pPr>
        <w:pStyle w:val="Heading2"/>
        <w:widowControl/>
        <w:ind w:left="0" w:firstLine="0"/>
      </w:pPr>
      <w:r>
        <w:rPr>
          <w:rFonts w:ascii="Times New Roman" w:hAnsi="Times New Roman"/>
          <w:b/>
          <w:sz w:val="22"/>
          <w:u w:val="single"/>
        </w:rPr>
        <w:t>14. Exception and Decision Log</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Date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Issue / deviation</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Decision and rationale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Authority / advice</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Owner / follow-up</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No exception is approved merely because it appears in this log. Attach the underlying approval and legal basis.</w:t>
      </w:r>
    </w:p>
    <w:p>
      <w:pPr>
        <w:pStyle w:val="Heading2"/>
        <w:widowControl/>
        <w:ind w:left="0" w:firstLine="0"/>
      </w:pPr>
      <w:r>
        <w:rPr>
          <w:rFonts w:ascii="Times New Roman" w:hAnsi="Times New Roman"/>
          <w:b/>
          <w:sz w:val="22"/>
          <w:u w:val="single"/>
        </w:rPr>
        <w:t>Sign-Off</w:t>
      </w:r>
    </w:p>
    <w:p>
      <w:pPr>
        <w:widowControl/>
        <w:jc w:val="left"/>
      </w:pPr>
      <w:r>
        <w:rPr>
          <w:b/>
        </w:rPr>
        <w:t>CLOSING COORDINATOR:</w:t>
      </w:r>
      <w:r>
        <w:br/>
      </w:r>
      <w:r>
        <w:t>Name / organization: [●]</w:t>
      </w:r>
      <w:r>
        <w:br/>
      </w:r>
      <w:r>
        <w:t>I confirm that the checklist accurately records the documentary status and that release occurred only after the required authorizations. This is not a legal opinion.</w:t>
      </w:r>
      <w:r>
        <w:br/>
      </w:r>
      <w:r>
        <w:t>Signature/date/time: ______________________________</w:t>
      </w:r>
    </w:p>
    <w:p>
      <w:pPr>
        <w:widowControl/>
        <w:jc w:val="left"/>
      </w:pPr>
      <w:r>
        <w:rPr>
          <w:b/>
        </w:rPr>
        <w:t>COMPANY SECRETARY OR TRANSFER AGENT:</w:t>
      </w:r>
      <w:r>
        <w:br/>
      </w:r>
      <w:r>
        <w:t>Name / title: [●]</w:t>
      </w:r>
      <w:r>
        <w:br/>
      </w:r>
      <w:r>
        <w:t>I confirm that the ledger instruction was authenticated, the transfer was recorded on [DATE/TIME], and the affected entries were independently reviewed.</w:t>
      </w:r>
      <w:r>
        <w:br/>
      </w:r>
      <w:r>
        <w:t>Signature/date/time: ______________________________</w:t>
      </w:r>
    </w:p>
    <w:p>
      <w:pPr>
        <w:widowControl/>
        <w:jc w:val="left"/>
      </w:pPr>
      <w:r>
        <w:rPr>
          <w:b/>
        </w:rPr>
        <w:t>COMPANY COUNSEL REVIEW:</w:t>
      </w:r>
      <w:r>
        <w:br/>
      </w:r>
      <w:r>
        <w:t>Name: [●]</w:t>
      </w:r>
      <w:r>
        <w:br/>
      </w:r>
      <w:r>
        <w:t>Scope of review: [CORPORATE / SECURITIES / CLOSING DOCUMENTS / OTHER]</w:t>
      </w:r>
      <w:r>
        <w:br/>
      </w:r>
      <w:r>
        <w:t>Signature/date: ______________________________</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 Legends, Notices and Continuing Restrictions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Security record</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Required text or reference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Source</w:t>
            </w:r>
          </w:p>
        </w:tc>
        <w:tc>
          <w:tcPr>
            <w:tcW w:type="dxa" w:w="2340"/>
            <w:vAlign w:val="center"/>
            <w:tcMar>
              <w:top w:w="55" w:type="dxa"/>
              <w:start w:w="70" w:type="dxa"/>
              <w:bottom w:w="55" w:type="dxa"/>
              <w:end w:w="70" w:type="dxa"/>
            </w:tcMar>
            <w:shd w:fill="E7E6E6"/>
          </w:tcPr>
          <w:p>
            <w:pPr>
              <w:spacing w:after="0"/>
            </w:pPr>
            <w:r>
              <w:rPr>
                <w:rFonts w:ascii="Times New Roman" w:hAnsi="Times New Roman"/>
                <w:b/>
                <w:sz w:val="18"/>
              </w:rPr>
              <w:t>Removal standard</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c>
          <w:tcPr>
            <w:tcW w:type="dxa" w:w="234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Exhibit A — Release Authorization</w:t>
      </w:r>
    </w:p>
    <w:p>
      <w:pPr>
        <w:widowControl/>
        <w:jc w:val="left"/>
      </w:pPr>
      <w:r>
        <w:t>The undersigned Authorized Representatives confirm that the final conditions matrix is satisfied or validly waived by the proper party, the sources and uses is final, payment instructions were authenticated, no fraud or dispute alert is open, and the stock-ledger instruction may be released.</w:t>
      </w:r>
      <w:r>
        <w:br/>
      </w:r>
      <w:r>
        <w:t>Seller: [●]</w:t>
      </w:r>
      <w:r>
        <w:br/>
      </w:r>
      <w:r>
        <w:t>Purchaser: [●]</w:t>
      </w:r>
      <w:r>
        <w:br/>
      </w:r>
      <w:r>
        <w:t>Company: [●]</w:t>
      </w:r>
      <w:r>
        <w:br/>
      </w:r>
      <w:r>
        <w:t>Escrow Agent / coordinator acknowledgment: [●]</w:t>
      </w:r>
    </w:p>
    <w:p>
      <w:pPr>
        <w:pStyle w:val="Heading3"/>
        <w:widowControl/>
        <w:ind w:left="0" w:firstLine="0"/>
      </w:pPr>
      <w:r>
        <w:rPr>
          <w:rFonts w:ascii="Times New Roman" w:hAnsi="Times New Roman"/>
          <w:b/>
          <w:sz w:val="22"/>
          <w:u w:val="single"/>
        </w:rPr>
        <w:t>Exhibit B — Post-Closing Ledger Verification</w:t>
      </w:r>
    </w:p>
    <w:p>
      <w:pPr>
        <w:widowControl/>
        <w:ind w:firstLine="720"/>
        <w:jc w:val="both"/>
      </w:pPr>
      <w:r>
        <w:t>Record pre-Closing Seller position, transferred shares, post-Closing Seller position, Purchaser position, class totals before and after, certificate cancellations and issuances, reviewer name, date and discrepancy resolution.</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control workbook coordinates the legal, capitalization, rights, information, money, closing and stock-ledger workstreams for a private-company secondary transfer. It is intended to remain live from intake through post-Closing audit.</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senior deal-control counsel completing EF-096. Treat every row as an evidentiary control, not a generic task. Build the checklist from the signed Company Documents, authoritative stock ledger, final transaction documents, counsel’s exemption analysis and verified funds-flow instructions. Assign a named human owner, target date, objective evidence and escalation route to each open item. Reconcile the seller’s entire chain of title and post-Closing balance; map every transfer right to its holder and deadline; build the securities-law facts matrix; create the information index; and link every closing condition to the party entitled to it and the person authorized to waive it. Simulate the release sequence, failed-wire case, changed-price case, suspected-fraud case and inability-to-update-ledger case. Draft the exact stock-ledger instruction, independent review step, release authorization and post-Closing verification. Do not mark a legal conclusion complete without identified counsel sign-off, and do not use “N/A” without a reason.</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Keep the checklist version-controlled and dated.</w:t>
      </w:r>
    </w:p>
    <w:p>
      <w:pPr>
        <w:pStyle w:val="ListBullet"/>
        <w:widowControl/>
        <w:spacing w:after="40"/>
        <w:ind w:left="346" w:hanging="202"/>
      </w:pPr>
      <w:r>
        <w:t>Use signed source documents, not summaries, for rights and deadlines.</w:t>
      </w:r>
    </w:p>
    <w:p>
      <w:pPr>
        <w:pStyle w:val="ListBullet"/>
        <w:widowControl/>
        <w:spacing w:after="40"/>
        <w:ind w:left="346" w:hanging="202"/>
      </w:pPr>
      <w:r>
        <w:t>Reconcile the authoritative ledger before and after Closing.</w:t>
      </w:r>
    </w:p>
    <w:p>
      <w:pPr>
        <w:pStyle w:val="ListBullet"/>
        <w:widowControl/>
        <w:spacing w:after="40"/>
        <w:ind w:left="346" w:hanging="202"/>
      </w:pPr>
      <w:r>
        <w:t>Separate factual completion from legal sign-off.</w:t>
      </w:r>
    </w:p>
    <w:p>
      <w:pPr>
        <w:pStyle w:val="ListBullet"/>
        <w:widowControl/>
        <w:spacing w:after="40"/>
        <w:ind w:left="346" w:hanging="202"/>
      </w:pPr>
      <w:r>
        <w:t>Identify the beneficiary and authorized waiver party for each condition.</w:t>
      </w:r>
    </w:p>
    <w:p>
      <w:pPr>
        <w:pStyle w:val="ListBullet"/>
        <w:widowControl/>
        <w:spacing w:after="40"/>
        <w:ind w:left="346" w:hanging="202"/>
      </w:pPr>
      <w:r>
        <w:t>Authenticate funds and instruction changes independently.</w:t>
      </w:r>
    </w:p>
    <w:p>
      <w:pPr>
        <w:pStyle w:val="ListBullet"/>
        <w:widowControl/>
        <w:spacing w:after="40"/>
        <w:ind w:left="346" w:hanging="202"/>
      </w:pPr>
      <w:r>
        <w:t>Stop the Closing on discrepancy, fraud alert, unavailable funds or ledger failure.</w:t>
      </w:r>
    </w:p>
    <w:p>
      <w:pPr>
        <w:pStyle w:val="ListBullet"/>
        <w:widowControl/>
        <w:spacing w:after="40"/>
        <w:ind w:left="346" w:hanging="202"/>
      </w:pPr>
      <w:r>
        <w:t>Archive the final documents, approvals, masked confirmations and ledger evidence.</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Completeness.</w:t>
      </w:r>
      <w:r>
        <w:t xml:space="preserve"> Confirm every workstream, owner, deadline, document and approval is included. </w:t>
      </w:r>
      <w:r>
        <w:rPr>
          <w:b/>
        </w:rPr>
        <w:t>Pass 2 — Consistency.</w:t>
      </w:r>
      <w:r>
        <w:t xml:space="preserve"> Reconcile names, shares, price, dates, defined terms, rights, conditions and funds across all documents. </w:t>
      </w:r>
      <w:r>
        <w:rPr>
          <w:b/>
        </w:rPr>
        <w:t>Pass 3 — Operational proof.</w:t>
      </w:r>
      <w:r>
        <w:t xml:space="preserve"> Walk the closing script and post-Closing audit with the actual responsible people and systems.</w:t>
      </w:r>
    </w:p>
    <w:p>
      <w:pPr>
        <w:pStyle w:val="Heading3"/>
        <w:widowControl/>
        <w:ind w:left="0" w:firstLine="0"/>
      </w:pPr>
      <w:r>
        <w:rPr>
          <w:rFonts w:ascii="Times New Roman" w:hAnsi="Times New Roman"/>
          <w:b/>
          <w:sz w:val="22"/>
          <w:u w:val="single"/>
        </w:rPr>
        <w:t>Attorney-review warning</w:t>
      </w:r>
    </w:p>
    <w:p>
      <w:pPr>
        <w:widowControl/>
        <w:ind w:firstLine="720"/>
        <w:jc w:val="both"/>
      </w:pPr>
      <w:r>
        <w:t>A checklist cannot resolve a legal conflict or cure a defective transfer. Qualified company, securities and tax counsel must approve the transaction-specific analysis and final release.</w:t>
      </w:r>
    </w:p>
    <w:sectPr w:rsidR="00FC693F" w:rsidRPr="0006063C" w:rsidSect="00034616">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Transfer Deal Control, Closing Checklist and Stock-Ledger Instructions — Private Company</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