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spacing w:before="360"/>
      </w:pPr>
      <w:r>
        <w:rPr>
          <w:rFonts w:ascii="Times New Roman" w:hAnsi="Times New Roman"/>
          <w:b/>
          <w:sz w:val="28"/>
          <w:u w:val="none"/>
        </w:rPr>
        <w:t>Founder Liquidity Program Board Consent and Conflicts Record — Private Company Secondary Transactions</w:t>
      </w:r>
    </w:p>
    <w:p>
      <w:pPr>
        <w:widowControl/>
        <w:spacing w:after="240"/>
        <w:jc w:val="center"/>
      </w:pPr>
      <w:r>
        <w:rPr>
          <w:rFonts w:ascii="Times New Roman" w:hAnsi="Times New Roman"/>
          <w:b/>
          <w:sz w:val="20"/>
        </w:rPr>
        <w:t>EF-095  |  VERSION 1.0.0  |  29 SEPTEMBER 2026</w:t>
      </w:r>
    </w:p>
    <w:p>
      <w:pPr>
        <w:pStyle w:val="PractitionerBanner"/>
        <w:widowControl/>
        <w:shd w:fill="F2F2F2"/>
      </w:pPr>
      <w:r>
        <w:t>PRACTITIONER MASTER — EDUCATIONAL STARTING POINT ONLY. Board action must reflect the Company’s actual charter, bylaws, investor agreements, delegated authority and current fiduciary-law analysis. Use a meeting instead of written consent if deliberation, dissent, recusals or process evidence would be material.</w:t>
      </w:r>
    </w:p>
    <w:p>
      <w:pPr>
        <w:pStyle w:val="Heading2"/>
        <w:widowControl/>
        <w:ind w:left="0" w:firstLine="0"/>
        <w:jc w:val="center"/>
      </w:pPr>
      <w:r>
        <w:rPr>
          <w:rFonts w:ascii="Times New Roman" w:hAnsi="Times New Roman"/>
          <w:b/>
          <w:sz w:val="24"/>
          <w:u w:val="none"/>
        </w:rPr>
        <w:t>Matter Completion Sheet — Complete Before Circulation</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cantSplit/>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Topic</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input</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Board-book / reviewer note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Company / board</w:t>
            </w:r>
          </w:p>
        </w:tc>
        <w:tc>
          <w:tcPr>
            <w:tcW w:type="dxa" w:w="6120"/>
            <w:vAlign w:val="center"/>
            <w:tcMar>
              <w:top w:w="55" w:type="dxa"/>
              <w:start w:w="70" w:type="dxa"/>
              <w:bottom w:w="55" w:type="dxa"/>
              <w:end w:w="70" w:type="dxa"/>
            </w:tcMar>
          </w:tcPr>
          <w:p>
            <w:pPr>
              <w:spacing w:after="0"/>
            </w:pPr>
            <w:r>
              <w:rPr>
                <w:rFonts w:ascii="Times New Roman" w:hAnsi="Times New Roman"/>
                <w:sz w:val="17"/>
              </w:rPr>
              <w:t>Legal name, state, directors, vacancies, quorum, action method</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Program purpose</w:t>
            </w:r>
          </w:p>
        </w:tc>
        <w:tc>
          <w:tcPr>
            <w:tcW w:type="dxa" w:w="6120"/>
            <w:vAlign w:val="center"/>
            <w:tcMar>
              <w:top w:w="55" w:type="dxa"/>
              <w:start w:w="70" w:type="dxa"/>
              <w:bottom w:w="55" w:type="dxa"/>
              <w:end w:w="70" w:type="dxa"/>
            </w:tcMar>
          </w:tcPr>
          <w:p>
            <w:pPr>
              <w:spacing w:after="0"/>
            </w:pPr>
            <w:r>
              <w:rPr>
                <w:rFonts w:ascii="Times New Roman" w:hAnsi="Times New Roman"/>
                <w:sz w:val="17"/>
              </w:rPr>
              <w:t>Retention, diversification, financing alignment, investor demand, other</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Eligible sellers</w:t>
            </w:r>
          </w:p>
        </w:tc>
        <w:tc>
          <w:tcPr>
            <w:tcW w:type="dxa" w:w="6120"/>
            <w:vAlign w:val="center"/>
            <w:tcMar>
              <w:top w:w="55" w:type="dxa"/>
              <w:start w:w="70" w:type="dxa"/>
              <w:bottom w:w="55" w:type="dxa"/>
              <w:end w:w="70" w:type="dxa"/>
            </w:tcMar>
          </w:tcPr>
          <w:p>
            <w:pPr>
              <w:spacing w:after="0"/>
            </w:pPr>
            <w:r>
              <w:rPr>
                <w:rFonts w:ascii="Times New Roman" w:hAnsi="Times New Roman"/>
                <w:sz w:val="17"/>
              </w:rPr>
              <w:t>Founders, employees, former service providers, investors; objective criteria</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Transaction structure</w:t>
            </w:r>
          </w:p>
        </w:tc>
        <w:tc>
          <w:tcPr>
            <w:tcW w:type="dxa" w:w="6120"/>
            <w:vAlign w:val="center"/>
            <w:tcMar>
              <w:top w:w="55" w:type="dxa"/>
              <w:start w:w="70" w:type="dxa"/>
              <w:bottom w:w="55" w:type="dxa"/>
              <w:end w:w="70" w:type="dxa"/>
            </w:tcMar>
          </w:tcPr>
          <w:p>
            <w:pPr>
              <w:spacing w:after="0"/>
            </w:pPr>
            <w:r>
              <w:rPr>
                <w:rFonts w:ascii="Times New Roman" w:hAnsi="Times New Roman"/>
                <w:sz w:val="17"/>
              </w:rPr>
              <w:t>Bilateral sales, Company-facilitated program, tender, issuer repurchase or hybrid</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Size / limits</w:t>
            </w:r>
          </w:p>
        </w:tc>
        <w:tc>
          <w:tcPr>
            <w:tcW w:type="dxa" w:w="6120"/>
            <w:vAlign w:val="center"/>
            <w:tcMar>
              <w:top w:w="55" w:type="dxa"/>
              <w:start w:w="70" w:type="dxa"/>
              <w:bottom w:w="55" w:type="dxa"/>
              <w:end w:w="70" w:type="dxa"/>
            </w:tcMar>
          </w:tcPr>
          <w:p>
            <w:pPr>
              <w:spacing w:after="0"/>
            </w:pPr>
            <w:r>
              <w:rPr>
                <w:rFonts w:ascii="Times New Roman" w:hAnsi="Times New Roman"/>
                <w:sz w:val="17"/>
              </w:rPr>
              <w:t>Aggregate cap, per-seller cap, retention minimum, price or pricing process</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Purchaser criteria</w:t>
            </w:r>
          </w:p>
        </w:tc>
        <w:tc>
          <w:tcPr>
            <w:tcW w:type="dxa" w:w="6120"/>
            <w:vAlign w:val="center"/>
            <w:tcMar>
              <w:top w:w="55" w:type="dxa"/>
              <w:start w:w="70" w:type="dxa"/>
              <w:bottom w:w="55" w:type="dxa"/>
              <w:end w:w="70" w:type="dxa"/>
            </w:tcMar>
          </w:tcPr>
          <w:p>
            <w:pPr>
              <w:spacing w:after="0"/>
            </w:pPr>
            <w:r>
              <w:rPr>
                <w:rFonts w:ascii="Times New Roman" w:hAnsi="Times New Roman"/>
                <w:sz w:val="17"/>
              </w:rPr>
              <w:t>Investor eligibility, strategic conflicts, ownership concentration, KYC</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Contractual rights</w:t>
            </w:r>
          </w:p>
        </w:tc>
        <w:tc>
          <w:tcPr>
            <w:tcW w:type="dxa" w:w="6120"/>
            <w:vAlign w:val="center"/>
            <w:tcMar>
              <w:top w:w="55" w:type="dxa"/>
              <w:start w:w="70" w:type="dxa"/>
              <w:bottom w:w="55" w:type="dxa"/>
              <w:end w:w="70" w:type="dxa"/>
            </w:tcMar>
          </w:tcPr>
          <w:p>
            <w:pPr>
              <w:spacing w:after="0"/>
            </w:pPr>
            <w:r>
              <w:rPr>
                <w:rFonts w:ascii="Times New Roman" w:hAnsi="Times New Roman"/>
                <w:sz w:val="17"/>
              </w:rPr>
              <w:t>ROFR, co-sale, voting, investor rights, lock-up, protective provisions</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Interested persons</w:t>
            </w:r>
          </w:p>
        </w:tc>
        <w:tc>
          <w:tcPr>
            <w:tcW w:type="dxa" w:w="6120"/>
            <w:vAlign w:val="center"/>
            <w:tcMar>
              <w:top w:w="55" w:type="dxa"/>
              <w:start w:w="70" w:type="dxa"/>
              <w:bottom w:w="55" w:type="dxa"/>
              <w:end w:w="70" w:type="dxa"/>
            </w:tcMar>
          </w:tcPr>
          <w:p>
            <w:pPr>
              <w:spacing w:after="0"/>
            </w:pPr>
            <w:r>
              <w:rPr>
                <w:rFonts w:ascii="Times New Roman" w:hAnsi="Times New Roman"/>
                <w:sz w:val="17"/>
              </w:rPr>
              <w:t>Selling directors/officers, affiliated purchasers, compensation effects, recusals</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Legal/tax review</w:t>
            </w:r>
          </w:p>
        </w:tc>
        <w:tc>
          <w:tcPr>
            <w:tcW w:type="dxa" w:w="6120"/>
            <w:vAlign w:val="center"/>
            <w:tcMar>
              <w:top w:w="55" w:type="dxa"/>
              <w:start w:w="70" w:type="dxa"/>
              <w:bottom w:w="55" w:type="dxa"/>
              <w:end w:w="70" w:type="dxa"/>
            </w:tcMar>
          </w:tcPr>
          <w:p>
            <w:pPr>
              <w:spacing w:after="0"/>
            </w:pPr>
            <w:r>
              <w:rPr>
                <w:rFonts w:ascii="Times New Roman" w:hAnsi="Times New Roman"/>
                <w:sz w:val="17"/>
              </w:rPr>
              <w:t>Securities, tender-offer, broker, tax, employment, antitrust, sanctions</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Implementation</w:t>
            </w:r>
          </w:p>
        </w:tc>
        <w:tc>
          <w:tcPr>
            <w:tcW w:type="dxa" w:w="6120"/>
            <w:vAlign w:val="center"/>
            <w:tcMar>
              <w:top w:w="55" w:type="dxa"/>
              <w:start w:w="70" w:type="dxa"/>
              <w:bottom w:w="55" w:type="dxa"/>
              <w:end w:w="70" w:type="dxa"/>
            </w:tcMar>
          </w:tcPr>
          <w:p>
            <w:pPr>
              <w:spacing w:after="0"/>
            </w:pPr>
            <w:r>
              <w:rPr>
                <w:rFonts w:ascii="Times New Roman" w:hAnsi="Times New Roman"/>
                <w:sz w:val="17"/>
              </w:rPr>
              <w:t>Officers, administrators, data room, communications, closing and ledger controls</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bl>
    <w:p>
      <w:pPr>
        <w:widowControl/>
        <w:spacing w:after="20"/>
      </w:pPr>
    </w:p>
    <w:p>
      <w:pPr>
        <w:pStyle w:val="Heading1"/>
        <w:widowControl/>
      </w:pPr>
      <w:r>
        <w:rPr>
          <w:rFonts w:ascii="Times New Roman" w:hAnsi="Times New Roman"/>
          <w:b/>
          <w:sz w:val="24"/>
          <w:u w:val="none"/>
        </w:rPr>
        <w:t>UNANIMOUS WRITTEN CONSENT OF THE BOARD OF DIRECTORS</w:t>
      </w:r>
    </w:p>
    <w:p>
      <w:pPr>
        <w:widowControl/>
        <w:ind w:firstLine="720"/>
        <w:jc w:val="both"/>
      </w:pPr>
      <w:r>
        <w:t xml:space="preserve">The undersigned, constituting [ALL MEMBERS / THE REQUIRED MEMBERS] of the Board of Directors (the </w:t>
      </w:r>
      <w:r>
        <w:rPr>
          <w:b/>
          <w:i/>
        </w:rPr>
        <w:t>“Board”</w:t>
      </w:r>
      <w:r>
        <w:t xml:space="preserve">) of [COMPANY LEGAL NAME], a [STATE] corporation (the </w:t>
      </w:r>
      <w:r>
        <w:rPr>
          <w:b/>
          <w:i/>
        </w:rPr>
        <w:t>“Company”</w:t>
      </w:r>
      <w:r>
        <w:t>), adopt the following resolutions as of [DATE] under the Company’s governing law, certificate of incorporation and bylaws.</w:t>
      </w:r>
    </w:p>
    <w:p>
      <w:pPr>
        <w:pStyle w:val="PractitionerBanner"/>
        <w:widowControl/>
        <w:shd w:fill="F2F2F2"/>
      </w:pPr>
      <w:r>
        <w:t>Drafting note: If any director is interested, recused, unavailable or unwilling to sign, confirm whether written consent is legally and contractually available. Consider a noticed meeting with minutes and separate disinterested approval. Delete this note only after counsel selects the proper action method.</w:t>
      </w:r>
    </w:p>
    <w:p>
      <w:pPr>
        <w:pStyle w:val="Heading2"/>
        <w:widowControl/>
        <w:ind w:left="0" w:firstLine="0"/>
        <w:jc w:val="center"/>
      </w:pPr>
      <w:r>
        <w:rPr>
          <w:rFonts w:ascii="Times New Roman" w:hAnsi="Times New Roman"/>
          <w:b/>
          <w:caps/>
          <w:sz w:val="22"/>
          <w:u w:val="none"/>
        </w:rPr>
        <w:t>Recitals</w:t>
      </w:r>
    </w:p>
    <w:p>
      <w:pPr>
        <w:widowControl/>
        <w:ind w:firstLine="720"/>
        <w:jc w:val="both"/>
      </w:pPr>
      <w:r>
        <w:t xml:space="preserve">WHEREAS, management presented a proposal to permit specified stockholders to obtain limited liquidity through privately negotiated sales of Company securities to approved purchasers (the </w:t>
      </w:r>
      <w:r>
        <w:rPr>
          <w:b/>
          <w:i/>
        </w:rPr>
        <w:t>“Liquidity Program”</w:t>
      </w:r>
      <w:r>
        <w:t>), as summarized in the Program Term Sheet attached as Exhibit A;</w:t>
      </w:r>
    </w:p>
    <w:p>
      <w:pPr>
        <w:widowControl/>
        <w:ind w:firstLine="720"/>
        <w:jc w:val="both"/>
      </w:pPr>
      <w:r>
        <w:t>WHEREAS, the Board reviewed the proposed structure, business objectives, capitalization effects, investor and employee considerations, information and confidentiality controls, contractual transfer rights, legal and tax issues, costs, alternatives and potential conflicts;</w:t>
      </w:r>
    </w:p>
    <w:p>
      <w:pPr>
        <w:widowControl/>
        <w:ind w:firstLine="720"/>
        <w:jc w:val="both"/>
      </w:pPr>
      <w:r>
        <w:t>WHEREAS, each director and participating officer was asked to disclose any direct or indirect financial, familial, employment, investment or other material interest in the Liquidity Program or a proposed transaction; and</w:t>
      </w:r>
    </w:p>
    <w:p>
      <w:pPr>
        <w:widowControl/>
        <w:ind w:firstLine="720"/>
        <w:jc w:val="both"/>
      </w:pPr>
      <w:r>
        <w:t>WHEREAS, the Board desires to authorize the Liquidity Program subject to defined limits and conditions, without obligating the Company to approve any particular transfer or future liquidity.</w:t>
      </w:r>
    </w:p>
    <w:p>
      <w:pPr>
        <w:pStyle w:val="Heading2"/>
        <w:widowControl/>
        <w:ind w:left="0" w:firstLine="0"/>
      </w:pPr>
      <w:r>
        <w:rPr>
          <w:rFonts w:ascii="Times New Roman" w:hAnsi="Times New Roman"/>
          <w:b/>
          <w:sz w:val="22"/>
          <w:u w:val="single"/>
        </w:rPr>
        <w:t>1. Information Reviewed and Advice Received</w:t>
      </w:r>
    </w:p>
    <w:p>
      <w:pPr>
        <w:widowControl/>
        <w:ind w:firstLine="720"/>
        <w:jc w:val="both"/>
      </w:pPr>
      <w:r>
        <w:t>RESOLVED, that the Board acknowledges receipt and review of the materials listed on Exhibit B, including the capitalization analysis, stock-ledger reconciliation, transfer-restriction matrix, proposed eligibility criteria, price or pricing process, legal and tax issue memorandum, conflict disclosures, information protocol, transaction documents, implementation timeline and estimated costs;</w:t>
      </w:r>
    </w:p>
    <w:p>
      <w:pPr>
        <w:widowControl/>
        <w:ind w:firstLine="720"/>
        <w:jc w:val="both"/>
      </w:pPr>
      <w:r>
        <w:t>RESOLVED FURTHER, that the Board had the opportunity to ask questions of management and [COMPANY COUNSEL / SECURITIES COUNSEL / TAX ADVISER / FINANCIAL ADVISER], and the Secretary is directed to preserve final materials and material supplements with the meeting or consent record;</w:t>
      </w:r>
    </w:p>
    <w:p>
      <w:pPr>
        <w:widowControl/>
        <w:ind w:firstLine="720"/>
        <w:jc w:val="both"/>
      </w:pPr>
      <w:r>
        <w:t>RESOLVED FURTHER, that no adviser’s presentation or opinion relieves the directors of their independent judgment, and any projections or valuation information were considered with their stated assumptions and limitations.</w:t>
      </w:r>
    </w:p>
    <w:p>
      <w:pPr>
        <w:pStyle w:val="Heading2"/>
        <w:widowControl/>
        <w:ind w:left="0" w:firstLine="0"/>
      </w:pPr>
      <w:r>
        <w:rPr>
          <w:rFonts w:ascii="Times New Roman" w:hAnsi="Times New Roman"/>
          <w:b/>
          <w:sz w:val="22"/>
          <w:u w:val="single"/>
        </w:rPr>
        <w:t>2. Business Purpose and Board Determinations</w:t>
      </w:r>
    </w:p>
    <w:p>
      <w:pPr>
        <w:widowControl/>
        <w:ind w:firstLine="720"/>
        <w:jc w:val="both"/>
      </w:pPr>
      <w:r>
        <w:t>RESOLVED, that the Board determines that a carefully controlled Liquidity Program may further the Company’s interests by [SUPPORTING FOUNDER OR EMPLOYEE RETENTION; ALLOWING LIMITED DIVERSIFICATION; REDUCING UNSANCTIONED TRANSFER ACTIVITY; ACCOMMODATING INVESTOR DEMAND; ALIGNING WITH A FINANCING; OTHER], subject to the safeguards in these resolutions;</w:t>
      </w:r>
    </w:p>
    <w:p>
      <w:pPr>
        <w:widowControl/>
        <w:ind w:firstLine="720"/>
        <w:jc w:val="both"/>
      </w:pPr>
      <w:r>
        <w:t>RESOLVED FURTHER, that the Board considered alternatives, including no program, an issuer repurchase, a broader tender process, a primary financing with a secondary component, individual bilateral approvals and a later liquidity event, and determined that the selected structure is appropriate under the facts presented;</w:t>
      </w:r>
    </w:p>
    <w:p>
      <w:pPr>
        <w:widowControl/>
        <w:ind w:firstLine="720"/>
        <w:jc w:val="both"/>
      </w:pPr>
      <w:r>
        <w:t>RESOLVED FURTHER, that authorization does not establish a stock valuation, promise equal liquidity to every holder, recommend an investment, guarantee a buyer, or require the Company to repeat or expand the program.</w:t>
      </w:r>
    </w:p>
    <w:p>
      <w:pPr>
        <w:pStyle w:val="Heading2"/>
        <w:widowControl/>
        <w:ind w:left="0" w:firstLine="0"/>
      </w:pPr>
      <w:r>
        <w:rPr>
          <w:rFonts w:ascii="Times New Roman" w:hAnsi="Times New Roman"/>
          <w:b/>
          <w:sz w:val="22"/>
          <w:u w:val="single"/>
        </w:rPr>
        <w:t>3. Program Parameters</w:t>
      </w:r>
    </w:p>
    <w:p>
      <w:pPr>
        <w:pStyle w:val="Heading3"/>
        <w:widowControl/>
        <w:ind w:left="0" w:firstLine="0"/>
      </w:pPr>
      <w:r>
        <w:rPr>
          <w:rFonts w:ascii="Times New Roman" w:hAnsi="Times New Roman"/>
          <w:b/>
          <w:sz w:val="22"/>
          <w:u w:val="single"/>
        </w:rPr>
        <w:t>3.1 Aggregate and Individual Limits</w:t>
      </w:r>
    </w:p>
    <w:p>
      <w:pPr>
        <w:widowControl/>
        <w:ind w:firstLine="720"/>
        <w:jc w:val="both"/>
      </w:pPr>
      <w:r>
        <w:t>RESOLVED, that the aggregate number or value of shares transferred under the Liquidity Program may not exceed [NUMBER / DOLLAR AMOUNT / PERCENTAGE OF FULLY DILUTED CAPITALIZATION], and no seller may transfer more than [LIMIT], in each case subject to the retention and concentration rules in Exhibit A;</w:t>
      </w:r>
    </w:p>
    <w:p>
      <w:pPr>
        <w:widowControl/>
        <w:ind w:firstLine="720"/>
        <w:jc w:val="both"/>
      </w:pPr>
      <w:r>
        <w:t>RESOLVED FURTHER, that a selling founder or continuing service provider must retain at least [NUMBER / PERCENTAGE] of [VESTED / TOTAL] equity after Closing, unless the Board or disinterested committee approves an exception based on documented circumstances and receives counsel advice regarding incentive, disclosure and equal-treatment implications.</w:t>
      </w:r>
    </w:p>
    <w:p>
      <w:pPr>
        <w:pStyle w:val="Heading3"/>
        <w:widowControl/>
        <w:ind w:left="0" w:firstLine="0"/>
      </w:pPr>
      <w:r>
        <w:rPr>
          <w:rFonts w:ascii="Times New Roman" w:hAnsi="Times New Roman"/>
          <w:b/>
          <w:sz w:val="22"/>
          <w:u w:val="single"/>
        </w:rPr>
        <w:t>3.2 Eligible Sellers</w:t>
      </w:r>
    </w:p>
    <w:p>
      <w:pPr>
        <w:widowControl/>
        <w:ind w:firstLine="720"/>
        <w:jc w:val="both"/>
      </w:pPr>
      <w:r>
        <w:t>RESOLVED, that eligible sellers are those objectively described in Exhibit A and approved by the Authorized Officers after verification of record ownership, vesting, service status, transfer compliance, policy compliance, tax forms and absence of disqualifying liens or disputes;</w:t>
      </w:r>
    </w:p>
    <w:p>
      <w:pPr>
        <w:widowControl/>
        <w:ind w:firstLine="720"/>
        <w:jc w:val="both"/>
      </w:pPr>
      <w:r>
        <w:t>RESOLVED FURTHER, that exclusion or reduction criteria must be consistently applied and documented, while permitting distinctions reasonably based on role, tenure, retention needs, contractual rights, legal constraints, available demand or capitalization effects.</w:t>
      </w:r>
    </w:p>
    <w:p>
      <w:pPr>
        <w:pStyle w:val="Heading3"/>
        <w:widowControl/>
        <w:ind w:left="0" w:firstLine="0"/>
      </w:pPr>
      <w:r>
        <w:rPr>
          <w:rFonts w:ascii="Times New Roman" w:hAnsi="Times New Roman"/>
          <w:b/>
          <w:sz w:val="22"/>
          <w:u w:val="single"/>
        </w:rPr>
        <w:t>3.3 Eligible Purchasers</w:t>
      </w:r>
    </w:p>
    <w:p>
      <w:pPr>
        <w:widowControl/>
        <w:ind w:firstLine="720"/>
        <w:jc w:val="both"/>
      </w:pPr>
      <w:r>
        <w:t>RESOLVED, that a purchaser must satisfy the Company-approved investor, beneficial-ownership, sanctions, KYC, competitive-conflict, concentration and contractual-joinder criteria; provide the required representations; and be acceptable under the Company Documents and applicable law;</w:t>
      </w:r>
    </w:p>
    <w:p>
      <w:pPr>
        <w:widowControl/>
        <w:ind w:firstLine="720"/>
        <w:jc w:val="both"/>
      </w:pPr>
      <w:r>
        <w:t>RESOLVED FURTHER, that no broker, finder, platform or intermediary may be engaged without written legal and regulatory review of its role, licensing, compensation, conflicts, cybersecurity and communications.</w:t>
      </w:r>
    </w:p>
    <w:p>
      <w:pPr>
        <w:pStyle w:val="Heading3"/>
        <w:widowControl/>
        <w:ind w:left="0" w:firstLine="0"/>
      </w:pPr>
      <w:r>
        <w:rPr>
          <w:rFonts w:ascii="Times New Roman" w:hAnsi="Times New Roman"/>
          <w:b/>
          <w:sz w:val="22"/>
          <w:u w:val="single"/>
        </w:rPr>
        <w:t>3.4 Pricing</w:t>
      </w:r>
    </w:p>
    <w:p>
      <w:pPr>
        <w:widowControl/>
        <w:ind w:firstLine="720"/>
        <w:jc w:val="both"/>
      </w:pPr>
      <w:r>
        <w:t>RESOLVED, that the program price or pricing process is [DESCRIBE], and that management shall disclose to participating sellers and purchasers the limitations of any valuation, the relationship to recent financings or tax valuations, and the absence of a Company fairness determination except as expressly approved;</w:t>
      </w:r>
    </w:p>
    <w:p>
      <w:pPr>
        <w:widowControl/>
        <w:ind w:firstLine="720"/>
        <w:jc w:val="both"/>
      </w:pPr>
      <w:r>
        <w:t>RESOLVED FURTHER, that any material change to price, consideration or side arrangements after rights notices are issued requires renewed analysis of notices, ROFR and co-sale processes, disclosure and approvals.</w:t>
      </w:r>
    </w:p>
    <w:p>
      <w:pPr>
        <w:pStyle w:val="Heading2"/>
        <w:widowControl/>
        <w:ind w:left="0" w:firstLine="0"/>
      </w:pPr>
      <w:r>
        <w:rPr>
          <w:rFonts w:ascii="Times New Roman" w:hAnsi="Times New Roman"/>
          <w:b/>
          <w:sz w:val="22"/>
          <w:u w:val="single"/>
        </w:rPr>
        <w:t>4. Contractual Transfer Rights</w:t>
      </w:r>
    </w:p>
    <w:p>
      <w:pPr>
        <w:widowControl/>
        <w:ind w:firstLine="720"/>
        <w:jc w:val="both"/>
      </w:pPr>
      <w:r>
        <w:t>RESOLVED, that no transaction may close unless counsel confirms satisfaction, expiration, exercise or valid waiver of all applicable ROFR, first-offer, co-sale, drag, voting, information, preemptive, lock-up, market-standoff, repurchase, plan, lender and other rights identified in Exhibit C;</w:t>
      </w:r>
    </w:p>
    <w:p>
      <w:pPr>
        <w:widowControl/>
        <w:ind w:firstLine="720"/>
        <w:jc w:val="both"/>
      </w:pPr>
      <w:r>
        <w:t>RESOLVED FURTHER, that Company administration of a right does not authorize the Company to waive a right held by another person, and every waiver must be obtained from the actual holder under the applicable amendment or waiver standard;</w:t>
      </w:r>
    </w:p>
    <w:p>
      <w:pPr>
        <w:widowControl/>
        <w:ind w:firstLine="720"/>
        <w:jc w:val="both"/>
      </w:pPr>
      <w:r>
        <w:t>RESOLVED FURTHER, that each transferee must execute the required joinders and receives only those rights that validly transfer under the Company Documents.</w:t>
      </w:r>
    </w:p>
    <w:p>
      <w:pPr>
        <w:pStyle w:val="Heading2"/>
        <w:widowControl/>
        <w:ind w:left="0" w:firstLine="0"/>
      </w:pPr>
      <w:r>
        <w:rPr>
          <w:rFonts w:ascii="Times New Roman" w:hAnsi="Times New Roman"/>
          <w:b/>
          <w:sz w:val="22"/>
          <w:u w:val="single"/>
        </w:rPr>
        <w:t>5. Securities, Tender-Offer and Regulatory Review</w:t>
      </w:r>
    </w:p>
    <w:p>
      <w:pPr>
        <w:widowControl/>
        <w:ind w:firstLine="720"/>
        <w:jc w:val="both"/>
      </w:pPr>
      <w:r>
        <w:t>RESOLVED, that each transaction must have a documented federal and state securities-law basis approved by counsel, and purchaser accreditation or sophistication shall not be treated as sufficient by itself;</w:t>
      </w:r>
    </w:p>
    <w:p>
      <w:pPr>
        <w:widowControl/>
        <w:ind w:firstLine="720"/>
        <w:jc w:val="both"/>
      </w:pPr>
      <w:r>
        <w:t>RESOLVED FURTHER, that before launch or any material program change, counsel shall analyze whether the number of offerees, common terms, Company involvement, timing, communications, withdrawal rights or other facts create tender-offer, broker-dealer, exchange, market, investment-company or similar regulatory concerns;</w:t>
      </w:r>
    </w:p>
    <w:p>
      <w:pPr>
        <w:widowControl/>
        <w:ind w:firstLine="720"/>
        <w:jc w:val="both"/>
      </w:pPr>
      <w:r>
        <w:t>RESOLVED FURTHER, that management shall not broaden the program, advertise it publicly, aggregate buyers or sellers through an unapproved platform, or alter Company participation beyond the structure reviewed by counsel without renewed Board or committee approval if material.</w:t>
      </w:r>
    </w:p>
    <w:p>
      <w:pPr>
        <w:pStyle w:val="Heading2"/>
        <w:widowControl/>
        <w:ind w:left="0" w:firstLine="0"/>
      </w:pPr>
      <w:r>
        <w:rPr>
          <w:rFonts w:ascii="Times New Roman" w:hAnsi="Times New Roman"/>
          <w:b/>
          <w:sz w:val="22"/>
          <w:u w:val="single"/>
        </w:rPr>
        <w:t>6. Information and Communications Protocol</w:t>
      </w:r>
    </w:p>
    <w:p>
      <w:pPr>
        <w:widowControl/>
        <w:ind w:firstLine="720"/>
        <w:jc w:val="both"/>
      </w:pPr>
      <w:r>
        <w:t>RESOLVED, that the Information Protocol in Exhibit D is approved, including authorized speakers, confidentiality agreements, data-room controls, question-and-answer procedures, information cut-off and supplementation procedures, competitor safeguards, privilege protection and records retention;</w:t>
      </w:r>
    </w:p>
    <w:p>
      <w:pPr>
        <w:widowControl/>
        <w:ind w:firstLine="720"/>
        <w:jc w:val="both"/>
      </w:pPr>
      <w:r>
        <w:t>RESOLVED FURTHER, that no seller may disclose Company information except through the approved process, and no employee or director may selectively provide material information outside that process;</w:t>
      </w:r>
    </w:p>
    <w:p>
      <w:pPr>
        <w:widowControl/>
        <w:ind w:firstLine="720"/>
        <w:jc w:val="both"/>
      </w:pPr>
      <w:r>
        <w:t>RESOLVED FURTHER, that communications must accurately describe Company neutrality, transfer restrictions, risks, fees and the voluntary nature of participation and must not promise price support, liquidity or future Company action.</w:t>
      </w:r>
    </w:p>
    <w:p>
      <w:pPr>
        <w:pStyle w:val="Heading2"/>
        <w:widowControl/>
        <w:ind w:left="0" w:firstLine="0"/>
      </w:pPr>
      <w:r>
        <w:rPr>
          <w:rFonts w:ascii="Times New Roman" w:hAnsi="Times New Roman"/>
          <w:b/>
          <w:sz w:val="22"/>
          <w:u w:val="single"/>
        </w:rPr>
        <w:t>7. Conflicts and Disinterested Process</w:t>
      </w:r>
    </w:p>
    <w:p>
      <w:pPr>
        <w:pStyle w:val="Heading3"/>
        <w:widowControl/>
        <w:ind w:left="0" w:firstLine="0"/>
      </w:pPr>
      <w:r>
        <w:rPr>
          <w:rFonts w:ascii="Times New Roman" w:hAnsi="Times New Roman"/>
          <w:b/>
          <w:sz w:val="22"/>
          <w:u w:val="single"/>
        </w:rPr>
        <w:t>7.1 Disclosures</w:t>
      </w:r>
    </w:p>
    <w:p>
      <w:pPr>
        <w:widowControl/>
        <w:ind w:firstLine="720"/>
        <w:jc w:val="both"/>
      </w:pPr>
      <w:r>
        <w:t>RESOLVED, that the disclosures on Exhibit E are acknowledged and incorporated into the record. Each director and officer confirms the disclosure remains accurate or provides a written supplement before participating further.</w:t>
      </w:r>
    </w:p>
    <w:p>
      <w:pPr>
        <w:pStyle w:val="Heading3"/>
        <w:widowControl/>
        <w:ind w:left="0" w:firstLine="0"/>
      </w:pPr>
      <w:r>
        <w:rPr>
          <w:rFonts w:ascii="Times New Roman" w:hAnsi="Times New Roman"/>
          <w:b/>
          <w:sz w:val="22"/>
          <w:u w:val="single"/>
        </w:rPr>
        <w:t>7.2 Recusals</w:t>
      </w:r>
    </w:p>
    <w:p>
      <w:pPr>
        <w:widowControl/>
        <w:ind w:firstLine="720"/>
        <w:jc w:val="both"/>
      </w:pPr>
      <w:r>
        <w:t>RESOLVED, that [DIRECTOR/OFFICER NAMES] are interested because [REASON] and [DID NOT PARTICIPATE IN DELIBERATION OR VOTING EXCEPT TO PROVIDE REQUESTED FACTS / PARTICIPATED UNDER THE SPECIFIC PROCESS APPROVED BY COUNSEL]. The Secretary shall record attendance, departures, return times and vote separately.</w:t>
      </w:r>
    </w:p>
    <w:p>
      <w:pPr>
        <w:pStyle w:val="Heading3"/>
        <w:widowControl/>
        <w:ind w:left="0" w:firstLine="0"/>
      </w:pPr>
      <w:r>
        <w:rPr>
          <w:rFonts w:ascii="Times New Roman" w:hAnsi="Times New Roman"/>
          <w:b/>
          <w:sz w:val="22"/>
          <w:u w:val="single"/>
        </w:rPr>
        <w:t>7.3 Disinterested Committee</w:t>
      </w:r>
    </w:p>
    <w:p>
      <w:pPr>
        <w:widowControl/>
        <w:ind w:firstLine="720"/>
        <w:jc w:val="both"/>
      </w:pPr>
      <w:r>
        <w:t xml:space="preserve">[RESOLVED, that a committee of disinterested directors consisting of [NAMES] (the </w:t>
      </w:r>
      <w:r>
        <w:rPr>
          <w:b/>
          <w:i/>
        </w:rPr>
        <w:t>“Liquidity Committee”</w:t>
      </w:r>
      <w:r>
        <w:t>) is established with authority to evaluate individual transactions, negotiate or approve program terms within these limits, retain independent advisers, reject any transaction and report to the Board. The committee shall not include a person whose objectivity may reasonably be impaired.]</w:t>
      </w:r>
    </w:p>
    <w:p>
      <w:pPr>
        <w:pStyle w:val="Heading3"/>
        <w:widowControl/>
        <w:ind w:left="0" w:firstLine="0"/>
      </w:pPr>
      <w:r>
        <w:rPr>
          <w:rFonts w:ascii="Times New Roman" w:hAnsi="Times New Roman"/>
          <w:b/>
          <w:sz w:val="22"/>
          <w:u w:val="single"/>
        </w:rPr>
        <w:t>7.4 No Management Override</w:t>
      </w:r>
    </w:p>
    <w:p>
      <w:pPr>
        <w:widowControl/>
        <w:ind w:firstLine="720"/>
        <w:jc w:val="both"/>
      </w:pPr>
      <w:r>
        <w:t>RESOLVED, that an interested founder, officer, seller or purchaser may provide information but may not approve their own eligibility, exception, price adjustment, fee, information access or waiver unless a lawful, counsel-approved process expressly permits it.</w:t>
      </w:r>
    </w:p>
    <w:p>
      <w:pPr>
        <w:pStyle w:val="Heading2"/>
        <w:widowControl/>
        <w:ind w:left="0" w:firstLine="0"/>
      </w:pPr>
      <w:r>
        <w:rPr>
          <w:rFonts w:ascii="Times New Roman" w:hAnsi="Times New Roman"/>
          <w:b/>
          <w:sz w:val="22"/>
          <w:u w:val="single"/>
        </w:rPr>
        <w:t>8. Transaction Documents and Closing Controls</w:t>
      </w:r>
    </w:p>
    <w:p>
      <w:pPr>
        <w:widowControl/>
        <w:ind w:firstLine="720"/>
        <w:jc w:val="both"/>
      </w:pPr>
      <w:r>
        <w:t>RESOLVED, that the forms listed on Exhibit F are approved substantially in the reviewed form, with changes that an Authorized Officer and Company counsel determine are not materially adverse to the Company or inconsistent with these resolutions;</w:t>
      </w:r>
    </w:p>
    <w:p>
      <w:pPr>
        <w:widowControl/>
        <w:ind w:firstLine="720"/>
        <w:jc w:val="both"/>
      </w:pPr>
      <w:r>
        <w:t>RESOLVED FURTHER, that each Closing must use a condition-and-deliverable checklist, authenticated payment instructions, delivery-versus-payment sequence, seller title certificate, purchaser representations, Company consent, joinders and post-Closing stock-ledger evidence;</w:t>
      </w:r>
    </w:p>
    <w:p>
      <w:pPr>
        <w:widowControl/>
        <w:ind w:firstLine="720"/>
        <w:jc w:val="both"/>
      </w:pPr>
      <w:r>
        <w:t>RESOLVED FURTHER, that no convenience cap-table platform update, signed stock power or pending wire alone constitutes Closing; the authoritative stock ledger must be updated under a verified instruction.</w:t>
      </w:r>
    </w:p>
    <w:p>
      <w:pPr>
        <w:pStyle w:val="Heading2"/>
        <w:widowControl/>
        <w:ind w:left="0" w:firstLine="0"/>
      </w:pPr>
      <w:r>
        <w:rPr>
          <w:rFonts w:ascii="Times New Roman" w:hAnsi="Times New Roman"/>
          <w:b/>
          <w:sz w:val="22"/>
          <w:u w:val="single"/>
        </w:rPr>
        <w:t>9. Tax, Compensation and Employment Matters</w:t>
      </w:r>
    </w:p>
    <w:p>
      <w:pPr>
        <w:widowControl/>
        <w:ind w:firstLine="720"/>
        <w:jc w:val="both"/>
      </w:pPr>
      <w:r>
        <w:t>RESOLVED, that participating sellers are responsible for personal tax advice, and management shall not make tax or QSBS assurances beyond factual records approved by counsel;</w:t>
      </w:r>
    </w:p>
    <w:p>
      <w:pPr>
        <w:widowControl/>
        <w:ind w:firstLine="720"/>
        <w:jc w:val="both"/>
      </w:pPr>
      <w:r>
        <w:t>RESOLVED FURTHER, that tax advisers shall review withholding, reporting, compensation treatment, option or restricted-stock consequences, holding periods, payroll issues and state, local or foreign matters before Closing;</w:t>
      </w:r>
    </w:p>
    <w:p>
      <w:pPr>
        <w:widowControl/>
        <w:ind w:firstLine="720"/>
        <w:jc w:val="both"/>
      </w:pPr>
      <w:r>
        <w:t>RESOLVED FURTHER, that the Authorized Officers shall assess whether seller selection, retention requirements or program communications affect compensation, employee-relations or disclosure obligations.</w:t>
      </w:r>
    </w:p>
    <w:p>
      <w:pPr>
        <w:pStyle w:val="Heading2"/>
        <w:widowControl/>
        <w:ind w:left="0" w:firstLine="0"/>
      </w:pPr>
      <w:r>
        <w:rPr>
          <w:rFonts w:ascii="Times New Roman" w:hAnsi="Times New Roman"/>
          <w:b/>
          <w:sz w:val="22"/>
          <w:u w:val="single"/>
        </w:rPr>
        <w:t>10. Costs and Company Resources</w:t>
      </w:r>
    </w:p>
    <w:p>
      <w:pPr>
        <w:widowControl/>
        <w:ind w:firstLine="720"/>
        <w:jc w:val="both"/>
      </w:pPr>
      <w:r>
        <w:t>RESOLVED, that the Company may incur program costs up to $[CAP], allocated as described in Exhibit A, and no seller or purchaser may imply that the Company pays their personal advisory costs;</w:t>
      </w:r>
    </w:p>
    <w:p>
      <w:pPr>
        <w:widowControl/>
        <w:ind w:firstLine="720"/>
        <w:jc w:val="both"/>
      </w:pPr>
      <w:r>
        <w:t>RESOLVED FURTHER, that any per-transaction administrative charge must be disclosed in advance, lawful, reasonably related to cost and reflected in the final funds-flow memorandum.</w:t>
      </w:r>
    </w:p>
    <w:p>
      <w:pPr>
        <w:pStyle w:val="Heading2"/>
        <w:widowControl/>
        <w:ind w:left="0" w:firstLine="0"/>
      </w:pPr>
      <w:r>
        <w:rPr>
          <w:rFonts w:ascii="Times New Roman" w:hAnsi="Times New Roman"/>
          <w:b/>
          <w:sz w:val="22"/>
          <w:u w:val="single"/>
        </w:rPr>
        <w:t>11. Delegated Authority</w:t>
      </w:r>
    </w:p>
    <w:p>
      <w:pPr>
        <w:widowControl/>
        <w:ind w:firstLine="720"/>
        <w:jc w:val="both"/>
      </w:pPr>
      <w:r>
        <w:t xml:space="preserve">RESOLVED, that [AUTHORIZED OFFICERS] (the </w:t>
      </w:r>
      <w:r>
        <w:rPr>
          <w:b/>
          <w:i/>
        </w:rPr>
        <w:t>“Authorized Officers”</w:t>
      </w:r>
      <w:r>
        <w:t>) may implement the Liquidity Program within these resolutions, approve ministerial changes, execute Company documents, establish the data room, retain service providers within the budget, verify conditions and direct stock-ledger updates;</w:t>
      </w:r>
    </w:p>
    <w:p>
      <w:pPr>
        <w:widowControl/>
        <w:ind w:firstLine="720"/>
        <w:jc w:val="both"/>
      </w:pPr>
      <w:r>
        <w:t>RESOLVED FURTHER, that the Authorized Officers may not without further Board or Liquidity Committee approval: increase program or individual caps; change eligible classes; materially change price or consideration; waive a material Company right; approve an interested-person exception; add a broker or platform; change the legal structure; or extend the program beyond [DATE].</w:t>
      </w:r>
    </w:p>
    <w:p>
      <w:pPr>
        <w:pStyle w:val="Heading2"/>
        <w:widowControl/>
        <w:ind w:left="0" w:firstLine="0"/>
      </w:pPr>
      <w:r>
        <w:rPr>
          <w:rFonts w:ascii="Times New Roman" w:hAnsi="Times New Roman"/>
          <w:b/>
          <w:sz w:val="22"/>
          <w:u w:val="single"/>
        </w:rPr>
        <w:t>12. Reporting, Suspension and Termination</w:t>
      </w:r>
    </w:p>
    <w:p>
      <w:pPr>
        <w:widowControl/>
        <w:ind w:firstLine="720"/>
        <w:jc w:val="both"/>
      </w:pPr>
      <w:r>
        <w:t>RESOLVED, that management shall report at least [FREQUENCY] on sellers, purchasers, shares, prices, fees, exceptions, conflicts, open items and ledger reconciliation;</w:t>
      </w:r>
    </w:p>
    <w:p>
      <w:pPr>
        <w:widowControl/>
        <w:ind w:firstLine="720"/>
        <w:jc w:val="both"/>
      </w:pPr>
      <w:r>
        <w:t>RESOLVED FURTHER, that an Authorized Officer, the Liquidity Committee or Company counsel may suspend the program upon a legal, cybersecurity, information, capitalization, financing, conflict or market concern;</w:t>
      </w:r>
    </w:p>
    <w:p>
      <w:pPr>
        <w:widowControl/>
        <w:ind w:firstLine="720"/>
        <w:jc w:val="both"/>
      </w:pPr>
      <w:r>
        <w:t>RESOLVED FURTHER, that the Company may terminate the program at any time before a binding Company-approved Closing, subject to signed contractual obligations and the return of escrow property.</w:t>
      </w:r>
    </w:p>
    <w:p>
      <w:pPr>
        <w:pStyle w:val="Heading2"/>
        <w:widowControl/>
        <w:ind w:left="0" w:firstLine="0"/>
      </w:pPr>
      <w:r>
        <w:rPr>
          <w:rFonts w:ascii="Times New Roman" w:hAnsi="Times New Roman"/>
          <w:b/>
          <w:sz w:val="22"/>
          <w:u w:val="single"/>
        </w:rPr>
        <w:t>13. Ratification and General Authority</w:t>
      </w:r>
    </w:p>
    <w:p>
      <w:pPr>
        <w:widowControl/>
        <w:ind w:firstLine="720"/>
        <w:jc w:val="both"/>
      </w:pPr>
      <w:r>
        <w:t>RESOLVED, that prior actions within the scope of these resolutions are ratified after disclosure to the Board, except no action involving undisclosed conflict, unauthorized payment or legal violation is ratified by general language;</w:t>
      </w:r>
    </w:p>
    <w:p>
      <w:pPr>
        <w:widowControl/>
        <w:ind w:firstLine="720"/>
        <w:jc w:val="both"/>
      </w:pPr>
      <w:r>
        <w:t>RESOLVED FURTHER, that the officers are authorized to take actions and execute documents necessary to implement these resolutions, subject to their limits, and to certify these resolutions to third parties;</w:t>
      </w:r>
    </w:p>
    <w:p>
      <w:pPr>
        <w:widowControl/>
        <w:ind w:firstLine="720"/>
        <w:jc w:val="both"/>
      </w:pPr>
      <w:r>
        <w:t>RESOLVED FURTHER, that these resolutions remain effective until amended or revoked and shall be filed with the Company’s minute book.</w:t>
      </w:r>
    </w:p>
    <w:p>
      <w:pPr>
        <w:widowControl/>
        <w:sectPr>
          <w:headerReference w:type="default" r:id="rId9"/>
          <w:headerReference w:type="first" r:id="rId10"/>
          <w:footerReference w:type="default" r:id="rId11"/>
          <w:footerReference w:type="first" r:id="rId12"/>
          <w:pgSz w:w="12240" w:h="15840"/>
          <w:pgMar w:top="1440" w:right="1440" w:bottom="1440" w:left="1440" w:header="518" w:footer="518" w:gutter="0"/>
          <w:cols w:space="720"/>
          <w:titlePg/>
          <w:docGrid w:linePitch="360"/>
        </w:sectPr>
      </w:pPr>
    </w:p>
    <w:p>
      <w:pPr>
        <w:pStyle w:val="Heading2"/>
        <w:widowControl/>
        <w:ind w:left="0" w:firstLine="0"/>
      </w:pPr>
      <w:r>
        <w:rPr>
          <w:rFonts w:ascii="Times New Roman" w:hAnsi="Times New Roman"/>
          <w:b/>
          <w:sz w:val="22"/>
          <w:u w:val="single"/>
        </w:rPr>
        <w:t>Signature Page</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680"/>
        <w:gridCol w:w="4680"/>
      </w:tblGrid>
      <w:tr>
        <w:trPr>
          <w:cantSplit/>
        </w:trPr>
        <w:tc>
          <w:tcPr>
            <w:tcW w:type="dxa" w:w="4392"/>
            <w:vAlign w:val="top"/>
            <w:tcMar>
              <w:top w:w="120" w:type="dxa"/>
              <w:start w:w="80" w:type="dxa"/>
              <w:bottom w:w="240" w:type="dxa"/>
              <w:end w:w="120" w:type="dxa"/>
            </w:tcMar>
          </w:tcPr>
          <w:p>
            <w:pPr>
              <w:keepLines/>
              <w:spacing w:after="0"/>
            </w:pPr>
            <w:r>
              <w:rPr>
                <w:rFonts w:ascii="Times New Roman" w:hAnsi="Times New Roman"/>
                <w:b/>
                <w:sz w:val="22"/>
              </w:rPr>
              <w:t>DIRECTOR:</w:t>
            </w:r>
            <w:r>
              <w:rPr>
                <w:rFonts w:ascii="Times New Roman" w:hAnsi="Times New Roman"/>
                <w:sz w:val="22"/>
              </w:rPr>
              <w:br/>
            </w:r>
            <w:r>
              <w:rPr>
                <w:rFonts w:ascii="Times New Roman" w:hAnsi="Times New Roman"/>
                <w:sz w:val="22"/>
              </w:rPr>
              <w:t>Name: [●]</w:t>
            </w:r>
            <w:r>
              <w:rPr>
                <w:rFonts w:ascii="Times New Roman" w:hAnsi="Times New Roman"/>
                <w:sz w:val="22"/>
              </w:rPr>
              <w:br/>
            </w:r>
            <w:r>
              <w:rPr>
                <w:rFonts w:ascii="Times New Roman" w:hAnsi="Times New Roman"/>
                <w:sz w:val="22"/>
              </w:rPr>
              <w:t>Signature: ______________________________</w:t>
            </w:r>
            <w:r>
              <w:rPr>
                <w:rFonts w:ascii="Times New Roman" w:hAnsi="Times New Roman"/>
                <w:sz w:val="22"/>
              </w:rPr>
              <w:br/>
            </w:r>
            <w:r>
              <w:rPr>
                <w:rFonts w:ascii="Times New Roman" w:hAnsi="Times New Roman"/>
                <w:sz w:val="22"/>
              </w:rPr>
              <w:t>Conflict status: [DISINTERESTED / DISCLOSED ON EXHIBIT E]</w:t>
            </w:r>
            <w:r>
              <w:rPr>
                <w:rFonts w:ascii="Times New Roman" w:hAnsi="Times New Roman"/>
                <w:sz w:val="22"/>
              </w:rPr>
              <w:br/>
            </w:r>
            <w:r>
              <w:rPr>
                <w:rFonts w:ascii="Times New Roman" w:hAnsi="Times New Roman"/>
                <w:sz w:val="22"/>
              </w:rPr>
              <w:t>Date: [●]</w:t>
            </w:r>
          </w:p>
        </w:tc>
        <w:tc>
          <w:tcPr>
            <w:tcW w:type="dxa" w:w="4392"/>
            <w:vAlign w:val="top"/>
            <w:tcMar>
              <w:top w:w="120" w:type="dxa"/>
              <w:start w:w="80" w:type="dxa"/>
              <w:bottom w:w="240" w:type="dxa"/>
              <w:end w:w="120" w:type="dxa"/>
            </w:tcMar>
          </w:tcPr>
          <w:p>
            <w:pPr>
              <w:keepLines/>
              <w:spacing w:after="0"/>
            </w:pPr>
            <w:r>
              <w:rPr>
                <w:rFonts w:ascii="Times New Roman" w:hAnsi="Times New Roman"/>
                <w:b/>
                <w:sz w:val="22"/>
              </w:rPr>
              <w:t>DIRECTOR:</w:t>
            </w:r>
            <w:r>
              <w:rPr>
                <w:rFonts w:ascii="Times New Roman" w:hAnsi="Times New Roman"/>
                <w:sz w:val="22"/>
              </w:rPr>
              <w:br/>
            </w:r>
            <w:r>
              <w:rPr>
                <w:rFonts w:ascii="Times New Roman" w:hAnsi="Times New Roman"/>
                <w:sz w:val="22"/>
              </w:rPr>
              <w:t>Name: [●]</w:t>
            </w:r>
            <w:r>
              <w:rPr>
                <w:rFonts w:ascii="Times New Roman" w:hAnsi="Times New Roman"/>
                <w:sz w:val="22"/>
              </w:rPr>
              <w:br/>
            </w:r>
            <w:r>
              <w:rPr>
                <w:rFonts w:ascii="Times New Roman" w:hAnsi="Times New Roman"/>
                <w:sz w:val="22"/>
              </w:rPr>
              <w:t>Signature: ______________________________</w:t>
            </w:r>
            <w:r>
              <w:rPr>
                <w:rFonts w:ascii="Times New Roman" w:hAnsi="Times New Roman"/>
                <w:sz w:val="22"/>
              </w:rPr>
              <w:br/>
            </w:r>
            <w:r>
              <w:rPr>
                <w:rFonts w:ascii="Times New Roman" w:hAnsi="Times New Roman"/>
                <w:sz w:val="22"/>
              </w:rPr>
              <w:t>Conflict status: [DISINTERESTED / DISCLOSED ON EXHIBIT E]</w:t>
            </w:r>
            <w:r>
              <w:rPr>
                <w:rFonts w:ascii="Times New Roman" w:hAnsi="Times New Roman"/>
                <w:sz w:val="22"/>
              </w:rPr>
              <w:br/>
            </w:r>
            <w:r>
              <w:rPr>
                <w:rFonts w:ascii="Times New Roman" w:hAnsi="Times New Roman"/>
                <w:sz w:val="22"/>
              </w:rPr>
              <w:t>Date: [●]</w:t>
            </w:r>
          </w:p>
        </w:tc>
      </w:tr>
      <w:tr>
        <w:trPr>
          <w:cantSplit/>
        </w:trPr>
        <w:tc>
          <w:tcPr>
            <w:tcW w:type="dxa" w:w="4392"/>
            <w:vAlign w:val="top"/>
            <w:tcMar>
              <w:top w:w="120" w:type="dxa"/>
              <w:start w:w="80" w:type="dxa"/>
              <w:bottom w:w="240" w:type="dxa"/>
              <w:end w:w="120" w:type="dxa"/>
            </w:tcMar>
          </w:tcPr>
          <w:p>
            <w:pPr>
              <w:keepLines/>
              <w:spacing w:after="0"/>
            </w:pPr>
            <w:r>
              <w:rPr>
                <w:rFonts w:ascii="Times New Roman" w:hAnsi="Times New Roman"/>
                <w:b/>
                <w:sz w:val="22"/>
              </w:rPr>
              <w:t>SECRETARY CERTIFICATION:</w:t>
            </w:r>
            <w:r>
              <w:rPr>
                <w:rFonts w:ascii="Times New Roman" w:hAnsi="Times New Roman"/>
                <w:sz w:val="22"/>
              </w:rPr>
              <w:br/>
            </w:r>
            <w:r>
              <w:rPr>
                <w:rFonts w:ascii="Times New Roman" w:hAnsi="Times New Roman"/>
                <w:sz w:val="22"/>
              </w:rPr>
              <w:t>I certify that the foregoing resolutions were duly adopted and remain in effect.</w:t>
            </w:r>
            <w:r>
              <w:rPr>
                <w:rFonts w:ascii="Times New Roman" w:hAnsi="Times New Roman"/>
                <w:sz w:val="22"/>
              </w:rPr>
              <w:br/>
            </w:r>
            <w:r>
              <w:rPr>
                <w:rFonts w:ascii="Times New Roman" w:hAnsi="Times New Roman"/>
                <w:sz w:val="22"/>
              </w:rPr>
              <w:t>Name: [●]</w:t>
            </w:r>
            <w:r>
              <w:rPr>
                <w:rFonts w:ascii="Times New Roman" w:hAnsi="Times New Roman"/>
                <w:sz w:val="22"/>
              </w:rPr>
              <w:br/>
            </w:r>
            <w:r>
              <w:rPr>
                <w:rFonts w:ascii="Times New Roman" w:hAnsi="Times New Roman"/>
                <w:sz w:val="22"/>
              </w:rPr>
              <w:t>Signature/Date: [●]</w:t>
            </w:r>
          </w:p>
        </w:tc>
        <w:tc>
          <w:tcPr>
            <w:tcW w:type="dxa" w:w="4392"/>
            <w:vAlign w:val="top"/>
            <w:tcMar>
              <w:top w:w="120" w:type="dxa"/>
              <w:start w:w="80" w:type="dxa"/>
              <w:bottom w:w="240" w:type="dxa"/>
              <w:end w:w="120" w:type="dxa"/>
            </w:tcMar>
          </w:tcPr>
          <w:p/>
        </w:tc>
      </w:tr>
    </w:tbl>
    <w:p>
      <w:pPr>
        <w:widowControl/>
        <w:sectPr>
          <w:headerReference w:type="default" r:id="rId13"/>
          <w:headerReference w:type="first" r:id="rId14"/>
          <w:footerReference w:type="default" r:id="rId15"/>
          <w:footerReference w:type="first" r:id="rId16"/>
          <w:pgSz w:w="12240" w:h="15840"/>
          <w:pgMar w:top="1440" w:right="1440" w:bottom="1440" w:left="1440" w:header="518" w:footer="518" w:gutter="0"/>
          <w:cols w:space="720"/>
          <w:docGrid w:linePitch="360"/>
        </w:sectPr>
      </w:pPr>
    </w:p>
    <w:p>
      <w:pPr>
        <w:pStyle w:val="Heading2"/>
        <w:widowControl/>
        <w:spacing w:before="1200"/>
        <w:ind w:left="0" w:firstLine="0"/>
      </w:pPr>
      <w:r>
        <w:rPr>
          <w:rFonts w:ascii="Times New Roman" w:hAnsi="Times New Roman"/>
          <w:b/>
          <w:sz w:val="22"/>
          <w:u w:val="single"/>
        </w:rPr>
        <w:t>Schedules and Exhibits</w:t>
      </w:r>
    </w:p>
    <w:p>
      <w:pPr>
        <w:pStyle w:val="Heading3"/>
        <w:widowControl/>
        <w:ind w:left="0" w:firstLine="0"/>
      </w:pPr>
      <w:r>
        <w:rPr>
          <w:rFonts w:ascii="Times New Roman" w:hAnsi="Times New Roman"/>
          <w:b/>
          <w:sz w:val="22"/>
          <w:u w:val="single"/>
        </w:rPr>
        <w:t>Exhibit A — Liquidity Program Term Sheet</w:t>
      </w:r>
    </w:p>
    <w:tbl>
      <w:tblPr>
        <w:tblStyle w:val="TableGrid"/>
        <w:tblW w:type="auto" w:w="0"/>
        <w:jc w:val="center"/>
        <w:tblLayout w:type="fixed"/>
        <w:tblLook w:firstColumn="1" w:firstRow="1" w:lastColumn="0" w:lastRow="0" w:noHBand="0" w:noVBand="1" w:val="04A0"/>
      </w:tblPr>
      <w:tblGrid>
        <w:gridCol w:w="4680"/>
        <w:gridCol w:w="4680"/>
      </w:tblGrid>
      <w:tr>
        <w:trPr>
          <w:tblHeader w:val="true"/>
          <w:cantSplit/>
        </w:trPr>
        <w:tc>
          <w:tcPr>
            <w:tcW w:type="dxa" w:w="4680"/>
            <w:vAlign w:val="center"/>
            <w:tcMar>
              <w:top w:w="55" w:type="dxa"/>
              <w:start w:w="70" w:type="dxa"/>
              <w:bottom w:w="55" w:type="dxa"/>
              <w:end w:w="70" w:type="dxa"/>
            </w:tcMar>
            <w:shd w:fill="E7E6E6"/>
          </w:tcPr>
          <w:p>
            <w:pPr>
              <w:spacing w:after="0"/>
            </w:pPr>
            <w:r>
              <w:rPr>
                <w:rFonts w:ascii="Times New Roman" w:hAnsi="Times New Roman"/>
                <w:b/>
                <w:sz w:val="18"/>
              </w:rPr>
              <w:t>Term</w:t>
            </w:r>
          </w:p>
        </w:tc>
        <w:tc>
          <w:tcPr>
            <w:tcW w:type="dxa" w:w="4680"/>
            <w:vAlign w:val="center"/>
            <w:tcMar>
              <w:top w:w="55" w:type="dxa"/>
              <w:start w:w="70" w:type="dxa"/>
              <w:bottom w:w="55" w:type="dxa"/>
              <w:end w:w="70" w:type="dxa"/>
            </w:tcMar>
            <w:shd w:fill="E7E6E6"/>
          </w:tcPr>
          <w:p>
            <w:pPr>
              <w:spacing w:after="0"/>
            </w:pPr>
            <w:r>
              <w:rPr>
                <w:rFonts w:ascii="Times New Roman" w:hAnsi="Times New Roman"/>
                <w:b/>
                <w:sz w:val="18"/>
              </w:rPr>
              <w:t>Board-approved parameter</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Purpose and structure</w:t>
            </w:r>
          </w:p>
        </w:tc>
        <w:tc>
          <w:tcPr>
            <w:tcW w:type="dxa" w:w="468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Eligible seller classes / exclusions</w:t>
            </w:r>
          </w:p>
        </w:tc>
        <w:tc>
          <w:tcPr>
            <w:tcW w:type="dxa" w:w="468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Aggregate and individual caps</w:t>
            </w:r>
          </w:p>
        </w:tc>
        <w:tc>
          <w:tcPr>
            <w:tcW w:type="dxa" w:w="468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Retention requirement</w:t>
            </w:r>
          </w:p>
        </w:tc>
        <w:tc>
          <w:tcPr>
            <w:tcW w:type="dxa" w:w="468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Eligible purchasers / concentration limits</w:t>
            </w:r>
          </w:p>
        </w:tc>
        <w:tc>
          <w:tcPr>
            <w:tcW w:type="dxa" w:w="468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Price or pricing process</w:t>
            </w:r>
          </w:p>
        </w:tc>
        <w:tc>
          <w:tcPr>
            <w:tcW w:type="dxa" w:w="468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Program dates / outside date</w:t>
            </w:r>
          </w:p>
        </w:tc>
        <w:tc>
          <w:tcPr>
            <w:tcW w:type="dxa" w:w="468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Fees / cost allocation</w:t>
            </w:r>
          </w:p>
        </w:tc>
        <w:tc>
          <w:tcPr>
            <w:tcW w:type="dxa" w:w="468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Exception authority</w:t>
            </w:r>
          </w:p>
        </w:tc>
        <w:tc>
          <w:tcPr>
            <w:tcW w:type="dxa" w:w="4680"/>
            <w:vAlign w:val="center"/>
            <w:tcMar>
              <w:top w:w="55" w:type="dxa"/>
              <w:start w:w="70" w:type="dxa"/>
              <w:bottom w:w="55" w:type="dxa"/>
              <w:end w:w="70" w:type="dxa"/>
            </w:tcMar>
          </w:tcPr>
          <w:p>
            <w:pPr>
              <w:spacing w:after="0"/>
            </w:pPr>
            <w:r>
              <w:rPr>
                <w:rFonts w:ascii="Times New Roman" w:hAnsi="Times New Roman"/>
                <w:sz w:val="18"/>
              </w:rPr>
              <w:t>[●]</w:t>
            </w:r>
          </w:p>
        </w:tc>
      </w:tr>
    </w:tbl>
    <w:p>
      <w:pPr>
        <w:widowControl/>
        <w:spacing w:after="20"/>
      </w:pPr>
    </w:p>
    <w:p>
      <w:pPr>
        <w:pStyle w:val="Heading3"/>
        <w:widowControl/>
        <w:ind w:left="0" w:firstLine="0"/>
      </w:pPr>
      <w:r>
        <w:rPr>
          <w:rFonts w:ascii="Times New Roman" w:hAnsi="Times New Roman"/>
          <w:b/>
          <w:sz w:val="22"/>
          <w:u w:val="single"/>
        </w:rPr>
        <w:t>Exhibit B — Board Materials and Advice</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tblHeader w:val="true"/>
          <w:cantSplit/>
        </w:trPr>
        <w:tc>
          <w:tcPr>
            <w:tcW w:type="dxa" w:w="2340"/>
            <w:vAlign w:val="center"/>
            <w:tcMar>
              <w:top w:w="55" w:type="dxa"/>
              <w:start w:w="70" w:type="dxa"/>
              <w:bottom w:w="55" w:type="dxa"/>
              <w:end w:w="70" w:type="dxa"/>
            </w:tcMar>
            <w:shd w:fill="E7E6E6"/>
          </w:tcPr>
          <w:p>
            <w:pPr>
              <w:spacing w:after="0"/>
            </w:pPr>
            <w:r>
              <w:rPr>
                <w:rFonts w:ascii="Times New Roman" w:hAnsi="Times New Roman"/>
                <w:b/>
                <w:sz w:val="18"/>
              </w:rPr>
              <w:t>Material</w:t>
            </w:r>
          </w:p>
        </w:tc>
        <w:tc>
          <w:tcPr>
            <w:tcW w:type="dxa" w:w="2340"/>
            <w:vAlign w:val="center"/>
            <w:tcMar>
              <w:top w:w="55" w:type="dxa"/>
              <w:start w:w="70" w:type="dxa"/>
              <w:bottom w:w="55" w:type="dxa"/>
              <w:end w:w="70" w:type="dxa"/>
            </w:tcMar>
            <w:shd w:fill="E7E6E6"/>
          </w:tcPr>
          <w:p>
            <w:pPr>
              <w:spacing w:after="0"/>
            </w:pPr>
            <w:r>
              <w:rPr>
                <w:rFonts w:ascii="Times New Roman" w:hAnsi="Times New Roman"/>
                <w:b/>
                <w:sz w:val="18"/>
              </w:rPr>
              <w:t>Date / version</w:t>
            </w:r>
          </w:p>
        </w:tc>
        <w:tc>
          <w:tcPr>
            <w:tcW w:type="dxa" w:w="2340"/>
            <w:vAlign w:val="center"/>
            <w:tcMar>
              <w:top w:w="55" w:type="dxa"/>
              <w:start w:w="70" w:type="dxa"/>
              <w:bottom w:w="55" w:type="dxa"/>
              <w:end w:w="70" w:type="dxa"/>
            </w:tcMar>
            <w:shd w:fill="E7E6E6"/>
          </w:tcPr>
          <w:p>
            <w:pPr>
              <w:spacing w:after="0"/>
            </w:pPr>
            <w:r>
              <w:rPr>
                <w:rFonts w:ascii="Times New Roman" w:hAnsi="Times New Roman"/>
                <w:b/>
                <w:sz w:val="18"/>
              </w:rPr>
              <w:t>Presenter</w:t>
            </w:r>
          </w:p>
        </w:tc>
        <w:tc>
          <w:tcPr>
            <w:tcW w:type="dxa" w:w="2340"/>
            <w:vAlign w:val="center"/>
            <w:tcMar>
              <w:top w:w="55" w:type="dxa"/>
              <w:start w:w="70" w:type="dxa"/>
              <w:bottom w:w="55" w:type="dxa"/>
              <w:end w:w="70" w:type="dxa"/>
            </w:tcMar>
            <w:shd w:fill="E7E6E6"/>
          </w:tcPr>
          <w:p>
            <w:pPr>
              <w:spacing w:after="0"/>
            </w:pPr>
            <w:r>
              <w:rPr>
                <w:rFonts w:ascii="Times New Roman" w:hAnsi="Times New Roman"/>
                <w:b/>
                <w:sz w:val="18"/>
              </w:rPr>
              <w:t>Material assumptions or limits</w:t>
            </w:r>
          </w:p>
        </w:tc>
      </w:tr>
      <w:tr>
        <w:trPr>
          <w:cantSplit/>
        </w:trPr>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r>
    </w:tbl>
    <w:p>
      <w:pPr>
        <w:widowControl/>
        <w:spacing w:after="20"/>
      </w:pPr>
    </w:p>
    <w:p>
      <w:pPr>
        <w:pStyle w:val="Heading3"/>
        <w:widowControl/>
        <w:ind w:left="0" w:firstLine="0"/>
      </w:pPr>
      <w:r>
        <w:rPr>
          <w:rFonts w:ascii="Times New Roman" w:hAnsi="Times New Roman"/>
          <w:b/>
          <w:sz w:val="22"/>
          <w:u w:val="single"/>
        </w:rPr>
        <w:t>Exhibit C — Transfer-Restriction Matrix</w:t>
      </w:r>
    </w:p>
    <w:tbl>
      <w:tblPr>
        <w:tblStyle w:val="TableGrid"/>
        <w:tblW w:type="auto" w:w="0"/>
        <w:jc w:val="center"/>
        <w:tblLayout w:type="fixed"/>
        <w:tblLook w:firstColumn="1" w:firstRow="1" w:lastColumn="0" w:lastRow="0" w:noHBand="0" w:noVBand="1" w:val="04A0"/>
      </w:tblPr>
      <w:tblGrid>
        <w:gridCol w:w="1872"/>
        <w:gridCol w:w="1872"/>
        <w:gridCol w:w="1872"/>
        <w:gridCol w:w="1872"/>
        <w:gridCol w:w="1872"/>
      </w:tblGrid>
      <w:tr>
        <w:trPr>
          <w:tblHeader w:val="true"/>
          <w:cantSplit/>
        </w:trPr>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Document / law</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Right or restriction</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Holder / authority</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Procedure</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Closing evidence</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bl>
    <w:p>
      <w:pPr>
        <w:widowControl/>
        <w:spacing w:after="20"/>
      </w:pPr>
    </w:p>
    <w:p>
      <w:pPr>
        <w:pStyle w:val="Heading3"/>
        <w:widowControl/>
        <w:ind w:left="0" w:firstLine="0"/>
      </w:pPr>
      <w:r>
        <w:rPr>
          <w:rFonts w:ascii="Times New Roman" w:hAnsi="Times New Roman"/>
          <w:b/>
          <w:sz w:val="22"/>
          <w:u w:val="single"/>
        </w:rPr>
        <w:t>Exhibit D — Information and Communications Protocol</w:t>
      </w:r>
    </w:p>
    <w:p>
      <w:pPr>
        <w:widowControl/>
        <w:ind w:firstLine="720"/>
        <w:jc w:val="both"/>
      </w:pPr>
      <w:r>
        <w:t>Identify authorized speakers; NDA requirement; data-room permissions; information set and cut-off; Q&amp;A procedure; supplementation; competitor and privilege controls; permitted seller disclosure; record retention; incident escalation; and approved communication templates.</w:t>
      </w:r>
    </w:p>
    <w:p>
      <w:pPr>
        <w:pStyle w:val="Heading3"/>
        <w:widowControl/>
        <w:ind w:left="0" w:firstLine="0"/>
      </w:pPr>
      <w:r>
        <w:rPr>
          <w:rFonts w:ascii="Times New Roman" w:hAnsi="Times New Roman"/>
          <w:b/>
          <w:sz w:val="22"/>
          <w:u w:val="single"/>
        </w:rPr>
        <w:t>Exhibit E — Director and Officer Conflict Record</w:t>
      </w:r>
    </w:p>
    <w:tbl>
      <w:tblPr>
        <w:tblStyle w:val="TableGrid"/>
        <w:tblW w:type="auto" w:w="0"/>
        <w:jc w:val="center"/>
        <w:tblLayout w:type="fixed"/>
        <w:tblLook w:firstColumn="1" w:firstRow="1" w:lastColumn="0" w:lastRow="0" w:noHBand="0" w:noVBand="1" w:val="04A0"/>
      </w:tblPr>
      <w:tblGrid>
        <w:gridCol w:w="1872"/>
        <w:gridCol w:w="1872"/>
        <w:gridCol w:w="1872"/>
        <w:gridCol w:w="1872"/>
        <w:gridCol w:w="1872"/>
      </w:tblGrid>
      <w:tr>
        <w:trPr>
          <w:tblHeader w:val="true"/>
          <w:cantSplit/>
        </w:trPr>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Person</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Interest / relationship</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Material facts disclosed</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Participation / recusal</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Approval path</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bl>
    <w:p>
      <w:pPr>
        <w:widowControl/>
        <w:spacing w:after="20"/>
      </w:pPr>
    </w:p>
    <w:p>
      <w:pPr>
        <w:pStyle w:val="Heading3"/>
        <w:widowControl/>
        <w:ind w:left="0" w:firstLine="0"/>
      </w:pPr>
      <w:r>
        <w:rPr>
          <w:rFonts w:ascii="Times New Roman" w:hAnsi="Times New Roman"/>
          <w:b/>
          <w:sz w:val="22"/>
          <w:u w:val="single"/>
        </w:rPr>
        <w:t>Exhibit F — Approved Form Set and Closing Controls</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tblHeader w:val="true"/>
          <w:cantSplit/>
        </w:trPr>
        <w:tc>
          <w:tcPr>
            <w:tcW w:type="dxa" w:w="2340"/>
            <w:vAlign w:val="center"/>
            <w:tcMar>
              <w:top w:w="55" w:type="dxa"/>
              <w:start w:w="70" w:type="dxa"/>
              <w:bottom w:w="55" w:type="dxa"/>
              <w:end w:w="70" w:type="dxa"/>
            </w:tcMar>
            <w:shd w:fill="E7E6E6"/>
          </w:tcPr>
          <w:p>
            <w:pPr>
              <w:spacing w:after="0"/>
            </w:pPr>
            <w:r>
              <w:rPr>
                <w:rFonts w:ascii="Times New Roman" w:hAnsi="Times New Roman"/>
                <w:b/>
                <w:sz w:val="18"/>
              </w:rPr>
              <w:t>Document / control</w:t>
            </w:r>
          </w:p>
        </w:tc>
        <w:tc>
          <w:tcPr>
            <w:tcW w:type="dxa" w:w="2340"/>
            <w:vAlign w:val="center"/>
            <w:tcMar>
              <w:top w:w="55" w:type="dxa"/>
              <w:start w:w="70" w:type="dxa"/>
              <w:bottom w:w="55" w:type="dxa"/>
              <w:end w:w="70" w:type="dxa"/>
            </w:tcMar>
            <w:shd w:fill="E7E6E6"/>
          </w:tcPr>
          <w:p>
            <w:pPr>
              <w:spacing w:after="0"/>
            </w:pPr>
            <w:r>
              <w:rPr>
                <w:rFonts w:ascii="Times New Roman" w:hAnsi="Times New Roman"/>
                <w:b/>
                <w:sz w:val="18"/>
              </w:rPr>
              <w:t>Version</w:t>
            </w:r>
          </w:p>
        </w:tc>
        <w:tc>
          <w:tcPr>
            <w:tcW w:type="dxa" w:w="2340"/>
            <w:vAlign w:val="center"/>
            <w:tcMar>
              <w:top w:w="55" w:type="dxa"/>
              <w:start w:w="70" w:type="dxa"/>
              <w:bottom w:w="55" w:type="dxa"/>
              <w:end w:w="70" w:type="dxa"/>
            </w:tcMar>
            <w:shd w:fill="E7E6E6"/>
          </w:tcPr>
          <w:p>
            <w:pPr>
              <w:spacing w:after="0"/>
            </w:pPr>
            <w:r>
              <w:rPr>
                <w:rFonts w:ascii="Times New Roman" w:hAnsi="Times New Roman"/>
                <w:b/>
                <w:sz w:val="18"/>
              </w:rPr>
              <w:t>Required signer / owner</w:t>
            </w:r>
          </w:p>
        </w:tc>
        <w:tc>
          <w:tcPr>
            <w:tcW w:type="dxa" w:w="2340"/>
            <w:vAlign w:val="center"/>
            <w:tcMar>
              <w:top w:w="55" w:type="dxa"/>
              <w:start w:w="70" w:type="dxa"/>
              <w:bottom w:w="55" w:type="dxa"/>
              <w:end w:w="70" w:type="dxa"/>
            </w:tcMar>
            <w:shd w:fill="E7E6E6"/>
          </w:tcPr>
          <w:p>
            <w:pPr>
              <w:spacing w:after="0"/>
            </w:pPr>
            <w:r>
              <w:rPr>
                <w:rFonts w:ascii="Times New Roman" w:hAnsi="Times New Roman"/>
                <w:b/>
                <w:sz w:val="18"/>
              </w:rPr>
              <w:t>Permitted changes</w:t>
            </w:r>
          </w:p>
        </w:tc>
      </w:tr>
      <w:tr>
        <w:trPr>
          <w:cantSplit/>
        </w:trPr>
        <w:tc>
          <w:tcPr>
            <w:tcW w:type="dxa" w:w="2340"/>
            <w:vAlign w:val="center"/>
            <w:tcMar>
              <w:top w:w="55" w:type="dxa"/>
              <w:start w:w="70" w:type="dxa"/>
              <w:bottom w:w="55" w:type="dxa"/>
              <w:end w:w="70" w:type="dxa"/>
            </w:tcMar>
          </w:tcPr>
          <w:p>
            <w:pPr>
              <w:spacing w:after="0"/>
            </w:pPr>
            <w:r>
              <w:rPr>
                <w:rFonts w:ascii="Times New Roman" w:hAnsi="Times New Roman"/>
                <w:sz w:val="18"/>
              </w:rPr>
              <w:t>Stock Purchase Agreement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2340"/>
            <w:vAlign w:val="center"/>
            <w:tcMar>
              <w:top w:w="55" w:type="dxa"/>
              <w:start w:w="70" w:type="dxa"/>
              <w:bottom w:w="55" w:type="dxa"/>
              <w:end w:w="70" w:type="dxa"/>
            </w:tcMar>
          </w:tcPr>
          <w:p>
            <w:pPr>
              <w:spacing w:after="0"/>
            </w:pPr>
            <w:r>
              <w:rPr>
                <w:rFonts w:ascii="Times New Roman" w:hAnsi="Times New Roman"/>
                <w:sz w:val="18"/>
              </w:rPr>
              <w:t>Company Consent / waivers</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2340"/>
            <w:vAlign w:val="center"/>
            <w:tcMar>
              <w:top w:w="55" w:type="dxa"/>
              <w:start w:w="70" w:type="dxa"/>
              <w:bottom w:w="55" w:type="dxa"/>
              <w:end w:w="70" w:type="dxa"/>
            </w:tcMar>
          </w:tcPr>
          <w:p>
            <w:pPr>
              <w:spacing w:after="0"/>
            </w:pPr>
            <w:r>
              <w:rPr>
                <w:rFonts w:ascii="Times New Roman" w:hAnsi="Times New Roman"/>
                <w:sz w:val="18"/>
              </w:rPr>
              <w:t>Joinder</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2340"/>
            <w:vAlign w:val="center"/>
            <w:tcMar>
              <w:top w:w="55" w:type="dxa"/>
              <w:start w:w="70" w:type="dxa"/>
              <w:bottom w:w="55" w:type="dxa"/>
              <w:end w:w="70" w:type="dxa"/>
            </w:tcMar>
          </w:tcPr>
          <w:p>
            <w:pPr>
              <w:spacing w:after="0"/>
            </w:pPr>
            <w:r>
              <w:rPr>
                <w:rFonts w:ascii="Times New Roman" w:hAnsi="Times New Roman"/>
                <w:sz w:val="18"/>
              </w:rPr>
              <w:t>Seller Certificate</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2340"/>
            <w:vAlign w:val="center"/>
            <w:tcMar>
              <w:top w:w="55" w:type="dxa"/>
              <w:start w:w="70" w:type="dxa"/>
              <w:bottom w:w="55" w:type="dxa"/>
              <w:end w:w="70" w:type="dxa"/>
            </w:tcMar>
          </w:tcPr>
          <w:p>
            <w:pPr>
              <w:spacing w:after="0"/>
            </w:pPr>
            <w:r>
              <w:rPr>
                <w:rFonts w:ascii="Times New Roman" w:hAnsi="Times New Roman"/>
                <w:sz w:val="18"/>
              </w:rPr>
              <w:t>Purchaser Letter</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2340"/>
            <w:vAlign w:val="center"/>
            <w:tcMar>
              <w:top w:w="55" w:type="dxa"/>
              <w:start w:w="70" w:type="dxa"/>
              <w:bottom w:w="55" w:type="dxa"/>
              <w:end w:w="70" w:type="dxa"/>
            </w:tcMar>
          </w:tcPr>
          <w:p>
            <w:pPr>
              <w:spacing w:after="0"/>
            </w:pPr>
            <w:r>
              <w:rPr>
                <w:rFonts w:ascii="Times New Roman" w:hAnsi="Times New Roman"/>
                <w:sz w:val="18"/>
              </w:rPr>
              <w:t>Escrow / funds flow</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2340"/>
            <w:vAlign w:val="center"/>
            <w:tcMar>
              <w:top w:w="55" w:type="dxa"/>
              <w:start w:w="70" w:type="dxa"/>
              <w:bottom w:w="55" w:type="dxa"/>
              <w:end w:w="70" w:type="dxa"/>
            </w:tcMar>
          </w:tcPr>
          <w:p>
            <w:pPr>
              <w:spacing w:after="0"/>
            </w:pPr>
            <w:r>
              <w:rPr>
                <w:rFonts w:ascii="Times New Roman" w:hAnsi="Times New Roman"/>
                <w:sz w:val="18"/>
              </w:rPr>
              <w:t>Closing checklist / ledger instruction</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r>
    </w:tbl>
    <w:p>
      <w:pPr>
        <w:widowControl/>
        <w:spacing w:after="20"/>
      </w:pPr>
    </w:p>
    <w:p>
      <w:pPr>
        <w:widowControl/>
      </w:pPr>
      <w:r>
        <w:br w:type="page"/>
      </w:r>
    </w:p>
    <w:p>
      <w:pPr>
        <w:pStyle w:val="Heading2"/>
        <w:widowControl/>
        <w:spacing w:before="1200"/>
        <w:ind w:left="0" w:firstLine="0"/>
      </w:pPr>
      <w:r>
        <w:rPr>
          <w:rFonts w:ascii="Times New Roman" w:hAnsi="Times New Roman"/>
          <w:b/>
          <w:sz w:val="22"/>
          <w:u w:val="single"/>
        </w:rPr>
        <w:t>Website Posting README — Not Part of the Agreement</w:t>
      </w:r>
    </w:p>
    <w:p>
      <w:pPr>
        <w:pStyle w:val="Heading3"/>
        <w:widowControl/>
        <w:ind w:left="0" w:firstLine="0"/>
      </w:pPr>
      <w:r>
        <w:rPr>
          <w:rFonts w:ascii="Times New Roman" w:hAnsi="Times New Roman"/>
          <w:b/>
          <w:sz w:val="22"/>
          <w:u w:val="single"/>
        </w:rPr>
        <w:t>What this form is for</w:t>
      </w:r>
    </w:p>
    <w:p>
      <w:pPr>
        <w:keepLines w:val="0"/>
        <w:widowControl/>
        <w:ind w:firstLine="720"/>
        <w:jc w:val="both"/>
      </w:pPr>
      <w:r>
        <w:t>This board record authorizes a limited private-company liquidity program while documenting purpose, alternatives, contractual rights, information controls, legal gates, conflicts and delegated authority. It is designed for a program or repeated framework, not as a substitute for an individual transaction approval where separate approval is required.</w:t>
      </w:r>
    </w:p>
    <w:p>
      <w:pPr>
        <w:pStyle w:val="Heading3"/>
        <w:widowControl/>
        <w:ind w:left="0" w:firstLine="0"/>
      </w:pPr>
      <w:r>
        <w:rPr>
          <w:rFonts w:ascii="Times New Roman" w:hAnsi="Times New Roman"/>
          <w:b/>
          <w:sz w:val="22"/>
          <w:u w:val="single"/>
        </w:rPr>
        <w:t>AI completion prompt</w:t>
      </w:r>
    </w:p>
    <w:p>
      <w:pPr>
        <w:pStyle w:val="PractitionerBanner"/>
        <w:widowControl/>
        <w:shd w:fill="F2F2F2"/>
      </w:pPr>
      <w:r>
        <w:t>Act as senior Delaware corporate and venture counsel preparing the board record from EF-095. Do not assume written consent is appropriate. First recommend meeting versus consent based on conflicts, deliberation, dissent, recusals and the governing documents. Build a board-authority matrix, transfer-rights matrix and interested-person disclosure table. Describe the genuine business purpose, alternatives considered, program limits, objective eligibility criteria, retention rules, pricing process, purchaser controls, information protocol, tender-offer and broker review, tax and employment considerations, costs, exceptions and reporting. Separate facts management provided from determinations the Board made and legal conclusions counsel supplied. Give interested directors no approval authority over their own sales; use a disinterested committee where appropriate. Limit officer delegation with clear reserved matters and suspension rights. Output draft resolutions or minutes, exhibits, a board-book index, missing-information list and fiduciary-process red flags. Preserve a record of questions, recusals and advice; do not manufacture deliberation.</w:t>
      </w:r>
    </w:p>
    <w:p>
      <w:pPr>
        <w:pStyle w:val="Heading3"/>
        <w:widowControl/>
        <w:ind w:left="0" w:firstLine="0"/>
      </w:pPr>
      <w:r>
        <w:rPr>
          <w:rFonts w:ascii="Times New Roman" w:hAnsi="Times New Roman"/>
          <w:b/>
          <w:sz w:val="22"/>
          <w:u w:val="single"/>
        </w:rPr>
        <w:t>Completion checklist</w:t>
      </w:r>
    </w:p>
    <w:p>
      <w:pPr>
        <w:pStyle w:val="ListBullet"/>
        <w:widowControl/>
        <w:spacing w:after="40"/>
        <w:ind w:left="346" w:hanging="202"/>
      </w:pPr>
      <w:r>
        <w:t>Select the lawful and evidentially appropriate board action method.</w:t>
      </w:r>
    </w:p>
    <w:p>
      <w:pPr>
        <w:pStyle w:val="ListBullet"/>
        <w:widowControl/>
        <w:spacing w:after="40"/>
        <w:ind w:left="346" w:hanging="202"/>
      </w:pPr>
      <w:r>
        <w:t>Verify quorum, signatures, vacancies, committee authority and investor vetoes.</w:t>
      </w:r>
    </w:p>
    <w:p>
      <w:pPr>
        <w:pStyle w:val="ListBullet"/>
        <w:widowControl/>
        <w:spacing w:after="40"/>
        <w:ind w:left="346" w:hanging="202"/>
      </w:pPr>
      <w:r>
        <w:t>State the Company-centered purpose and alternatives considered.</w:t>
      </w:r>
    </w:p>
    <w:p>
      <w:pPr>
        <w:pStyle w:val="ListBullet"/>
        <w:widowControl/>
        <w:spacing w:after="40"/>
        <w:ind w:left="346" w:hanging="202"/>
      </w:pPr>
      <w:r>
        <w:t>Use objective seller and purchaser criteria with documented exception authority.</w:t>
      </w:r>
    </w:p>
    <w:p>
      <w:pPr>
        <w:pStyle w:val="ListBullet"/>
        <w:widowControl/>
        <w:spacing w:after="40"/>
        <w:ind w:left="346" w:hanging="202"/>
      </w:pPr>
      <w:r>
        <w:t>Analyze tender, broker, securities, tax, employment, sanctions and information issues.</w:t>
      </w:r>
    </w:p>
    <w:p>
      <w:pPr>
        <w:pStyle w:val="ListBullet"/>
        <w:widowControl/>
        <w:spacing w:after="40"/>
        <w:ind w:left="346" w:hanging="202"/>
      </w:pPr>
      <w:r>
        <w:t>Record each conflict, recusal and disinterested approval path.</w:t>
      </w:r>
    </w:p>
    <w:p>
      <w:pPr>
        <w:pStyle w:val="ListBullet"/>
        <w:widowControl/>
        <w:spacing w:after="40"/>
        <w:ind w:left="346" w:hanging="202"/>
      </w:pPr>
      <w:r>
        <w:t>Limit delegated authority and reserve material program changes.</w:t>
      </w:r>
    </w:p>
    <w:p>
      <w:pPr>
        <w:pStyle w:val="ListBullet"/>
        <w:widowControl/>
        <w:spacing w:after="40"/>
        <w:ind w:left="346" w:hanging="202"/>
      </w:pPr>
      <w:r>
        <w:t>Require closing, ledger and periodic reporting controls.</w:t>
      </w:r>
    </w:p>
    <w:p>
      <w:pPr>
        <w:pStyle w:val="Heading3"/>
        <w:widowControl/>
        <w:ind w:left="0" w:firstLine="0"/>
      </w:pPr>
      <w:r>
        <w:rPr>
          <w:rFonts w:ascii="Times New Roman" w:hAnsi="Times New Roman"/>
          <w:b/>
          <w:sz w:val="22"/>
          <w:u w:val="single"/>
        </w:rPr>
        <w:t>Three-pass quality review</w:t>
      </w:r>
    </w:p>
    <w:p>
      <w:pPr>
        <w:widowControl/>
        <w:ind w:firstLine="720"/>
        <w:jc w:val="both"/>
      </w:pPr>
      <w:r>
        <w:rPr>
          <w:b/>
        </w:rPr>
        <w:t>Pass 1 — Authority and facts.</w:t>
      </w:r>
      <w:r>
        <w:t xml:space="preserve"> Verify governing documents, Board composition, materials, program terms and contractual rights. </w:t>
      </w:r>
      <w:r>
        <w:rPr>
          <w:b/>
        </w:rPr>
        <w:t>Pass 2 — Fiduciary process.</w:t>
      </w:r>
      <w:r>
        <w:t xml:space="preserve"> Verify purpose, alternatives, conflicts, recusals, advice, deliberation and disinterested approval. </w:t>
      </w:r>
      <w:r>
        <w:rPr>
          <w:b/>
        </w:rPr>
        <w:t>Pass 3 — Implementation.</w:t>
      </w:r>
      <w:r>
        <w:t xml:space="preserve"> Verify officer limits, form set, closing controls, reporting, suspension, termination and minute-book retention.</w:t>
      </w:r>
    </w:p>
    <w:p>
      <w:pPr>
        <w:pStyle w:val="Heading3"/>
        <w:widowControl/>
        <w:ind w:left="0" w:firstLine="0"/>
      </w:pPr>
      <w:r>
        <w:rPr>
          <w:rFonts w:ascii="Times New Roman" w:hAnsi="Times New Roman"/>
          <w:b/>
          <w:sz w:val="22"/>
          <w:u w:val="single"/>
        </w:rPr>
        <w:t>Attorney-review warning</w:t>
      </w:r>
    </w:p>
    <w:p>
      <w:pPr>
        <w:widowControl/>
        <w:ind w:firstLine="720"/>
        <w:jc w:val="both"/>
      </w:pPr>
      <w:r>
        <w:t>Founder liquidity can create serious fiduciary and conflict risk, particularly when directors or controllers sell. Qualified corporate, securities and tax counsel must tailor the process and record to current law and the actual facts.</w:t>
      </w:r>
    </w:p>
    <w:sectPr w:rsidR="00FC693F" w:rsidRPr="0006063C" w:rsidSect="00034616">
      <w:headerReference w:type="default" r:id="rId17"/>
      <w:headerReference w:type="first" r:id="rId18"/>
      <w:footerReference w:type="default" r:id="rId19"/>
      <w:footerReference w:type="first" r:id="rId20"/>
      <w:pgSz w:w="12240" w:h="15840"/>
      <w:pgMar w:top="1440" w:right="1440" w:bottom="1440" w:left="1440" w:header="518" w:footer="51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b/>
        <w:sz w:val="20"/>
      </w:rPr>
      <w:t>PRACTITIONER MASTER</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0" w:line="240"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40"/>
      <w:ind w:left="0" w:right="0" w:firstLine="0"/>
      <w:jc w:val="center"/>
      <w:outlineLvl w:val="0"/>
    </w:pPr>
    <w:rPr>
      <w:rFonts w:asciiTheme="majorHAnsi" w:eastAsiaTheme="majorEastAsia" w:hAnsiTheme="majorHAnsi" w:cstheme="majorBidi" w:ascii="Times New Roman" w:hAnsi="Times New Roman" w:eastAsia="Times New Roman"/>
      <w:b/>
      <w:bCs/>
      <w:cap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120"/>
      <w:ind w:left="0" w:right="0" w:firstLine="0"/>
      <w:jc w:val="left"/>
      <w:outlineLvl w:val="1"/>
    </w:pPr>
    <w:rPr>
      <w:rFonts w:asciiTheme="majorHAnsi" w:eastAsiaTheme="majorEastAsia" w:hAnsiTheme="majorHAnsi" w:cstheme="majorBidi" w:ascii="Times New Roman" w:hAnsi="Times New Roman" w:eastAsia="Times New Roman"/>
      <w:b/>
      <w:bCs/>
      <w:color w:val="000000"/>
      <w:sz w:val="22"/>
      <w:szCs w:val="26"/>
      <w:u w:val="single"/>
    </w:rPr>
  </w:style>
  <w:style w:type="paragraph" w:styleId="Heading3">
    <w:name w:val="heading 3"/>
    <w:basedOn w:val="Normal"/>
    <w:next w:val="Normal"/>
    <w:link w:val="Heading3Char"/>
    <w:uiPriority w:val="9"/>
    <w:unhideWhenUsed/>
    <w:qFormat/>
    <w:rsid w:val="00FC693F"/>
    <w:pPr>
      <w:keepNext/>
      <w:keepLines/>
      <w:spacing w:before="180" w:after="60"/>
      <w:ind w:left="0" w:right="0" w:firstLine="0"/>
      <w:jc w:val="left"/>
      <w:outlineLvl w:val="2"/>
    </w:pPr>
    <w:rPr>
      <w:rFonts w:asciiTheme="majorHAnsi" w:eastAsiaTheme="majorEastAsia" w:hAnsiTheme="majorHAnsi" w:cstheme="majorBidi" w:ascii="Times New Roman" w:hAnsi="Times New Roman" w:eastAsia="Times New Roman"/>
      <w:b/>
      <w:bCs/>
      <w:color w:val="000000"/>
      <w:sz w:val="22"/>
      <w:u w:val="singl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ind w:left="0" w:right="0" w:firstLine="0"/>
      <w:contextualSpacing/>
      <w:jc w:val="center"/>
    </w:pPr>
    <w:rPr>
      <w:rFonts w:asciiTheme="majorHAnsi" w:eastAsiaTheme="majorEastAsia" w:hAnsiTheme="majorHAnsi" w:cstheme="majorBidi" w:ascii="Times New Roman" w:hAnsi="Times New Roman" w:eastAsia="Times New Roman"/>
      <w:b/>
      <w:caps w:val="0"/>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actitionerBanner">
    <w:name w:val="Practitioner Banner"/>
    <w:pPr>
      <w:keepLines/>
      <w:spacing w:before="60" w:after="180"/>
      <w:jc w:val="center"/>
    </w:pPr>
    <w:rPr>
      <w:rFonts w:ascii="Times New Roman" w:hAnsi="Times New Roman"/>
      <w:b/>
      <w:color w:val="00000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header" Target="header4.xml"/><Relationship Id="rId15" Type="http://schemas.openxmlformats.org/officeDocument/2006/relationships/footer" Target="footer3.xml"/><Relationship Id="rId16" Type="http://schemas.openxmlformats.org/officeDocument/2006/relationships/footer" Target="footer4.xml"/><Relationship Id="rId17" Type="http://schemas.openxmlformats.org/officeDocument/2006/relationships/header" Target="header5.xml"/><Relationship Id="rId18" Type="http://schemas.openxmlformats.org/officeDocument/2006/relationships/header" Target="header6.xml"/><Relationship Id="rId19" Type="http://schemas.openxmlformats.org/officeDocument/2006/relationships/footer" Target="footer5.xml"/><Relationship Id="rId20"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Founder Liquidity Program Board Consent and Conflicts Record — Private Company Secondary Transactions</dc:title>
  <dc:subject>Founder secondary-liquidity practitioner master</dc:subject>
  <dc:creator>Montague Law</dc:creator>
  <cp:keywords>founder liquidity, private company secondary, practitioner master</cp:keywords>
  <dc:description>Original clean-room drafting; matter completion and lawyer review required.</dc:description>
  <cp:lastModifiedBy>Montague Law</cp:lastModifiedBy>
  <cp:revision>1</cp:revision>
  <dcterms:created xsi:type="dcterms:W3CDTF">2013-12-23T23:15:00Z</dcterms:created>
  <dcterms:modified xsi:type="dcterms:W3CDTF">2013-12-23T23:15:00Z</dcterms:modified>
  <cp:category/>
</cp:coreProperties>
</file>