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libri" w:hAnsi="Calibri" w:eastAsia="Calibri"/>
          <w:b/>
          <w:i w:val="0"/>
          <w:color w:val="2E74B5"/>
          <w:sz w:val="18"/>
        </w:rPr>
        <w:t>PRACTITIONER MASTER</w:t>
      </w:r>
    </w:p>
    <w:p>
      <w:pPr>
        <w:spacing w:after="80"/>
      </w:pPr>
      <w:r>
        <w:rPr>
          <w:rFonts w:ascii="Calibri" w:hAnsi="Calibri" w:eastAsia="Calibri"/>
          <w:b/>
          <w:i w:val="0"/>
          <w:color w:val="111111"/>
          <w:sz w:val="46"/>
        </w:rPr>
        <w:t>Debt Subordination, Standstill, and Turnover Agreement</w:t>
      </w:r>
    </w:p>
    <w:p>
      <w:pPr>
        <w:spacing w:after="280"/>
      </w:pPr>
      <w:r>
        <w:rPr>
          <w:rFonts w:ascii="Calibri" w:hAnsi="Calibri" w:eastAsia="Calibri"/>
          <w:b w:val="0"/>
          <w:i w:val="0"/>
          <w:color w:val="5B6573"/>
          <w:sz w:val="22"/>
        </w:rPr>
        <w:t>A senior-lender, borrower, and insider or junior-creditor agreement subordinating payment and lien rights, controlling permitted payments, enforcement standstill, turnover, bankruptcy conduct, amendments, and release without pretending to replace a full split-collateral intercreditor agreement.</w:t>
      </w:r>
    </w:p>
    <w:p>
      <w:pPr>
        <w:spacing w:after="40"/>
      </w:pPr>
      <w:r>
        <w:rPr>
          <w:rFonts w:ascii="Calibri" w:hAnsi="Calibri" w:eastAsia="Calibri"/>
          <w:b/>
          <w:i w:val="0"/>
          <w:color w:val="111111"/>
          <w:sz w:val="20"/>
        </w:rPr>
        <w:t xml:space="preserve">Form: </w:t>
      </w:r>
      <w:r>
        <w:rPr>
          <w:rFonts w:ascii="Calibri" w:hAnsi="Calibri" w:eastAsia="Calibri"/>
          <w:b w:val="0"/>
          <w:i w:val="0"/>
          <w:color w:val="111111"/>
          <w:sz w:val="20"/>
        </w:rPr>
        <w:t>EF-078</w:t>
      </w:r>
    </w:p>
    <w:p>
      <w:pPr>
        <w:spacing w:after="40"/>
      </w:pPr>
      <w:r>
        <w:rPr>
          <w:rFonts w:ascii="Calibri" w:hAnsi="Calibri" w:eastAsia="Calibri"/>
          <w:b/>
          <w:i w:val="0"/>
          <w:color w:val="111111"/>
          <w:sz w:val="20"/>
        </w:rPr>
        <w:t xml:space="preserve">Version: </w:t>
      </w:r>
      <w:r>
        <w:rPr>
          <w:rFonts w:ascii="Calibri" w:hAnsi="Calibri" w:eastAsia="Calibri"/>
          <w:b w:val="0"/>
          <w:i w:val="0"/>
          <w:color w:val="111111"/>
          <w:sz w:val="20"/>
        </w:rPr>
        <w:t>3.1.0</w:t>
      </w:r>
    </w:p>
    <w:p>
      <w:pPr>
        <w:spacing w:after="40"/>
      </w:pPr>
      <w:r>
        <w:rPr>
          <w:rFonts w:ascii="Calibri" w:hAnsi="Calibri" w:eastAsia="Calibri"/>
          <w:b/>
          <w:i w:val="0"/>
          <w:color w:val="111111"/>
          <w:sz w:val="20"/>
        </w:rPr>
        <w:t xml:space="preserve">Prepared: </w:t>
      </w:r>
      <w:r>
        <w:rPr>
          <w:rFonts w:ascii="Calibri" w:hAnsi="Calibri" w:eastAsia="Calibri"/>
          <w:b w:val="0"/>
          <w:i w:val="0"/>
          <w:color w:val="111111"/>
          <w:sz w:val="20"/>
        </w:rPr>
        <w:t>2026-09-01</w:t>
      </w:r>
    </w:p>
    <w:p>
      <w:pPr>
        <w:spacing w:after="40"/>
      </w:pPr>
      <w:r>
        <w:rPr>
          <w:rFonts w:ascii="Calibri" w:hAnsi="Calibri" w:eastAsia="Calibri"/>
          <w:b/>
          <w:i w:val="0"/>
          <w:color w:val="111111"/>
          <w:sz w:val="20"/>
        </w:rPr>
        <w:t xml:space="preserve">Governing law: </w:t>
      </w:r>
      <w:r>
        <w:rPr>
          <w:rFonts w:ascii="Calibri" w:hAnsi="Calibri" w:eastAsia="Calibri"/>
          <w:b w:val="0"/>
          <w:i w:val="0"/>
          <w:color w:val="111111"/>
          <w:sz w:val="20"/>
        </w:rPr>
        <w:t>[STATE]</w:t>
      </w:r>
    </w:p>
    <w:p>
      <w:pPr>
        <w:spacing w:after="240"/>
        <w:pBdr>
          <w:bottom w:val="single" w:sz="18" w:space="6" w:color="17365D"/>
        </w:pBdr>
      </w:pPr>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19"/>
              </w:rPr>
              <w:t xml:space="preserve">DELETE BEFORE EXECUTION.  </w:t>
            </w:r>
            <w:r>
              <w:rPr>
                <w:rFonts w:ascii="Calibri" w:hAnsi="Calibri" w:eastAsia="Calibri"/>
                <w:b w:val="0"/>
                <w:i w:val="0"/>
                <w:color w:val="111111"/>
                <w:sz w:val="19"/>
              </w:rPr>
              <w:t>This practitioner master contains bracketed elections. Verify facts, law, authority, economics, schedules, and related documents; delete alternatives; and obtain responsible-lawyer approval. Drafting analysis is intentionally maintained in the companion Markdown, not in this instrument.</w:t>
            </w:r>
          </w:p>
        </w:tc>
      </w:tr>
    </w:tbl>
    <w:p/>
    <w:p>
      <w:pPr>
        <w:pStyle w:val="AgreementText"/>
      </w:pPr>
      <w:r>
        <w:t>This Debt Subordination, Standstill, and Turnover Agreement (this “Agreement”) is entered into as of [DATE] by [SENIOR LENDER LEGAL NAME] (“Senior Lender”), [JUNIOR CREDITOR LEGAL NAME] (“Junior Creditor”), and [BORROWER LEGAL NAME] (“Borrower”).</w:t>
      </w:r>
    </w:p>
    <w:p>
      <w:pPr>
        <w:pStyle w:val="Heading1"/>
      </w:pPr>
      <w:r>
        <w:t>Background</w:t>
      </w:r>
    </w:p>
    <w:p>
      <w:pPr>
        <w:pStyle w:val="AgreementText"/>
      </w:pPr>
      <w:r>
        <w:t>A. Borrower owes Senior Debt to Senior Lender and Junior Debt to Junior Creditor.</w:t>
      </w:r>
    </w:p>
    <w:p>
      <w:pPr>
        <w:pStyle w:val="AgreementText"/>
      </w:pPr>
      <w:r>
        <w:t>B. The parties wish to establish their agreed payment, lien, enforcement, turnover, and notice priorities without expanding either debt beyond the completed schedules.</w:t>
      </w:r>
    </w:p>
    <w:p>
      <w:pPr>
        <w:pStyle w:val="AgreementText"/>
      </w:pPr>
      <w:r>
        <w:rPr>
          <w:b/>
        </w:rPr>
        <w:t>Therefore, for good and valuable consideration, the parties agree as follows:</w:t>
      </w:r>
    </w:p>
    <w:p>
      <w:pPr>
        <w:pStyle w:val="Heading1"/>
      </w:pPr>
      <w:r>
        <w:t>Terms</w:t>
      </w:r>
    </w:p>
    <w:p>
      <w:pPr>
        <w:pStyle w:val="Heading2"/>
      </w:pPr>
      <w:r>
        <w:t>1. Purpose and Priority</w:t>
      </w:r>
    </w:p>
    <w:p>
      <w:pPr>
        <w:pStyle w:val="AgreementText"/>
      </w:pPr>
      <w:r>
        <w:t>Junior Creditor agrees that Senior Debt has the payment and lien priority stated in this Agreement over Junior Debt. Priority applies only to defined obligations and collateral and does not create rights in property where Senior Lender lacks a valid interest. Borrower acknowledges the arrangement. The agreement controls conflicts with Junior Debt documents; a separate intercreditor agreement controls if expressly identified.</w:t>
      </w:r>
    </w:p>
    <w:p>
      <w:pPr>
        <w:pStyle w:val="Heading2"/>
      </w:pPr>
      <w:r>
        <w:t>2. Senior Debt</w:t>
      </w:r>
    </w:p>
    <w:p>
      <w:pPr>
        <w:pStyle w:val="AgreementText"/>
      </w:pPr>
      <w:r>
        <w:t>“Senior Debt” means the existing and future principal, interest, fees, protective advances, indemnities, enforcement costs, post-petition amounts, renewals, and refinancings expressly identified in Schedule 1, subject to its caps and amendment limits. Senior Debt excludes unrelated affiliate obligations and material increases beyond stated consent thresholds. A refinancing lender succeeds to Senior Lender’s rights only by satisfying the joinder requirements in Schedule 1.</w:t>
      </w:r>
    </w:p>
    <w:p>
      <w:pPr>
        <w:pStyle w:val="Heading2"/>
      </w:pPr>
      <w:r>
        <w:t>3. Junior Debt</w:t>
      </w:r>
    </w:p>
    <w:p>
      <w:pPr>
        <w:pStyle w:val="AgreementText"/>
      </w:pPr>
      <w:r>
        <w:t>“Junior Debt” means the subordinated note, accrued interest, fees, claims, renewals, replacements, and related rights identified in Schedule 1. Junior Creditor shall not split, assign, purchase, or recharacterize Junior Debt to evade this Agreement. Equity interests and ordinary trade obligations are excluded unless Schedule 1 expressly includes them. Amendments require the consent stated in Section 12.</w:t>
      </w:r>
    </w:p>
    <w:p>
      <w:pPr>
        <w:pStyle w:val="Heading2"/>
      </w:pPr>
      <w:r>
        <w:t>4. Payment Subordination</w:t>
      </w:r>
    </w:p>
    <w:p>
      <w:pPr>
        <w:pStyle w:val="AgreementText"/>
      </w:pPr>
      <w:r>
        <w:t>Until Senior Discharge, Junior Debt is subordinated in right of payment as stated. Borrower shall not pay and Junior Creditor shall not receive payments except Permitted Payments. Any prohibited payment is held in trust or as bailee to the extent legally effective and promptly turned over. Senior Lender credits turnover amounts against Senior Debt and avoids double recovery.</w:t>
      </w:r>
    </w:p>
    <w:p>
      <w:pPr>
        <w:pStyle w:val="Heading2"/>
      </w:pPr>
      <w:r>
        <w:t>5. Permitted Payments</w:t>
      </w:r>
    </w:p>
    <w:p>
      <w:pPr>
        <w:pStyle w:val="AgreementText"/>
      </w:pPr>
      <w:r>
        <w:t>Borrower may make, and Junior Creditor may receive, only the payments listed in Schedule 2, subject to the stated dollar caps, no-default conditions, liquidity tests, and notice or certification requirements. A payment permitted when made is not retroactively prohibited solely because of a later default, except in the case of fraud or avoidance. Missed payments accrue only as permitted by the Junior Debt documents and law.</w:t>
      </w:r>
    </w:p>
    <w:p>
      <w:pPr>
        <w:pStyle w:val="Heading2"/>
      </w:pPr>
      <w:r>
        <w:t>6. Blockage Notices</w:t>
      </w:r>
    </w:p>
    <w:p>
      <w:pPr>
        <w:pStyle w:val="AgreementText"/>
      </w:pPr>
      <w:r>
        <w:t>[BLOCKAGE MODULE—DELETE IF NOT SELECTED.] Senior Lender may deliver a notice identifying the default and blockage start. Blockage lasts no longer than [NUMBER] days, may occur no more than [NUMBER] times in any [PERIOD], and ends upon cure, written waiver, expiry, Senior Discharge, or [OTHER EVENT]. A later notice may not create a permanent blockage contrary to the reset rule in Schedule 3. [PAYMENT DEFAULTS BLOCK AUTOMATICALLY / REQUIRE NOTICE].</w:t>
      </w:r>
    </w:p>
    <w:p>
      <w:pPr>
        <w:pStyle w:val="Heading2"/>
      </w:pPr>
      <w:r>
        <w:t>7. Lien Subordination</w:t>
      </w:r>
    </w:p>
    <w:p>
      <w:pPr>
        <w:pStyle w:val="AgreementText"/>
      </w:pPr>
      <w:r>
        <w:t>Any Junior Lien is junior to Senior Liens in identified Collateral regardless of attachment or filing order to the extent enforceable. Junior Creditor shall execute amendments and releases needed to evidence priority but need not release its underlying claim. Senior Lender shall not expand priority to assets outside the Senior Collateral without agreed consent.</w:t>
      </w:r>
    </w:p>
    <w:p>
      <w:pPr>
        <w:pStyle w:val="Heading2"/>
      </w:pPr>
      <w:r>
        <w:t>8. Standstill</w:t>
      </w:r>
    </w:p>
    <w:p>
      <w:pPr>
        <w:pStyle w:val="AgreementText"/>
      </w:pPr>
      <w:r>
        <w:t>During the Standstill Period, Junior Creditor shall not accelerate, sue, foreclose, repossess, set off, exercise control, commence insolvency proceedings, or direct collateral remedies, subject to claim-preservation filings, statutory deadlines, and defensive actions. Standstill ends after the negotiated period or specified senior inaction; payment subordination may continue afterward.</w:t>
      </w:r>
    </w:p>
    <w:p>
      <w:pPr>
        <w:pStyle w:val="Heading2"/>
      </w:pPr>
      <w:r>
        <w:t>9. Senior Enforcement and Disposition</w:t>
      </w:r>
    </w:p>
    <w:p>
      <w:pPr>
        <w:pStyle w:val="AgreementText"/>
      </w:pPr>
      <w:r>
        <w:t>Senior Lender controls remedies against shared collateral while the standstill applies and may release or dispose of collateral in a commercially reasonable, lawful process. Junior liens attach to proceeds in agreed priority unless released under a sale free and clear or other authorized disposition. Senior Lender provides notices required by law and the negotiated information rights.</w:t>
      </w:r>
    </w:p>
    <w:p>
      <w:pPr>
        <w:pStyle w:val="Heading2"/>
      </w:pPr>
      <w:r>
        <w:t>10. Turnover</w:t>
      </w:r>
    </w:p>
    <w:p>
      <w:pPr>
        <w:pStyle w:val="AgreementText"/>
      </w:pPr>
      <w:r>
        <w:t>Junior Creditor shall segregate and promptly deliver prohibited payments, collateral proceeds, and enforcement recoveries received before Senior Discharge, together with relevant tracing information. Turnover excludes amounts expressly permitted and property Senior Lender has released. Senior Lender applies and accounts for amounts under the senior documents and applicable law.</w:t>
      </w:r>
    </w:p>
    <w:p>
      <w:pPr>
        <w:pStyle w:val="Heading2"/>
      </w:pPr>
      <w:r>
        <w:t>11. Amendments to Senior Documents</w:t>
      </w:r>
    </w:p>
    <w:p>
      <w:pPr>
        <w:pStyle w:val="AgreementText"/>
      </w:pPr>
      <w:r>
        <w:t>Senior Lender may amend Senior Debt within the agreed envelope without Junior Creditor consent. Increases above the cap, new borrowers, materially higher rates, extended final maturity beyond [DATE/PERIOD], new collateral classes, or fundamentally different obligations require consent or do not receive priority beyond the envelope. Ordinary waivers and extensions remain permitted.</w:t>
      </w:r>
    </w:p>
    <w:p>
      <w:pPr>
        <w:pStyle w:val="Heading2"/>
      </w:pPr>
      <w:r>
        <w:t>12. Amendments to Junior Documents</w:t>
      </w:r>
    </w:p>
    <w:p>
      <w:pPr>
        <w:pStyle w:val="AgreementText"/>
      </w:pPr>
      <w:r>
        <w:t>Borrower and Junior Creditor shall not increase principal, accelerate maturity, raise rates, add fees, obtain collateral, tighten defaults, require prepayment, or otherwise improve Junior Debt without Senior Lender consent, except listed administrative changes. Permitted amendments must remain subject to this Agreement and cannot evade payment or lien subordination.</w:t>
      </w:r>
    </w:p>
    <w:p>
      <w:pPr>
        <w:pStyle w:val="Heading2"/>
      </w:pPr>
      <w:r>
        <w:t>13. Information and Notices</w:t>
      </w:r>
    </w:p>
    <w:p>
      <w:pPr>
        <w:pStyle w:val="AgreementText"/>
      </w:pPr>
      <w:r>
        <w:t>Each creditor receives default, payment, amendment, enforcement, and payoff notices specified in the schedule. Senior Lender need not share privileged, customer-restricted, or competitively sensitive information but should provide enough to operate blockage and standstill rights. Junior Creditor shall notify Senior Lender of any demand, payment, transfer, or enforcement step involving Junior Debt.</w:t>
      </w:r>
    </w:p>
    <w:p>
      <w:pPr>
        <w:pStyle w:val="Heading2"/>
      </w:pPr>
      <w:r>
        <w:t>14. Bankruptcy</w:t>
      </w:r>
    </w:p>
    <w:p>
      <w:pPr>
        <w:pStyle w:val="AgreementText"/>
      </w:pPr>
      <w:r>
        <w:t>In any insolvency or bankruptcy proceeding, this Agreement governs claim filing, post-petition interest, adequate protection, debtor-in-possession financing, use of cash collateral, plan treatment, voting, distributions, sale proceeds, and turnover only to the extent enforceable and stated here: [COMPLETED ELECTIONS]. Junior Creditor shall take steps reasonably requested to implement the agreed priority but need not assign its claim or vote contrary to this Agreement. Any agency or power of attorney is limited to the stated trigger, purpose, and duration and ends upon Senior Discharge.</w:t>
      </w:r>
    </w:p>
    <w:p>
      <w:pPr>
        <w:pStyle w:val="Heading2"/>
      </w:pPr>
      <w:r>
        <w:t>15. No Challenge and Claim Preservation</w:t>
      </w:r>
    </w:p>
    <w:p>
      <w:pPr>
        <w:pStyle w:val="AgreementText"/>
      </w:pPr>
      <w:r>
        <w:t>Junior Creditor shall not challenge Senior Debt or Senior Liens except for fraud, bad faith, actual payment, written release, or specifically reserved defects. Senior Lender does not challenge valid Junior Debt solely because it is subordinated. Each party may file proofs, tolling agreements, and defensive pleadings needed to preserve claims without violating the standstill.</w:t>
      </w:r>
    </w:p>
    <w:p>
      <w:pPr>
        <w:pStyle w:val="Heading2"/>
      </w:pPr>
      <w:r>
        <w:t>16. Assignments and Joinders</w:t>
      </w:r>
    </w:p>
    <w:p>
      <w:pPr>
        <w:pStyle w:val="AgreementText"/>
      </w:pPr>
      <w:r>
        <w:t>Junior Creditor may assign only to a transferee that executes a joinder before transfer and receives the Junior Debt subject to this Agreement. Senior Debt may transfer with the facility within the amendment envelope; a refinancing lender joins or meets stated succession conditions. Borrower records ownership and withholds payments absent verified instructions.</w:t>
      </w:r>
    </w:p>
    <w:p>
      <w:pPr>
        <w:pStyle w:val="Heading2"/>
      </w:pPr>
      <w:r>
        <w:t>17. Senior Discharge and Release</w:t>
      </w:r>
    </w:p>
    <w:p>
      <w:pPr>
        <w:pStyle w:val="AgreementText"/>
      </w:pPr>
      <w:r>
        <w:t>“Senior Discharge” means indefeasible payment in full of Senior Debt, termination of commitments, and the treatment of contingent obligations and avoidance reserves stated in Schedule 1. Upon Senior Discharge, payment blockage, standstill, turnover, and lien subordination terminate except for accrued accounting and reinstatement duties. Within [NUMBER] business days, Senior Lender shall deliver a release certificate and the UCC, possession, or control releases reasonably required by the completed schedules.</w:t>
      </w:r>
    </w:p>
    <w:p>
      <w:pPr>
        <w:pStyle w:val="Heading2"/>
      </w:pPr>
      <w:r>
        <w:t>18. General Terms</w:t>
      </w:r>
    </w:p>
    <w:p>
      <w:pPr>
        <w:pStyle w:val="AgreementText"/>
      </w:pPr>
      <w:r>
        <w:t>Notices must be delivered by [METHODS] to the completed addresses and are effective on [OBJECTIVE RECEIPT RULE]. Each creditor may assign this Agreement only with the debt it holds and only if the assignee assumes this Agreement; Borrower may not assign it. No party is a fiduciary of another solely by reason of this Agreement. An amendment affecting priority, payment blockage, standstill, turnover, debt caps, or release requires the written consent of each affected creditor; Borrower may not amend creditor rights unilaterally. This Agreement is governed by [STATE], and exclusive proceedings must be brought in [FORUM], subject to mandatory bankruptcy and commercial law. A waiver must be written and applies only to the stated instance. Invalid terms are narrowed only to the minimum enforceable scope without changing the agreed priority. Electronic signatures and counterparts are effective. This Agreement and its schedules are the entire intercreditor agreement; if a loan document conflicts on priority, blockage, standstill, turnover, or release, this Agreement controls among the parties. Each party shall execute further documents reasonably necessary to implement the agreed priority. Reinstatement, turnover, accounting, dispute, and other terms intended by their nature to continue survive until final Senior Discharge.</w:t>
      </w:r>
    </w:p>
    <w:p>
      <w:pPr>
        <w:pStyle w:val="Heading1"/>
      </w:pPr>
      <w:r>
        <w:t>Signatures</w:t>
      </w:r>
    </w:p>
    <w:tbl>
      <w:tblPr>
        <w:tblW w:type="dxa" w:w="9360"/>
        <w:jc w:val="left"/>
        <w:tblLayout w:type="fixed"/>
        <w:tblLook w:firstColumn="1" w:firstRow="1" w:lastColumn="0" w:lastRow="0" w:noHBand="0" w:noVBand="1" w:val="04A0"/>
        <w:tblInd w:w="120" w:type="dxa"/>
      </w:tblPr>
      <w:tblGrid>
        <w:gridCol w:w="3120"/>
        <w:gridCol w:w="3120"/>
        <w:gridCol w:w="3120"/>
      </w:tblGrid>
      <w:tr>
        <w:trPr>
          <w:cantSplit/>
          <w:trHeight w:hRule="atLeast"/>
        </w:trPr>
        <w:tc>
          <w:tcPr>
            <w:tcW w:type="dxa" w:w="3120"/>
            <w:vAlign w:val="top"/>
            <w:tcMar>
              <w:top w:w="80" w:type="dxa"/>
              <w:bottom w:w="80" w:type="dxa"/>
              <w:start w:w="120" w:type="dxa"/>
              <w:end w:w="120" w:type="dxa"/>
            </w:tcMar>
          </w:tcPr>
          <w:p>
            <w:r>
              <w:rPr>
                <w:rFonts w:ascii="Calibri" w:hAnsi="Calibri" w:eastAsia="Calibri"/>
                <w:b/>
                <w:i w:val="0"/>
                <w:color w:val="17365D"/>
                <w:sz w:val="18"/>
              </w:rPr>
              <w:t>SENIOR LENDER</w:t>
              <w:br/>
            </w:r>
            <w:r>
              <w:rPr>
                <w:rFonts w:ascii="Calibri" w:hAnsi="Calibri" w:eastAsia="Calibri"/>
                <w:b w:val="0"/>
                <w:i w:val="0"/>
                <w:color w:val="111111"/>
                <w:sz w:val="18"/>
              </w:rPr>
              <w:t>[SENIOR LENDER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JUNIOR CREDITOR</w:t>
              <w:br/>
            </w:r>
            <w:r>
              <w:rPr>
                <w:rFonts w:ascii="Calibri" w:hAnsi="Calibri" w:eastAsia="Calibri"/>
                <w:b w:val="0"/>
                <w:i w:val="0"/>
                <w:color w:val="111111"/>
                <w:sz w:val="18"/>
              </w:rPr>
              <w:t>[JUNIOR CREDITOR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BORROWER</w:t>
              <w:br/>
            </w:r>
            <w:r>
              <w:rPr>
                <w:rFonts w:ascii="Calibri" w:hAnsi="Calibri" w:eastAsia="Calibri"/>
                <w:b w:val="0"/>
                <w:i w:val="0"/>
                <w:color w:val="111111"/>
                <w:sz w:val="18"/>
              </w:rPr>
              <w:t>[BORROWER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r>
    </w:tbl>
    <w:p/>
    <w:p>
      <w:pPr>
        <w:pStyle w:val="Heading1"/>
        <w:pageBreakBefore/>
      </w:pPr>
      <w:r>
        <w:t>Schedule 1 — Debt and Priority Terms</w:t>
      </w:r>
    </w:p>
    <w:p>
      <w:r>
        <w:rPr>
          <w:rFonts w:ascii="Calibri" w:hAnsi="Calibri" w:eastAsia="Calibri"/>
          <w:b w:val="0"/>
          <w:i/>
          <w:color w:val="5B6573"/>
          <w:sz w:val="19"/>
        </w:rPr>
        <w:t>Complete, reconcile to the operative terms, and delete instructions before execution. Reconcile to executed debt documents.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Term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Senior position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Junior position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Principal/cap</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[DOCS]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Maturity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[DOCS]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Collateral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[ASSETS]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[ASSETS/NONE]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[SEARCH]</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Amendment envelope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[LIMIT]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[CONSENT]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[APPROVAL]</w:t>
            </w:r>
          </w:p>
        </w:tc>
      </w:tr>
    </w:tbl>
    <w:p/>
    <w:p>
      <w:pPr>
        <w:pStyle w:val="Heading1"/>
        <w:pageBreakBefore/>
      </w:pPr>
      <w:r>
        <w:t>Schedule 2 — Permitted Payments</w:t>
      </w:r>
    </w:p>
    <w:p>
      <w:r>
        <w:rPr>
          <w:rFonts w:ascii="Calibri" w:hAnsi="Calibri" w:eastAsia="Calibri"/>
          <w:b w:val="0"/>
          <w:i/>
          <w:color w:val="5B6573"/>
          <w:sz w:val="19"/>
        </w:rPr>
        <w:t>Complete, reconcile to the operative terms, and delete instructions before execution. Give finance an operable rule.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Payment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Amount/cap</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Conditions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Certification</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Interest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[$/RATE]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[NO DEFAULT]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[MONTHLY]</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Tax distribution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[FORMULA]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[LIQUIDITY]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[CFO]</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Principal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[TESTS]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[LENDER]</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Expenses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[DOCUMENTED]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[OWNER]</w:t>
            </w:r>
          </w:p>
        </w:tc>
      </w:tr>
    </w:tbl>
    <w:p/>
    <w:p>
      <w:pPr>
        <w:pStyle w:val="Heading1"/>
        <w:pageBreakBefore/>
      </w:pPr>
      <w:r>
        <w:t>Schedule 3 — Blockage and Standstill Calendar</w:t>
      </w:r>
    </w:p>
    <w:p>
      <w:r>
        <w:rPr>
          <w:rFonts w:ascii="Calibri" w:hAnsi="Calibri" w:eastAsia="Calibri"/>
          <w:b w:val="0"/>
          <w:i/>
          <w:color w:val="5B6573"/>
          <w:sz w:val="19"/>
        </w:rPr>
        <w:t>Complete, reconcile to the operative terms, and delete instructions before execution. Calendar before execution.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Trigger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Start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Maximum period</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Reset/end</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Payment default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[DATE/AUTOMATIC]</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[CURE]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Other default 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[RESET]</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Enforcement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[SENIOR ACTION]</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Limitation deadline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N/A</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[PRESERVATION STEP]</w:t>
            </w:r>
          </w:p>
        </w:tc>
      </w:tr>
    </w:tbl>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Practitioner master | Complete and review before use</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600"/>
      <w:gridCol w:w="3760"/>
    </w:tblGrid>
    <w:tr>
      <w:trPr>
        <w:cantSplit/>
        <w:trHeight w:hRule="atLeast"/>
      </w:trPr>
      <w:tc>
        <w:tcPr>
          <w:tcW w:type="dxa" w:w="56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3760"/>
          <w:vAlign w:val="top"/>
          <w:tcMar>
            <w:top w:w="80" w:type="dxa"/>
            <w:bottom w:w="80" w:type="dxa"/>
            <w:start w:w="120" w:type="dxa"/>
            <w:end w:w="120" w:type="dxa"/>
          </w:tcMar>
        </w:tcPr>
        <w:p>
          <w:pPr>
            <w:jc w:val="right"/>
          </w:pPr>
          <w:r>
            <w:rPr>
              <w:rFonts w:ascii="Calibri" w:hAnsi="Calibri" w:eastAsia="Calibri"/>
              <w:b/>
              <w:i w:val="0"/>
              <w:color w:val="17365D"/>
              <w:sz w:val="17"/>
            </w:rPr>
            <w:t>EF-078 | v3.1.0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Text">
    <w:name w:val="Agreement Text"/>
    <w:pPr>
      <w:spacing w:before="0" w:after="120" w:line="264" w:lineRule="auto"/>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Subordination, Standstill, and Turnover Agreement</dc:title>
  <dc:subject>Lean original legal practitioner master; companion analysis maintained separately</dc:subject>
  <dc:creator>Montague Entrepreneur Forms</dc:creator>
  <cp:keywords>EF-078, entrepreneur forms, practitioner master, Ground Truth</cp:keywords>
  <dc:description>Original drafting. No Westlaw or Practical Law text reproduced.</dc:description>
  <cp:lastModifiedBy/>
  <cp:revision>1</cp:revision>
  <dcterms:created xsi:type="dcterms:W3CDTF">2013-12-23T23:15:00Z</dcterms:created>
  <dcterms:modified xsi:type="dcterms:W3CDTF">2013-12-23T23:15:00Z</dcterms:modified>
  <cp:category/>
</cp:coreProperties>
</file>