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20" w:after="40"/>
      </w:pPr>
      <w:r>
        <w:rPr>
          <w:rFonts w:ascii="Calibri" w:hAnsi="Calibri" w:eastAsia="Calibri"/>
          <w:b/>
          <w:i w:val="0"/>
          <w:color w:val="2E74B5"/>
          <w:sz w:val="18"/>
        </w:rPr>
        <w:t>PRACTITIONER MASTER</w:t>
      </w:r>
    </w:p>
    <w:p>
      <w:pPr>
        <w:spacing w:after="80"/>
      </w:pPr>
      <w:r>
        <w:rPr>
          <w:rFonts w:ascii="Calibri" w:hAnsi="Calibri" w:eastAsia="Calibri"/>
          <w:b/>
          <w:i w:val="0"/>
          <w:color w:val="111111"/>
          <w:sz w:val="46"/>
        </w:rPr>
        <w:t>All-Assets Security Agreement</w:t>
      </w:r>
    </w:p>
    <w:p>
      <w:pPr>
        <w:spacing w:after="280"/>
      </w:pPr>
      <w:r>
        <w:rPr>
          <w:rFonts w:ascii="Calibri" w:hAnsi="Calibri" w:eastAsia="Calibri"/>
          <w:b w:val="0"/>
          <w:i w:val="0"/>
          <w:color w:val="5B6573"/>
          <w:sz w:val="22"/>
        </w:rPr>
        <w:t>A lender-oriented all-assets security agreement for a startup borrower, with collateral taxonomy, 2022 UCC digital-asset gates, perfection and control deliverables, covenants, remedies, release mechanics, and a filing/continuation checklist.</w:t>
      </w:r>
    </w:p>
    <w:p>
      <w:pPr>
        <w:spacing w:after="40"/>
      </w:pPr>
      <w:r>
        <w:rPr>
          <w:rFonts w:ascii="Calibri" w:hAnsi="Calibri" w:eastAsia="Calibri"/>
          <w:b/>
          <w:i w:val="0"/>
          <w:color w:val="111111"/>
          <w:sz w:val="20"/>
        </w:rPr>
        <w:t xml:space="preserve">Form: </w:t>
      </w:r>
      <w:r>
        <w:rPr>
          <w:rFonts w:ascii="Calibri" w:hAnsi="Calibri" w:eastAsia="Calibri"/>
          <w:b w:val="0"/>
          <w:i w:val="0"/>
          <w:color w:val="111111"/>
          <w:sz w:val="20"/>
        </w:rPr>
        <w:t>EF-076</w:t>
      </w:r>
    </w:p>
    <w:p>
      <w:pPr>
        <w:spacing w:after="40"/>
      </w:pPr>
      <w:r>
        <w:rPr>
          <w:rFonts w:ascii="Calibri" w:hAnsi="Calibri" w:eastAsia="Calibri"/>
          <w:b/>
          <w:i w:val="0"/>
          <w:color w:val="111111"/>
          <w:sz w:val="20"/>
        </w:rPr>
        <w:t xml:space="preserve">Version: </w:t>
      </w:r>
      <w:r>
        <w:rPr>
          <w:rFonts w:ascii="Calibri" w:hAnsi="Calibri" w:eastAsia="Calibri"/>
          <w:b w:val="0"/>
          <w:i w:val="0"/>
          <w:color w:val="111111"/>
          <w:sz w:val="20"/>
        </w:rPr>
        <w:t>3.1.0</w:t>
      </w:r>
    </w:p>
    <w:p>
      <w:pPr>
        <w:spacing w:after="40"/>
      </w:pPr>
      <w:r>
        <w:rPr>
          <w:rFonts w:ascii="Calibri" w:hAnsi="Calibri" w:eastAsia="Calibri"/>
          <w:b/>
          <w:i w:val="0"/>
          <w:color w:val="111111"/>
          <w:sz w:val="20"/>
        </w:rPr>
        <w:t xml:space="preserve">Prepared: </w:t>
      </w:r>
      <w:r>
        <w:rPr>
          <w:rFonts w:ascii="Calibri" w:hAnsi="Calibri" w:eastAsia="Calibri"/>
          <w:b w:val="0"/>
          <w:i w:val="0"/>
          <w:color w:val="111111"/>
          <w:sz w:val="20"/>
        </w:rPr>
        <w:t>2026-09-01</w:t>
      </w:r>
    </w:p>
    <w:p>
      <w:pPr>
        <w:spacing w:after="40"/>
      </w:pPr>
      <w:r>
        <w:rPr>
          <w:rFonts w:ascii="Calibri" w:hAnsi="Calibri" w:eastAsia="Calibri"/>
          <w:b/>
          <w:i w:val="0"/>
          <w:color w:val="111111"/>
          <w:sz w:val="20"/>
        </w:rPr>
        <w:t xml:space="preserve">Governing law: </w:t>
      </w:r>
      <w:r>
        <w:rPr>
          <w:rFonts w:ascii="Calibri" w:hAnsi="Calibri" w:eastAsia="Calibri"/>
          <w:b w:val="0"/>
          <w:i w:val="0"/>
          <w:color w:val="111111"/>
          <w:sz w:val="20"/>
        </w:rPr>
        <w:t>[STATE WHOSE ARTICLE 9 GOVERNS; FORUM MAY DIFFER]</w:t>
      </w:r>
    </w:p>
    <w:p>
      <w:pPr>
        <w:spacing w:after="240"/>
        <w:pBdr>
          <w:bottom w:val="single" w:sz="18" w:space="6" w:color="17365D"/>
        </w:pBdr>
      </w:pPr>
    </w:p>
    <w:tbl>
      <w:tblPr>
        <w:tblW w:type="dxa" w:w="9360"/>
        <w:jc w:val="left"/>
        <w:tblLayout w:type="fixed"/>
        <w:tblLook w:firstColumn="1" w:firstRow="1" w:lastColumn="0" w:lastRow="0" w:noHBand="0" w:noVBand="1" w:val="04A0"/>
        <w:tblInd w:w="120" w:type="dxa"/>
      </w:tblPr>
      <w:tblGrid>
        <w:gridCol w:w="9360"/>
      </w:tblGrid>
      <w:tr>
        <w:trPr>
          <w:cantSplit/>
          <w:trHeight w:hRule="atLeast"/>
        </w:trPr>
        <w:tc>
          <w:tcPr>
            <w:tcW w:type="dxa" w:w="9360"/>
            <w:vAlign w:val="top"/>
            <w:tcMar>
              <w:top w:w="80" w:type="dxa"/>
              <w:bottom w:w="80" w:type="dxa"/>
              <w:start w:w="120" w:type="dxa"/>
              <w:end w:w="120" w:type="dxa"/>
            </w:tcMar>
            <w:shd w:fill="FCE8E6"/>
          </w:tcPr>
          <w:p>
            <w:r>
              <w:rPr>
                <w:rFonts w:ascii="Calibri" w:hAnsi="Calibri" w:eastAsia="Calibri"/>
                <w:b/>
                <w:i w:val="0"/>
                <w:color w:val="9C2B2E"/>
                <w:sz w:val="19"/>
              </w:rPr>
              <w:t xml:space="preserve">DELETE BEFORE EXECUTION.  </w:t>
            </w:r>
            <w:r>
              <w:rPr>
                <w:rFonts w:ascii="Calibri" w:hAnsi="Calibri" w:eastAsia="Calibri"/>
                <w:b w:val="0"/>
                <w:i w:val="0"/>
                <w:color w:val="111111"/>
                <w:sz w:val="19"/>
              </w:rPr>
              <w:t>This practitioner master contains bracketed elections. Verify facts, law, authority, economics, schedules, and related documents; delete alternatives; and obtain responsible-lawyer approval. Drafting analysis is intentionally maintained in the companion Markdown, not in this instrument.</w:t>
            </w:r>
          </w:p>
        </w:tc>
      </w:tr>
    </w:tbl>
    <w:p/>
    <w:p>
      <w:pPr>
        <w:pStyle w:val="AgreementText"/>
      </w:pPr>
      <w:r>
        <w:t>This All-Assets Security Agreement (this “Agreement”) is entered into as of [DATE] by and between [DEBTOR LEGAL NAME], a [STATE AND ENTITY TYPE] (“Debtor”), and [SECURED PARTY LEGAL NAME], a [STATE AND ENTITY TYPE] (“Secured Party”).</w:t>
      </w:r>
    </w:p>
    <w:p>
      <w:pPr>
        <w:pStyle w:val="Heading1"/>
      </w:pPr>
      <w:r>
        <w:t>Background</w:t>
      </w:r>
    </w:p>
    <w:p>
      <w:pPr>
        <w:pStyle w:val="AgreementText"/>
      </w:pPr>
      <w:r>
        <w:t>A. Debtor is obligated to Secured Party under [IDENTIFY CREDIT DOCUMENTS].</w:t>
      </w:r>
    </w:p>
    <w:p>
      <w:pPr>
        <w:pStyle w:val="AgreementText"/>
      </w:pPr>
      <w:r>
        <w:t>B. The parties intend this Agreement to create an enforceable security interest only in the Collateral described below and the completed schedules.</w:t>
      </w:r>
    </w:p>
    <w:p>
      <w:pPr>
        <w:pStyle w:val="AgreementText"/>
      </w:pPr>
      <w:r>
        <w:rPr>
          <w:b/>
        </w:rPr>
        <w:t>Therefore, for good and valuable consideration, the parties agree as follows:</w:t>
      </w:r>
    </w:p>
    <w:p>
      <w:pPr>
        <w:pStyle w:val="Heading1"/>
      </w:pPr>
      <w:r>
        <w:t>Terms</w:t>
      </w:r>
    </w:p>
    <w:p>
      <w:pPr>
        <w:pStyle w:val="Heading2"/>
      </w:pPr>
      <w:r>
        <w:t>1. Grant of Security Interest</w:t>
      </w:r>
    </w:p>
    <w:p>
      <w:pPr>
        <w:pStyle w:val="AgreementText"/>
      </w:pPr>
      <w:r>
        <w:t>Debtor grants Secured Party a continuing security interest in the Collateral to secure the defined Obligations. The grant covers present and after-acquired property and identifiable proceeds only to the extent permitted by law and the selected collateral schedule. It does not itself transfer title, authorize ordinary-course interference before default, or override nonwaivable restrictions and statutory exclusions.</w:t>
      </w:r>
    </w:p>
    <w:p>
      <w:pPr>
        <w:pStyle w:val="Heading2"/>
      </w:pPr>
      <w:r>
        <w:t>2. Obligations</w:t>
      </w:r>
    </w:p>
    <w:p>
      <w:pPr>
        <w:pStyle w:val="AgreementText"/>
      </w:pPr>
      <w:r>
        <w:t>“Obligations” means principal, interest, fees, indemnities, protective advances, and enforcement costs owing under [IDENTIFIED CREDIT DOCUMENTS], including only the amendments, replacements, hedging, treasury, future advances, and contingent obligations expressly identified in Schedule 1. Obligations exclude unlawful interest, obligations released in writing, and unrelated affiliate debt. “Payment in Full” occurs only under the discharge conditions stated in Schedule 1.</w:t>
      </w:r>
    </w:p>
    <w:p>
      <w:pPr>
        <w:pStyle w:val="Heading2"/>
      </w:pPr>
      <w:r>
        <w:t>3. Collateral Description</w:t>
      </w:r>
    </w:p>
    <w:p>
      <w:pPr>
        <w:pStyle w:val="AgreementText"/>
      </w:pPr>
      <w:r>
        <w:t>“Collateral” means Debtor’s right, title, and interest in the Article 9 categories and other property specifically described in Schedule 1, together with after-acquired property of those categories and identifiable proceeds, but excluding Excluded Property. A commercial tort claim is Collateral only if specifically described as required by applicable law. Assets governed by federal or other special perfection regimes are included only to the extent stated in Schedule 1 and supported by the required supplemental filing or control step.</w:t>
      </w:r>
    </w:p>
    <w:p>
      <w:pPr>
        <w:pStyle w:val="Heading2"/>
      </w:pPr>
      <w:r>
        <w:t>4. Excluded Property</w:t>
      </w:r>
    </w:p>
    <w:p>
      <w:pPr>
        <w:pStyle w:val="AgreementText"/>
      </w:pPr>
      <w:r>
        <w:t>“Excluded Property” means property identified in Schedule 1 for which attachment or enforcement is prohibited by nonwaivable law, would cause termination under an enforceable restriction not displaced by law, requires an unreceived consent, would create the specifically documented tax or regulatory consequence, or is intentionally outside the transaction. Any exclusion is limited to the period and extent of the restriction and does not exclude proceeds to the extent a lien on proceeds is lawful. When the restriction ends or required consent is obtained, the property automatically becomes Collateral, subject to any required perfection step and the materiality threshold in Schedule 1.</w:t>
      </w:r>
    </w:p>
    <w:p>
      <w:pPr>
        <w:pStyle w:val="Heading2"/>
      </w:pPr>
      <w:r>
        <w:t>5. Attachment and Value</w:t>
      </w:r>
    </w:p>
    <w:p>
      <w:pPr>
        <w:pStyle w:val="AgreementText"/>
      </w:pPr>
      <w:r>
        <w:t>Debtor acknowledges receipt of value and represents that it has rights in the Collateral, or power to transfer rights in the Collateral, sufficient for attachment, subject to disclosed schedule exceptions. Attachment to after-acquired Collateral and future advances occurs when the requirements of applicable law and the identified credit documents are satisfied. No representation implies ownership of licensed assets or customer data beyond Debtor’s actual transferable rights.</w:t>
      </w:r>
    </w:p>
    <w:p>
      <w:pPr>
        <w:pStyle w:val="Heading2"/>
      </w:pPr>
      <w:r>
        <w:t>6. Debtor Name, Location, and Organization</w:t>
      </w:r>
    </w:p>
    <w:p>
      <w:pPr>
        <w:pStyle w:val="AgreementText"/>
      </w:pPr>
      <w:r>
        <w:t>Debtor states its exact public-organic-record name, type, jurisdiction, organizational number if any, chief executive office, and prior names, jurisdictions, mergers, and conversions. Debtor shall provide advance notice of changes and complete continuation or amendment steps before effectiveness. Individual-name rules require a separate jurisdiction-specific module.</w:t>
      </w:r>
    </w:p>
    <w:p>
      <w:pPr>
        <w:pStyle w:val="Heading2"/>
      </w:pPr>
      <w:r>
        <w:t>7. Authorization to File</w:t>
      </w:r>
    </w:p>
    <w:p>
      <w:pPr>
        <w:pStyle w:val="AgreementText"/>
      </w:pPr>
      <w:r>
        <w:t>Debtor authorizes initial financing statements, amendments, continuations, assignments, and terminations consistent with this Agreement. Secured Party may describe collateral as all assets only if the deal intentionally grants that scope. Filing authority does not permit inaccurate debtor information, premature termination, or filings after release, and Secured Party must provide copies and maintain a filing calendar.</w:t>
      </w:r>
    </w:p>
    <w:p>
      <w:pPr>
        <w:pStyle w:val="Heading2"/>
      </w:pPr>
      <w:r>
        <w:t>8. Perfection by Possession, Control, or Notation</w:t>
      </w:r>
    </w:p>
    <w:p>
      <w:pPr>
        <w:pStyle w:val="AgreementText"/>
      </w:pPr>
      <w:r>
        <w:t>Debtor shall deliver instruments, certificated securities, and negotiable documents where agreed; obtain deposit-account, securities-account, and other control agreements; mark chattel paper or title records where applicable; and implement control for electronic money or controllable electronic records under enacted law. Each method requires a custodian, priority review, and release procedure.</w:t>
      </w:r>
    </w:p>
    <w:p>
      <w:pPr>
        <w:pStyle w:val="Heading2"/>
      </w:pPr>
      <w:r>
        <w:t>9. Intellectual Property and Special Filings</w:t>
      </w:r>
    </w:p>
    <w:p>
      <w:pPr>
        <w:pStyle w:val="AgreementText"/>
      </w:pPr>
      <w:r>
        <w:t>Debtor shall list material patents, trademarks, copyrights, applications, and domain names; execute short-form federal recordation documents where prudent; maintain prosecution and registrations subject to business-judgment thresholds; and notify Secured Party of material additions, abandonment, infringement, or licenses. Federal recordation supplements, and does not replace without analysis, UCC perfection.</w:t>
      </w:r>
    </w:p>
    <w:p>
      <w:pPr>
        <w:pStyle w:val="Heading2"/>
      </w:pPr>
      <w:r>
        <w:t>10. Representations</w:t>
      </w:r>
    </w:p>
    <w:p>
      <w:pPr>
        <w:pStyle w:val="AgreementText"/>
      </w:pPr>
      <w:r>
        <w:t>Debtor represents on the date of this Agreement and each date specified in the loan documents, subject to the materiality, knowledge, and schedule qualifications stated there, that it has authority to enter this Agreement; has rights in the Collateral sufficient to grant the security interest; has disclosed existing liens, organization data, locations, transfers, and exceptions; and has completed the schedules accurately in all material respects. No representation as to perfection, priority, valuation, litigation, or intellectual property is made beyond the expressly stated and diligence-supported representation in the loan documents.</w:t>
      </w:r>
    </w:p>
    <w:p>
      <w:pPr>
        <w:pStyle w:val="Heading2"/>
      </w:pPr>
      <w:r>
        <w:t>11. Affirmative Covenants</w:t>
      </w:r>
    </w:p>
    <w:p>
      <w:pPr>
        <w:pStyle w:val="AgreementText"/>
      </w:pPr>
      <w:r>
        <w:t>Debtor shall preserve Collateral, maintain records and insurance, pay material taxes and charges before liens arise subject to good-faith contests, comply with law, protect IP, collect accounts in the ordinary course before default, provide inspections and reporting on reasonable notice, and execute further assurances. Covenants must not prevent ordinary startup operations or consume management through unlimited audits.</w:t>
      </w:r>
    </w:p>
    <w:p>
      <w:pPr>
        <w:pStyle w:val="Heading2"/>
      </w:pPr>
      <w:r>
        <w:t>12. Negative Covenants</w:t>
      </w:r>
    </w:p>
    <w:p>
      <w:pPr>
        <w:pStyle w:val="AgreementText"/>
      </w:pPr>
      <w:r>
        <w:t>Without the consent required by the loan documents, Debtor shall not create a lien on Collateral; dispose of Collateral other than a permitted disposition; change its jurisdiction or legal name without completing advance perfection steps; move titled, possessed, or controlled assets outside permitted arrangements; compromise a material account after default; abandon material IP outside approved thresholds; or amend a control agreement adversely to Secured Party. Permitted liens, sales, licenses, investments, ordinary-course use, and other baskets are solely those stated in the loan documents.</w:t>
      </w:r>
    </w:p>
    <w:p>
      <w:pPr>
        <w:pStyle w:val="Heading2"/>
      </w:pPr>
      <w:r>
        <w:t>13. Insurance and Casualty</w:t>
      </w:r>
    </w:p>
    <w:p>
      <w:pPr>
        <w:pStyle w:val="AgreementText"/>
      </w:pPr>
      <w:r>
        <w:t>Debtor maintains property and liability coverage appropriate to Collateral, identifies Secured Party as lender loss payee or additional insured where negotiated, provides evidence, and applies proceeds under the loan documents. Secured Party may make protective advances after notice and failure to cure where practicable. Insurance proceeds remain subject to applicable law and repair/reinvestment rights.</w:t>
      </w:r>
    </w:p>
    <w:p>
      <w:pPr>
        <w:pStyle w:val="Heading2"/>
      </w:pPr>
      <w:r>
        <w:t>14. Events of Default</w:t>
      </w:r>
    </w:p>
    <w:p>
      <w:pPr>
        <w:pStyle w:val="AgreementText"/>
      </w:pPr>
      <w:r>
        <w:t>An “Event of Default” exists only upon an event defined as such in [IDENTIFIED LOAN DOCUMENT] or the following additional event: [SPECIFIC EVENT], in each case after all applicable materiality thresholds, notice, cure, cross-default, and grace periods. A technical schedule omission does not trigger remedies unless it materially impairs attachment, perfection, priority, value, or enforcement and remains uncured for [NUMBER] days after notice.</w:t>
      </w:r>
    </w:p>
    <w:p>
      <w:pPr>
        <w:pStyle w:val="Heading2"/>
      </w:pPr>
      <w:r>
        <w:t>15. Remedies</w:t>
      </w:r>
    </w:p>
    <w:p>
      <w:pPr>
        <w:pStyle w:val="AgreementText"/>
      </w:pPr>
      <w:r>
        <w:t>After an uncured Event of Default, Secured Party may exercise Article 9 and agreed rights, including possession, collection, control, disposition, and application of proceeds, subject to commercial reasonableness, mandatory notice, debtor protections, special-asset law, and limitations on self-help. Debtor authorizes access only where lawful and without breach of peace or unauthorized system intrusion.</w:t>
      </w:r>
    </w:p>
    <w:p>
      <w:pPr>
        <w:pStyle w:val="Heading2"/>
      </w:pPr>
      <w:r>
        <w:t>16. Power of Attorney and Protective Acts</w:t>
      </w:r>
    </w:p>
    <w:p>
      <w:pPr>
        <w:pStyle w:val="AgreementText"/>
      </w:pPr>
      <w:r>
        <w:t>Any power of attorney is coupled with an interest, becomes exercisable only after specified default or failure to perform, and is limited to lawful actions reasonably necessary to protect, perfect, collect, or enforce Collateral. Secured Party must document use and cannot make business decisions unrelated to collateral protection. Protective advances become Obligations only as agreed.</w:t>
      </w:r>
    </w:p>
    <w:p>
      <w:pPr>
        <w:pStyle w:val="Heading2"/>
      </w:pPr>
      <w:r>
        <w:t>17. Proceeds and Application</w:t>
      </w:r>
    </w:p>
    <w:p>
      <w:pPr>
        <w:pStyle w:val="AgreementText"/>
      </w:pPr>
      <w:r>
        <w:t>Apply collections and disposition proceeds in the order required by law and the loan documents: enforcement expenses, secured obligations by agreed order, subordinate claims if required, and surplus to the entitled person. Debtor remains liable for deficiency only to the extent lawful. Account for noncash proceeds, reserves, disputed claims, and later-recovered amounts.</w:t>
      </w:r>
    </w:p>
    <w:p>
      <w:pPr>
        <w:pStyle w:val="Heading2"/>
      </w:pPr>
      <w:r>
        <w:t>18. Release and Termination</w:t>
      </w:r>
    </w:p>
    <w:p>
      <w:pPr>
        <w:pStyle w:val="AgreementText"/>
      </w:pPr>
      <w:r>
        <w:t>Upon indefeasible Payment in Full and termination of commitments, subject to the expressly identified contingent obligations and cash-collateral arrangements, Secured Party shall promptly release the Collateral, return possession and control, authorize account terminations, and file UCC and other releases within [NUMBER] business days. A partial release requires a signed description of the released assets, conditions, surviving Collateral, and required filing or control steps. Notices must be delivered by [METHODS] to the completed addresses and are effective on [RECEIPT RULE]. Secured Party may assign this Agreement only with the related Obligations; Debtor may not assign it. Article 9 choice-of-law rules govern perfection and priority; [STATE] governs other contractual issues and [FORUM] is exclusive, subject to mandatory law. Waiver, amendment, severability, counterparts, electronic signatures, entire agreement, conflict priority with the loan documents, reinstatement after avoided payments, and survival apply as follows: [COMPLETE TERMS].</w:t>
      </w:r>
    </w:p>
    <w:p>
      <w:pPr>
        <w:pStyle w:val="Heading1"/>
      </w:pPr>
      <w:r>
        <w:t>Signatures</w:t>
      </w:r>
    </w:p>
    <w:tbl>
      <w:tblPr>
        <w:tblW w:type="dxa" w:w="9360"/>
        <w:jc w:val="left"/>
        <w:tblLayout w:type="fixed"/>
        <w:tblLook w:firstColumn="1" w:firstRow="1" w:lastColumn="0" w:lastRow="0" w:noHBand="0" w:noVBand="1" w:val="04A0"/>
        <w:tblInd w:w="120" w:type="dxa"/>
      </w:tblPr>
      <w:tblGrid>
        <w:gridCol w:w="4680"/>
        <w:gridCol w:w="4680"/>
      </w:tblGrid>
      <w:tr>
        <w:trPr>
          <w:cantSplit/>
          <w:trHeight w:hRule="atLeast"/>
        </w:trPr>
        <w:tc>
          <w:tcPr>
            <w:tcW w:type="dxa" w:w="4680"/>
            <w:vAlign w:val="top"/>
            <w:tcMar>
              <w:top w:w="80" w:type="dxa"/>
              <w:bottom w:w="80" w:type="dxa"/>
              <w:start w:w="120" w:type="dxa"/>
              <w:end w:w="120" w:type="dxa"/>
            </w:tcMar>
          </w:tcPr>
          <w:p>
            <w:r>
              <w:rPr>
                <w:rFonts w:ascii="Calibri" w:hAnsi="Calibri" w:eastAsia="Calibri"/>
                <w:b/>
                <w:i w:val="0"/>
                <w:color w:val="17365D"/>
                <w:sz w:val="20"/>
              </w:rPr>
              <w:t>DEBTOR</w:t>
              <w:br/>
            </w:r>
            <w:r>
              <w:rPr>
                <w:rFonts w:ascii="Calibri" w:hAnsi="Calibri" w:eastAsia="Calibri"/>
                <w:b w:val="0"/>
                <w:i w:val="0"/>
                <w:color w:val="111111"/>
                <w:sz w:val="20"/>
              </w:rPr>
              <w:t>[DEBTOR LEGAL NAME]</w:t>
              <w:br/>
            </w:r>
            <w:r>
              <w:rPr>
                <w:rFonts w:ascii="Calibri" w:hAnsi="Calibri" w:eastAsia="Calibri"/>
                <w:b w:val="0"/>
                <w:i w:val="0"/>
                <w:color w:val="111111"/>
                <w:sz w:val="20"/>
              </w:rPr>
              <w:t>By: [NAME]</w:t>
              <w:br/>
            </w:r>
            <w:r>
              <w:rPr>
                <w:rFonts w:ascii="Calibri" w:hAnsi="Calibri" w:eastAsia="Calibri"/>
                <w:b w:val="0"/>
                <w:i w:val="0"/>
                <w:color w:val="111111"/>
                <w:sz w:val="20"/>
              </w:rPr>
              <w:t>Title: [TITLE]</w:t>
              <w:br/>
            </w:r>
            <w:r>
              <w:rPr>
                <w:rFonts w:ascii="Calibri" w:hAnsi="Calibri" w:eastAsia="Calibri"/>
                <w:b w:val="0"/>
                <w:i w:val="0"/>
                <w:color w:val="111111"/>
                <w:sz w:val="20"/>
              </w:rPr>
              <w:t>Date: [DATE]</w:t>
            </w:r>
          </w:p>
        </w:tc>
        <w:tc>
          <w:tcPr>
            <w:tcW w:type="dxa" w:w="4680"/>
            <w:vAlign w:val="top"/>
            <w:tcMar>
              <w:top w:w="80" w:type="dxa"/>
              <w:bottom w:w="80" w:type="dxa"/>
              <w:start w:w="120" w:type="dxa"/>
              <w:end w:w="120" w:type="dxa"/>
            </w:tcMar>
          </w:tcPr>
          <w:p>
            <w:r>
              <w:rPr>
                <w:rFonts w:ascii="Calibri" w:hAnsi="Calibri" w:eastAsia="Calibri"/>
                <w:b/>
                <w:i w:val="0"/>
                <w:color w:val="17365D"/>
                <w:sz w:val="20"/>
              </w:rPr>
              <w:t>SECURED PARTY</w:t>
              <w:br/>
            </w:r>
            <w:r>
              <w:rPr>
                <w:rFonts w:ascii="Calibri" w:hAnsi="Calibri" w:eastAsia="Calibri"/>
                <w:b w:val="0"/>
                <w:i w:val="0"/>
                <w:color w:val="111111"/>
                <w:sz w:val="20"/>
              </w:rPr>
              <w:t>[SECURED PARTY LEGAL NAME]</w:t>
              <w:br/>
            </w:r>
            <w:r>
              <w:rPr>
                <w:rFonts w:ascii="Calibri" w:hAnsi="Calibri" w:eastAsia="Calibri"/>
                <w:b w:val="0"/>
                <w:i w:val="0"/>
                <w:color w:val="111111"/>
                <w:sz w:val="20"/>
              </w:rPr>
              <w:t>By: [NAME]</w:t>
              <w:br/>
            </w:r>
            <w:r>
              <w:rPr>
                <w:rFonts w:ascii="Calibri" w:hAnsi="Calibri" w:eastAsia="Calibri"/>
                <w:b w:val="0"/>
                <w:i w:val="0"/>
                <w:color w:val="111111"/>
                <w:sz w:val="20"/>
              </w:rPr>
              <w:t>Title: [TITLE]</w:t>
              <w:br/>
            </w:r>
            <w:r>
              <w:rPr>
                <w:rFonts w:ascii="Calibri" w:hAnsi="Calibri" w:eastAsia="Calibri"/>
                <w:b w:val="0"/>
                <w:i w:val="0"/>
                <w:color w:val="111111"/>
                <w:sz w:val="20"/>
              </w:rPr>
              <w:t>Date: [DATE]</w:t>
            </w:r>
          </w:p>
        </w:tc>
      </w:tr>
    </w:tbl>
    <w:p/>
    <w:p>
      <w:pPr>
        <w:pStyle w:val="Heading1"/>
        <w:pageBreakBefore/>
      </w:pPr>
      <w:r>
        <w:t>Schedule 1 — Collateral and Excluded Property</w:t>
      </w:r>
    </w:p>
    <w:p>
      <w:r>
        <w:rPr>
          <w:rFonts w:ascii="Calibri" w:hAnsi="Calibri" w:eastAsia="Calibri"/>
          <w:b w:val="0"/>
          <w:i/>
          <w:color w:val="5B6573"/>
          <w:sz w:val="19"/>
        </w:rPr>
        <w:t>Complete, reconcile to the operative terms, and delete instructions before execution. Use Article 9 categories and itemized exceptions.</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Asset class</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Included description</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Exclusion / consent</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Evidence</w:t>
            </w:r>
          </w:p>
        </w:tc>
      </w:tr>
      <w:tr>
        <w:trPr>
          <w:cantSplit/>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8"/>
              </w:rPr>
              <w:t>Accounts/inventory/equipment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[DESCRIPTION]</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[EXCLUSION]</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8"/>
              </w:rPr>
              <w:t>[SCHEDULE]</w:t>
            </w:r>
          </w:p>
        </w:tc>
      </w:tr>
      <w:tr>
        <w:trPr>
          <w:cantSplit/>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8"/>
              </w:rPr>
              <w:t>IP/general intangibles</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[DESCRIPTION]</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[LICENSE LIMIT]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8"/>
              </w:rPr>
              <w:t>[REGISTER]</w:t>
            </w:r>
          </w:p>
        </w:tc>
      </w:tr>
      <w:tr>
        <w:trPr>
          <w:cantSplit/>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8"/>
              </w:rPr>
              <w:t>Control collateral</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[ACCOUNT/ASSET]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[CONTROL STEP]</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8"/>
              </w:rPr>
              <w:t>[AGREEMENT]</w:t>
            </w:r>
          </w:p>
        </w:tc>
      </w:tr>
      <w:tr>
        <w:trPr>
          <w:cantSplit/>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8"/>
              </w:rPr>
              <w:t>Commercial tort claim</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[SPECIFIC DESCRIPTION]</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[NONE]</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8"/>
              </w:rPr>
              <w:t>[CLAIM RECORD]</w:t>
            </w:r>
          </w:p>
        </w:tc>
      </w:tr>
    </w:tbl>
    <w:p/>
    <w:p>
      <w:pPr>
        <w:pStyle w:val="Heading1"/>
        <w:pageBreakBefore/>
      </w:pPr>
      <w:r>
        <w:t>Schedule 2 — UCC Filing Register</w:t>
      </w:r>
    </w:p>
    <w:p>
      <w:r>
        <w:rPr>
          <w:rFonts w:ascii="Calibri" w:hAnsi="Calibri" w:eastAsia="Calibri"/>
          <w:b w:val="0"/>
          <w:i/>
          <w:color w:val="5B6573"/>
          <w:sz w:val="19"/>
        </w:rPr>
        <w:t>Complete, reconcile to the operative terms, and delete instructions before execution. Verify public organic record and filing office.</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Filing office</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Debtor name</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Collateral indication</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File/continue/terminate</w:t>
            </w:r>
          </w:p>
        </w:tc>
      </w:tr>
      <w:tr>
        <w:trPr>
          <w:cantSplit/>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8"/>
              </w:rPr>
              <w:t>[STATE/OFFICE]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[EXACT NAME]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[TEXT]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8"/>
              </w:rPr>
              <w:t>[DATES]</w:t>
            </w:r>
          </w:p>
        </w:tc>
      </w:tr>
      <w:tr>
        <w:trPr>
          <w:cantSplit/>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8"/>
              </w:rPr>
              <w:t>Fixture office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[NAME]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[REALTY/GOODS]</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8"/>
              </w:rPr>
              <w:t>[DATES]</w:t>
            </w:r>
          </w:p>
        </w:tc>
      </w:tr>
    </w:tbl>
    <w:p/>
    <w:p>
      <w:pPr>
        <w:pStyle w:val="Heading1"/>
        <w:pageBreakBefore/>
      </w:pPr>
      <w:r>
        <w:t>Schedule 3 — Perfection and Control Matrix</w:t>
      </w:r>
    </w:p>
    <w:p>
      <w:r>
        <w:rPr>
          <w:rFonts w:ascii="Calibri" w:hAnsi="Calibri" w:eastAsia="Calibri"/>
          <w:b w:val="0"/>
          <w:i/>
          <w:color w:val="5B6573"/>
          <w:sz w:val="19"/>
        </w:rPr>
        <w:t>Complete, reconcile to the operative terms, and delete instructions before execution. Tailor to enacted state law.</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Collateral</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Method</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Priority risk</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Closing evidence</w:t>
            </w:r>
          </w:p>
        </w:tc>
      </w:tr>
      <w:tr>
        <w:trPr>
          <w:cantSplit/>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8"/>
              </w:rPr>
              <w:t>Deposit account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Control</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[BANK LIEN]</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8"/>
              </w:rPr>
              <w:t>[DACA]</w:t>
            </w:r>
          </w:p>
        </w:tc>
      </w:tr>
      <w:tr>
        <w:trPr>
          <w:cantSplit/>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8"/>
              </w:rPr>
              <w:t>Securities</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Control/possession</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[INTERMEDIARY]</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8"/>
              </w:rPr>
              <w:t>[SACA]</w:t>
            </w:r>
          </w:p>
        </w:tc>
      </w:tr>
      <w:tr>
        <w:trPr>
          <w:cantSplit/>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8"/>
              </w:rPr>
              <w:t>IP</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UCC + federal recordation analysis</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[CHAIN/PRIORITY]</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8"/>
              </w:rPr>
              <w:t>[EF-080]</w:t>
            </w:r>
          </w:p>
        </w:tc>
      </w:tr>
      <w:tr>
        <w:trPr>
          <w:cantSplit/>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8"/>
              </w:rPr>
              <w:t>CER/electronic money</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[CONTROL UNDER ENACTED LAW]</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[2022 UCC]</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8"/>
              </w:rPr>
              <w:t>[TECH MEMO]</w:t>
            </w:r>
          </w:p>
        </w:tc>
      </w:tr>
    </w:tbl>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9360"/>
      <w:jc w:val="left"/>
      <w:tblLayout w:type="fixed"/>
      <w:tblLook w:firstColumn="1" w:firstRow="1" w:lastColumn="0" w:lastRow="0" w:noHBand="0" w:noVBand="1" w:val="04A0"/>
      <w:tblInd w:w="120" w:type="dxa"/>
    </w:tblPr>
    <w:tblGrid>
      <w:gridCol w:w="7000"/>
      <w:gridCol w:w="2360"/>
    </w:tblGrid>
    <w:tr>
      <w:trPr>
        <w:cantSplit/>
        <w:trHeight w:hRule="atLeast"/>
      </w:trPr>
      <w:tc>
        <w:tcPr>
          <w:tcW w:type="dxa" w:w="7000"/>
          <w:vAlign w:val="top"/>
          <w:tcMar>
            <w:top w:w="80" w:type="dxa"/>
            <w:bottom w:w="80" w:type="dxa"/>
            <w:start w:w="120" w:type="dxa"/>
            <w:end w:w="120" w:type="dxa"/>
          </w:tcMar>
        </w:tcPr>
        <w:p>
          <w:r>
            <w:rPr>
              <w:rFonts w:ascii="Calibri" w:hAnsi="Calibri" w:eastAsia="Calibri"/>
              <w:b w:val="0"/>
              <w:i w:val="0"/>
              <w:color w:val="5B6573"/>
              <w:sz w:val="16"/>
            </w:rPr>
            <w:t>Practitioner master | Complete and review before use</w:t>
          </w:r>
        </w:p>
      </w:tc>
      <w:tc>
        <w:tcPr>
          <w:tcW w:type="dxa" w:w="2360"/>
          <w:vAlign w:val="top"/>
          <w:tcMar>
            <w:top w:w="80" w:type="dxa"/>
            <w:bottom w:w="80" w:type="dxa"/>
            <w:start w:w="120" w:type="dxa"/>
            <w:end w:w="120" w:type="dxa"/>
          </w:tcMar>
        </w:tcPr>
        <w:p>
          <w:pPr>
            <w:jc w:val="right"/>
          </w:pPr>
          <w:r>
            <w:rPr>
              <w:rFonts w:ascii="Calibri" w:hAnsi="Calibri" w:eastAsia="Calibri"/>
              <w:b w:val="0"/>
              <w:i w:val="0"/>
              <w:color w:val="5B6573"/>
              <w:sz w:val="16"/>
            </w:rPr>
            <w:t xml:space="preserve">Page </w:t>
          </w:r>
          <w:r>
            <w:rPr>
              <w:rFonts w:ascii="Calibri" w:hAnsi="Calibri" w:eastAsia="Calibri"/>
              <w:b w:val="0"/>
              <w:i w:val="0"/>
              <w:color w:val="5B6573"/>
              <w:sz w:val="16"/>
            </w:rPr>
            <w:fldChar w:fldCharType="begin"/>
            <w:instrText xml:space="preserve">PAGE</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9360"/>
      <w:jc w:val="left"/>
      <w:tblLayout w:type="fixed"/>
      <w:tblLook w:firstColumn="1" w:firstRow="1" w:lastColumn="0" w:lastRow="0" w:noHBand="0" w:noVBand="1" w:val="04A0"/>
      <w:tblInd w:w="120" w:type="dxa"/>
    </w:tblPr>
    <w:tblGrid>
      <w:gridCol w:w="5600"/>
      <w:gridCol w:w="3760"/>
    </w:tblGrid>
    <w:tr>
      <w:trPr>
        <w:cantSplit/>
        <w:trHeight w:hRule="atLeast"/>
      </w:trPr>
      <w:tc>
        <w:tcPr>
          <w:tcW w:type="dxa" w:w="5600"/>
          <w:vAlign w:val="top"/>
          <w:tcMar>
            <w:top w:w="80" w:type="dxa"/>
            <w:bottom w:w="80" w:type="dxa"/>
            <w:start w:w="120" w:type="dxa"/>
            <w:end w:w="120" w:type="dxa"/>
          </w:tcMar>
        </w:tcPr>
        <w:p>
          <w:pPr>
            <w:jc w:val="left"/>
          </w:pPr>
          <w:r>
            <w:rPr>
              <w:rFonts w:ascii="Calibri" w:hAnsi="Calibri" w:eastAsia="Calibri"/>
              <w:b/>
              <w:i w:val="0"/>
              <w:color w:val="17365D"/>
              <w:sz w:val="17"/>
            </w:rPr>
            <w:t>MONTAGUE ENTREPRENEUR FORMS</w:t>
          </w:r>
        </w:p>
      </w:tc>
      <w:tc>
        <w:tcPr>
          <w:tcW w:type="dxa" w:w="3760"/>
          <w:vAlign w:val="top"/>
          <w:tcMar>
            <w:top w:w="80" w:type="dxa"/>
            <w:bottom w:w="80" w:type="dxa"/>
            <w:start w:w="120" w:type="dxa"/>
            <w:end w:w="120" w:type="dxa"/>
          </w:tcMar>
        </w:tcPr>
        <w:p>
          <w:pPr>
            <w:jc w:val="right"/>
          </w:pPr>
          <w:r>
            <w:rPr>
              <w:rFonts w:ascii="Calibri" w:hAnsi="Calibri" w:eastAsia="Calibri"/>
              <w:b/>
              <w:i w:val="0"/>
              <w:color w:val="17365D"/>
              <w:sz w:val="17"/>
            </w:rPr>
            <w:t>EF-076 | v3.1.0</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60" w:line="280" w:lineRule="auto"/>
      <w:ind w:left="720" w:hanging="360"/>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60" w:line="280" w:lineRule="auto"/>
      <w:ind w:left="720" w:hanging="360"/>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greementText">
    <w:name w:val="Agreement Text"/>
    <w:pPr>
      <w:spacing w:before="0" w:after="120" w:line="264" w:lineRule="auto"/>
    </w:pPr>
    <w:rPr>
      <w:rFonts w:ascii="Calibri" w:hAnsi="Calibri"/>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All-Assets Security Agreement</dc:title>
  <dc:subject>Lean original legal practitioner master; companion analysis maintained separately</dc:subject>
  <dc:creator>Montague Entrepreneur Forms</dc:creator>
  <cp:keywords>EF-076, entrepreneur forms, practitioner master, Ground Truth</cp:keywords>
  <dc:description>Original drafting. No Westlaw or Practical Law text reproduced.</dc:description>
  <cp:lastModifiedBy/>
  <cp:revision>1</cp:revision>
  <dcterms:created xsi:type="dcterms:W3CDTF">2013-12-23T23:15:00Z</dcterms:created>
  <dcterms:modified xsi:type="dcterms:W3CDTF">2013-12-23T23:15:00Z</dcterms:modified>
  <cp:category/>
</cp:coreProperties>
</file>