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360"/>
      </w:tblGrid>
      <w:tr>
        <w:tc>
          <w:tcPr>
            <w:tcW w:type="dxa" w:w="9360"/>
            <w:shd w:fill="E9EEF5"/>
            <w:tcMar>
              <w:top w:w="80" w:type="dxa"/>
              <w:start w:w="85" w:type="dxa"/>
              <w:bottom w:w="80" w:type="dxa"/>
              <w:end w:w="85" w:type="dxa"/>
            </w:tcMar>
          </w:tcPr>
          <w:p>
            <w:pPr>
              <w:spacing w:after="0"/>
              <w:jc w:val="center"/>
            </w:pPr>
            <w:r>
              <w:rPr>
                <w:rFonts w:ascii="Times New Roman" w:hAnsi="Times New Roman"/>
                <w:b/>
                <w:color w:val="1F3758"/>
                <w:sz w:val="18"/>
              </w:rPr>
              <w:t>PRACTITIONER MASTER — COMPLETE ALL BRACKETS AND REVIEW BEFORE USE</w:t>
            </w:r>
          </w:p>
        </w:tc>
      </w:tr>
    </w:tbl>
    <w:p/>
    <w:p>
      <w:pPr>
        <w:pStyle w:val="Title"/>
        <w:keepNext/>
      </w:pPr>
      <w:r>
        <w:t>INDIVIDUAL CONTRACTOR CONFIDENTIALITY AND INTELLECTUAL PROPERTY ASSIGNMENT AGREEMENT</w:t>
      </w:r>
    </w:p>
    <w:p>
      <w:pPr>
        <w:spacing w:after="240"/>
        <w:jc w:val="center"/>
      </w:pPr>
      <w:r>
        <w:rPr>
          <w:i/>
          <w:color w:val="464646"/>
          <w:sz w:val="18"/>
        </w:rPr>
        <w:t>Form ID PIIA-IC  |  Version 1.0.0  |  Prepared 2026-09-02</w:t>
      </w:r>
    </w:p>
    <w:p>
      <w:pPr>
        <w:pStyle w:val="Heading1"/>
        <w:ind w:left="0" w:firstLine="0"/>
      </w:pPr>
      <w:r>
        <w:t>1.  Engagement; Consideration.</w:t>
      </w:r>
    </w:p>
    <w:p>
      <w:pPr>
        <w:ind w:left="432" w:firstLine="432"/>
      </w:pPr>
      <w:r>
        <w:t>This Individual Contractor Confidentiality and Intellectual Property Assignment Agreement (this “Agreement”) is entered into as of [EFFECTIVE DATE] by and between [COMPANY LEGAL NAME], a [STATE AND ENTITY TYPE] (the “Company”), and [CONTRACTOR LEGAL NAME], an individual (“Contractor”). In consideration of the engagement, access to Company Proprietary Information, payment under the applicable Statement of Work, and other good and valuable consideration, the receipt and sufficiency of which are acknowledged, Contractor agrees as follows.</w:t>
      </w:r>
    </w:p>
    <w:p>
      <w:pPr>
        <w:pStyle w:val="Heading1"/>
        <w:ind w:left="0" w:firstLine="0"/>
      </w:pPr>
      <w:r>
        <w:t>2.  Independent Business; No Authority.</w:t>
      </w:r>
    </w:p>
    <w:p>
      <w:pPr>
        <w:ind w:left="432" w:firstLine="432"/>
      </w:pPr>
      <w:r>
        <w:t>Contractor is an independent contractor and not an employee, partner, joint venturer, fiduciary, franchisee, or agent of the Company. Contractor controls the manner and means of performing the Services, subject to agreed specifications, security requirements, acceptance criteria, and deadlines. Contractor has no authority to bind the Company, incur an obligation in its name, make a representation on its behalf, or use its trademarks except as expressly authorized in writing.</w:t>
      </w:r>
    </w:p>
    <w:p>
      <w:pPr>
        <w:ind w:left="432" w:firstLine="432"/>
      </w:pPr>
      <w:r>
        <w:t>This Section states the parties’ intent but does not override a worker-classification rule that applies based on actual facts. The commercial agreement should separately address fees, taxes, insurance, expenses, benefits, and classification-specific requirements.</w:t>
      </w:r>
    </w:p>
    <w:p>
      <w:pPr>
        <w:pStyle w:val="Heading1"/>
        <w:ind w:left="0" w:firstLine="0"/>
      </w:pPr>
      <w:r>
        <w:t>3.  Definitions.</w:t>
      </w:r>
    </w:p>
    <w:p>
      <w:pPr>
        <w:ind w:left="432" w:firstLine="432"/>
      </w:pPr>
      <w:r>
        <w:rPr>
          <w:b/>
          <w:i/>
        </w:rPr>
        <w:t>“Company Proprietary Information”</w:t>
      </w:r>
      <w:r>
        <w:t xml:space="preserve"> means nonpublic information that the Company owns, licenses, receives under a duty of confidence, or has a legitimate business interest in protecting, including trade secrets; software, models, algorithms, prompts, weights, datasets, specifications, security information, credentials, product plans, business methods, customer and supplier information, pricing, financial information, and nonpublic transaction terms. It excludes information that the receiving party can demonstrate by contemporaneous records became public without breach, was lawfully known without restriction before disclosure, was lawfully received from a third party without a confidentiality duty, or was independently developed without use of Company Proprietary Information.</w:t>
      </w:r>
    </w:p>
    <w:p>
      <w:pPr>
        <w:ind w:left="432" w:firstLine="432"/>
      </w:pPr>
      <w:r>
        <w:rPr>
          <w:b/>
          <w:i/>
        </w:rPr>
        <w:t>“Engagement Invention”</w:t>
      </w:r>
      <w:r>
        <w:t xml:space="preserve"> means any invention, discovery, design, development, work of authorship, software, documentation, model, dataset, improvement, technique, process, know-how, or other intellectual property conceived, developed, authored, reduced to practice, or fixed in a tangible medium in performing the Services, specifically commissioned as a Deliverable, or created using Company Proprietary Information, excluding Approved Background Material.</w:t>
      </w:r>
    </w:p>
    <w:p>
      <w:pPr>
        <w:ind w:left="432" w:firstLine="432"/>
      </w:pPr>
      <w:r>
        <w:rPr>
          <w:b/>
          <w:i/>
        </w:rPr>
        <w:t>“Deliverable”</w:t>
      </w:r>
      <w:r>
        <w:t xml:space="preserve"> means each item identified as a deliverable in an applicable Statement of Work and all drafts, components, documentation, and materials created specifically for the Company in performing the Services, excluding Approved Background Material identified in Schedule A.</w:t>
      </w:r>
    </w:p>
    <w:p>
      <w:pPr>
        <w:ind w:left="432" w:firstLine="432"/>
      </w:pPr>
      <w:r>
        <w:rPr>
          <w:b/>
          <w:i/>
        </w:rPr>
        <w:t>“Approved Background Material”</w:t>
      </w:r>
      <w:r>
        <w:t xml:space="preserve"> means technology, tools, libraries, templates, models, datasets, documentation, methods, or other intellectual property owned or controlled independently of the engagement, expressly identified in Schedule A, and approved in writing for incorporation into a Deliverable.</w:t>
      </w:r>
    </w:p>
    <w:p>
      <w:pPr>
        <w:ind w:left="432" w:firstLine="432"/>
      </w:pPr>
      <w:r>
        <w:rPr>
          <w:b/>
          <w:i/>
        </w:rPr>
        <w:t>“Services”</w:t>
      </w:r>
      <w:r>
        <w:t xml:space="preserve"> means the services identified in the Statement of Work or engagement description listed in Schedule B, as amended only in a signed writing.</w:t>
      </w:r>
    </w:p>
    <w:p>
      <w:pPr>
        <w:pStyle w:val="Heading1"/>
        <w:ind w:left="0" w:firstLine="0"/>
      </w:pPr>
      <w:r>
        <w:t>4.  Conflicts; Third-Party Rights and Materials.</w:t>
      </w:r>
    </w:p>
    <w:p>
      <w:pPr>
        <w:ind w:left="432" w:firstLine="432"/>
      </w:pPr>
      <w:r>
        <w:t>Contractor represents that entering into and performing this Agreement does not knowingly breach any enforceable obligation to another person. Contractor will not disclose to the Company or use for the Company any third party’s confidential information, trade secret, code, data, or material unless the Company approves the use in writing and Contractor has documented authority to make that use.</w:t>
      </w:r>
    </w:p>
    <w:p>
      <w:pPr>
        <w:ind w:left="432" w:firstLine="432"/>
      </w:pPr>
      <w:r>
        <w:t>Before incorporating open-source software, data, a model, content, or other third-party material into a Deliverable, Contractor will disclose the applicable license and material restrictions and obtain written approval from [AUTHORIZED ROLE]. Contractor will comply with attribution, notice, source-availability, privacy, export, and use restrictions that apply to approved material.</w:t>
      </w:r>
    </w:p>
    <w:p>
      <w:pPr>
        <w:pStyle w:val="Heading1"/>
        <w:ind w:left="0" w:firstLine="0"/>
      </w:pPr>
      <w:r>
        <w:t>5.  Ownership; Present Assignment.</w:t>
      </w:r>
    </w:p>
    <w:p>
      <w:pPr>
        <w:ind w:left="864" w:hanging="432"/>
      </w:pPr>
      <w:r>
        <w:rPr>
          <w:b/>
        </w:rPr>
        <w:t xml:space="preserve">(a) </w:t>
      </w:r>
      <w:r>
        <w:t>Contractor hereby irrevocably assigns, transfers, and conveys to the Company all right, title, and interest in and to each Engagement Invention and Deliverable, including patent, copyright, mask-work, database, trade-secret, and other intellectual-property rights; rights to apply for, register, prosecute, maintain, enforce, and recover for infringement or misappropriation of those rights; and related causes of action and proceeds for periods before and after assignment. This is a present assignment of existing and future rights, effective automatically when the relevant right arises.</w:t>
      </w:r>
    </w:p>
    <w:p>
      <w:pPr>
        <w:ind w:left="864" w:hanging="432"/>
      </w:pPr>
      <w:r>
        <w:rPr>
          <w:b/>
        </w:rPr>
        <w:t xml:space="preserve">(b) </w:t>
      </w:r>
      <w:r>
        <w:t>To the extent a future right cannot be assigned immediately, Contractor will hold it in trust for the Company and assigns it at the earliest time permitted by law. Contractor will not knowingly take an action inconsistent with Company ownership.</w:t>
      </w:r>
    </w:p>
    <w:p>
      <w:pPr>
        <w:ind w:left="864" w:hanging="432"/>
      </w:pPr>
      <w:r>
        <w:rPr>
          <w:b/>
        </w:rPr>
        <w:t xml:space="preserve">(c) </w:t>
      </w:r>
      <w:r>
        <w:t>The assignment does not include Approved Background Material or third-party material. No implied license is granted by the Company to Contractor except the limited, revocable right to use Company materials solely to perform the Services during the engagement.</w:t>
      </w:r>
    </w:p>
    <w:p>
      <w:pPr>
        <w:pStyle w:val="Heading1"/>
        <w:ind w:left="0" w:firstLine="0"/>
      </w:pPr>
      <w:r>
        <w:t>6.  Works Made for Hire; Assignment Fallback.</w:t>
      </w:r>
    </w:p>
    <w:p>
      <w:pPr>
        <w:ind w:left="432" w:firstLine="432"/>
      </w:pPr>
      <w:r>
        <w:t>To the extent a Deliverable qualifies as a “work made for hire” under applicable copyright law, the parties agree that it is specially commissioned as a work made for hire for the Company. The categories intended to qualify are [IDENTIFY ELIGIBLE STATUTORY CATEGORY, IF ANY]. Because commissioned works qualify only in limited circumstances, the present assignment in the Section titled “Ownership; Present Assignment” applies as a complete fallback. This Section allocates ownership and does not determine employment status.</w:t>
      </w:r>
    </w:p>
    <w:p>
      <w:pPr>
        <w:pStyle w:val="Heading1"/>
        <w:ind w:left="0" w:firstLine="0"/>
      </w:pPr>
      <w:r>
        <w:t>7.  Approved Background Material; Embedded License.</w:t>
      </w:r>
    </w:p>
    <w:p>
      <w:pPr>
        <w:ind w:left="864" w:hanging="432"/>
      </w:pPr>
      <w:r>
        <w:rPr>
          <w:b/>
        </w:rPr>
        <w:t xml:space="preserve">(a) </w:t>
      </w:r>
      <w:r>
        <w:t>Contractor will not incorporate Background Material into a Deliverable unless it is listed with sufficient specificity in Schedule A and approved in writing. An entry must identify ownership, version, applicable license, dependencies, restrictions, and whether source materials or model artifacts will be delivered.</w:t>
      </w:r>
    </w:p>
    <w:p>
      <w:pPr>
        <w:ind w:left="864" w:hanging="432"/>
      </w:pPr>
      <w:r>
        <w:rPr>
          <w:b/>
        </w:rPr>
        <w:t xml:space="preserve">(b) </w:t>
      </w:r>
      <w:r>
        <w:t>For each item of Approved Background Material incorporated into, necessary to use, or reasonably required to support a Deliverable, Contractor grants the Company a perpetual, irrevocable, worldwide, transferable, sublicensable, fully paid, royalty-free license to reproduce, modify, create derivative works from, distribute, perform, display, make, have made, use, import, offer, sell, host, operate, and otherwise exploit that material with the Deliverable and for the Company’s business. Schedule A must disclose any restriction inconsistent with this license before approval.</w:t>
      </w:r>
    </w:p>
    <w:p>
      <w:pPr>
        <w:ind w:left="864" w:hanging="432"/>
      </w:pPr>
      <w:r>
        <w:rPr>
          <w:b/>
        </w:rPr>
        <w:t xml:space="preserve">(c) </w:t>
      </w:r>
      <w:r>
        <w:t>Ownership of stand-alone Approved Background Material remains with its owner. Except for the express license above, neither party receives rights in the other party’s pre-existing technology.</w:t>
      </w:r>
    </w:p>
    <w:p>
      <w:pPr>
        <w:pStyle w:val="Heading1"/>
        <w:ind w:left="0" w:firstLine="0"/>
      </w:pPr>
      <w:r>
        <w:t>8.  Moral Rights and Similar Rights.</w:t>
      </w:r>
    </w:p>
    <w:p>
      <w:pPr>
        <w:ind w:left="432" w:firstLine="432"/>
      </w:pPr>
      <w:r>
        <w:t>To the maximum extent lawful, Contractor waives and agrees not to assert any moral right, droit moral, right of attribution or integrity, right of withdrawal, or similar personal right in an Engagement Invention or Deliverable. If a right cannot be waived, Contractor irrevocably consents to the Company’s exercise of the assigned rights without attribution and to reasonable modification, adaptation, publication, or nonpublication. No nonwaivable right is waived.</w:t>
      </w:r>
    </w:p>
    <w:p>
      <w:pPr>
        <w:pStyle w:val="Heading1"/>
        <w:ind w:left="0" w:firstLine="0"/>
      </w:pPr>
      <w:r>
        <w:t>9.  Disclosure; Records; Further Assurances; Limited Power of Attorney.</w:t>
      </w:r>
    </w:p>
    <w:p>
      <w:pPr>
        <w:ind w:left="864" w:hanging="432"/>
      </w:pPr>
      <w:r>
        <w:rPr>
          <w:b/>
        </w:rPr>
        <w:t xml:space="preserve">(a) </w:t>
      </w:r>
      <w:r>
        <w:t>Contractor will promptly disclose each Engagement Invention and maintain reasonably complete, current records in the systems specified for the engagement. Records created specifically for the engagement are Deliverables, subject to exclusions in Schedule A.</w:t>
      </w:r>
    </w:p>
    <w:p>
      <w:pPr>
        <w:ind w:left="864" w:hanging="432"/>
      </w:pPr>
      <w:r>
        <w:rPr>
          <w:b/>
        </w:rPr>
        <w:t xml:space="preserve">(b) </w:t>
      </w:r>
      <w:r>
        <w:t>During and after the engagement, Contractor will reasonably assist the Company, at the Company’s expense, to confirm, perfect, register, maintain, defend, or enforce rights in Engagement Inventions and Deliverables. After the engagement, the Company will reimburse reasonable out-of-pocket expenses and pay reasonable compensation for material time beyond ordinary transition assistance.</w:t>
      </w:r>
    </w:p>
    <w:p>
      <w:pPr>
        <w:ind w:left="864" w:hanging="432"/>
      </w:pPr>
      <w:r>
        <w:rPr>
          <w:b/>
        </w:rPr>
        <w:t xml:space="preserve">(c) </w:t>
      </w:r>
      <w:r>
        <w:t>If Contractor fails or is unavailable to sign a document reasonably necessary to carry out subsection (b) after at least ten business days’ written request, Contractor appoints the Company and its duly authorized officers as agent and attorney-in-fact solely to execute and file that document in Contractor’s name. This limited power is coupled with an interest, is irrevocable to the extent permitted by law, and may not alter the economic or substantive scope of this Agreement.</w:t>
      </w:r>
    </w:p>
    <w:p>
      <w:pPr>
        <w:pStyle w:val="Heading1"/>
        <w:ind w:left="0" w:firstLine="0"/>
      </w:pPr>
      <w:r>
        <w:t>10.  Confidentiality; Security.</w:t>
      </w:r>
    </w:p>
    <w:p>
      <w:pPr>
        <w:ind w:left="864" w:hanging="432"/>
      </w:pPr>
      <w:r>
        <w:rPr>
          <w:b/>
        </w:rPr>
        <w:t xml:space="preserve">(a) </w:t>
      </w:r>
      <w:r>
        <w:t>Contractor will hold Company Proprietary Information in confidence, use it solely to perform authorized Services, and disclose it only to authorized persons with a need to know and an appropriate confidentiality duty. Contractor will use at least reasonable care and comply with the security, privacy, access-control, records-management, and incident-response requirements identified in Schedule B or otherwise agreed in writing.</w:t>
      </w:r>
    </w:p>
    <w:p>
      <w:pPr>
        <w:ind w:left="864" w:hanging="432"/>
      </w:pPr>
      <w:r>
        <w:rPr>
          <w:b/>
        </w:rPr>
        <w:t xml:space="preserve">(b) </w:t>
      </w:r>
      <w:r>
        <w:t>If law, regulation, subpoena, or court order requires disclosure, Contractor may disclose only what is legally required and, to the extent lawful and practicable, will provide prompt written notice and reasonable cooperation so the Company may seek protection. This subsection does not apply to a protected report or disclosure under the Section titled “Protected Activity; Trade-Secret Immunity Notice.”</w:t>
      </w:r>
    </w:p>
    <w:p>
      <w:pPr>
        <w:ind w:left="864" w:hanging="432"/>
      </w:pPr>
      <w:r>
        <w:rPr>
          <w:b/>
        </w:rPr>
        <w:t xml:space="preserve">(c) </w:t>
      </w:r>
      <w:r>
        <w:t>Contractor will promptly report suspected loss, unauthorized access, disclosure, vulnerability, or misuse involving Company systems or Company Proprietary Information and will reasonably cooperate in containment, investigation, and remediation. Any access to personal devices must be proportionate, legally permitted, and limited to Company information or systems.</w:t>
      </w:r>
    </w:p>
    <w:p>
      <w:pPr>
        <w:pStyle w:val="Heading1"/>
        <w:ind w:left="0" w:firstLine="0"/>
      </w:pPr>
      <w:r>
        <w:t>11.  Protected Activity; Trade-Secret Immunity Notice.</w:t>
      </w:r>
    </w:p>
    <w:p>
      <w:pPr>
        <w:ind w:left="864" w:hanging="432"/>
      </w:pPr>
      <w:r>
        <w:rPr>
          <w:b/>
        </w:rPr>
        <w:t xml:space="preserve">(a) </w:t>
      </w:r>
      <w:r>
        <w:t>Nothing in this Agreement prohibits a person from communicating with, filing a complaint with, or participating in an investigation or proceeding conducted by a government agency; reporting a suspected legal violation; or making another disclosure protected by whistleblower law. Prior Company approval or notice is not required. This protection does not authorize disclosure of the Company’s attorney-client privileged communications unless law permits it.</w:t>
      </w:r>
    </w:p>
    <w:p>
      <w:pPr>
        <w:ind w:left="864" w:hanging="432"/>
      </w:pPr>
      <w:r>
        <w:rPr>
          <w:b/>
        </w:rPr>
        <w:t xml:space="preserve">(b) </w:t>
      </w:r>
      <w:r>
        <w:t>Federal trade-secret law provides immunity for an individual’s disclosure of a trade secret that is made confidentially to a federal, state, or local government official or to an attorney solely to report or investigate a suspected legal violation, or that is made in a complaint or other document filed under seal. An individual pursuing a retaliation claim for reporting a suspected legal violation may disclose trade-secret information to the individual’s attorney and use it in the proceeding if documents containing the information are filed under seal and the information is not otherwise disclosed except as a court orders. This notice is intended to satisfy 18 U.S.C. § 1833(b).</w:t>
      </w:r>
    </w:p>
    <w:p>
      <w:pPr>
        <w:pStyle w:val="Heading1"/>
        <w:ind w:left="0" w:firstLine="0"/>
      </w:pPr>
      <w:r>
        <w:t>12.  Return, Deletion, Transition, and Access Termination.</w:t>
      </w:r>
    </w:p>
    <w:p>
      <w:pPr>
        <w:ind w:left="432" w:firstLine="432"/>
      </w:pPr>
      <w:r>
        <w:t>Upon request and promptly when the engagement ends, Contractor will return Company property and, subject to lawful preservation obligations, permanently delete Company Proprietary Information from Contractor-controlled systems and accounts. Contractor will not delete or alter Company records or evidence subject to a legal hold, will identify inaccessible residual backups, and will provide the certification in Schedule C if requested. Verification must be proportionate and protect unrelated confidential and personal information.</w:t>
      </w:r>
    </w:p>
    <w:p>
      <w:pPr>
        <w:ind w:left="432" w:firstLine="432"/>
      </w:pPr>
      <w:r>
        <w:t>Contractor will provide the transition materials, credentials, repositories, documentation, and knowledge transfer identified in Schedule B. The Company may terminate access at any time. Retention required by law is permitted only for the required period, with continued confidentiality and no use other than legal compliance.</w:t>
      </w:r>
    </w:p>
    <w:p>
      <w:pPr>
        <w:pStyle w:val="Heading1"/>
        <w:ind w:left="0" w:firstLine="0"/>
      </w:pPr>
      <w:r>
        <w:t>13.  Protected Skills; No Implied Restrictive Covenant.</w:t>
      </w:r>
    </w:p>
    <w:p>
      <w:pPr>
        <w:ind w:left="432" w:firstLine="432"/>
      </w:pPr>
      <w:r>
        <w:t>This Agreement does not prohibit lawful competition or use of general skill, knowledge, and experience that does not disclose Company Proprietary Information, infringe Company rights, or breach an independently enforceable covenant. Any noncompetition, nonsolicitation, or exclusivity restriction must appear in a separately reviewed provision that identifies scope, duration, geography or market, consideration, and applicable-law requirements.</w:t>
      </w:r>
    </w:p>
    <w:p>
      <w:pPr>
        <w:pStyle w:val="Heading1"/>
        <w:ind w:left="0" w:firstLine="0"/>
      </w:pPr>
      <w:r>
        <w:t>14.  Remedies.</w:t>
      </w:r>
    </w:p>
    <w:p>
      <w:pPr>
        <w:ind w:left="432" w:firstLine="432"/>
      </w:pPr>
      <w:r>
        <w:t>A breach involving misuse of trade secrets, unauthorized disclosure of Company Proprietary Information, or infringement of intellectual-property rights may cause harm for which money damages are inadequate. Subject to applicable law and the tribunal’s findings, an affected party may seek temporary, preliminary, or permanent equitable relief in addition to other available remedies. This Section does not establish irreparable harm conclusively, waive a required showing or bond, or restrict activity protected by the Section titled “Protected Activity; Trade-Secret Immunity Notice.”</w:t>
      </w:r>
    </w:p>
    <w:p>
      <w:pPr>
        <w:pStyle w:val="Heading1"/>
        <w:ind w:left="0" w:firstLine="0"/>
      </w:pPr>
      <w:r>
        <w:t>15.  General Terms.</w:t>
      </w:r>
    </w:p>
    <w:p>
      <w:pPr>
        <w:ind w:left="864" w:hanging="432"/>
      </w:pPr>
      <w:r>
        <w:rPr>
          <w:b/>
        </w:rPr>
        <w:t xml:space="preserve">(a) Governing Law; Forum. </w:t>
      </w:r>
      <w:r>
        <w:t>This Agreement is governed by the law of [GOVERNING STATE], excluding conflicts rules, except that nonwaivable applicable law controls. Subject to an enforceable arbitration agreement identified here: [NONE / IDENTIFY AGREEMENT], the state and federal courts in [COUNTY, STATE] have exclusive jurisdiction, and each party consents to personal jurisdiction and venue. Either party may seek provisional relief in another court with jurisdiction when reasonably necessary to preserve rights pending merits resolution.</w:t>
      </w:r>
    </w:p>
    <w:p>
      <w:pPr>
        <w:ind w:left="864" w:hanging="432"/>
      </w:pPr>
      <w:r>
        <w:rPr>
          <w:b/>
        </w:rPr>
        <w:t xml:space="preserve">(b) Assignment. </w:t>
      </w:r>
      <w:r>
        <w:t>Contractor may not assign this Agreement or delegate personal obligations without the Company’s written consent. The Company may assign this Agreement with the relevant business or intellectual property to a successor by merger, reorganization, change of control, or sale of substantially all relevant assets if the successor assumes the Company’s obligations. Any other Company assignment requires Contractor’s written consent, not to be unreasonably withheld where substantive rights are not impaired.</w:t>
      </w:r>
    </w:p>
    <w:p>
      <w:pPr>
        <w:ind w:left="864" w:hanging="432"/>
      </w:pPr>
      <w:r>
        <w:rPr>
          <w:b/>
        </w:rPr>
        <w:t xml:space="preserve">(c) Entire Agreement; Order of Precedence. </w:t>
      </w:r>
      <w:r>
        <w:t>This Agreement, its completed schedules, and the identified Statement of Work are the entire agreement on confidentiality and intellectual-property ownership for the Services. If terms conflict, the order of precedence is: [NEGOTIATED AMENDMENT], this Agreement, the applicable Statement of Work, and incorporated policies, unless a signed document expressly states a different priority. A policy may not expand the assignment scope or reduce a protected right.</w:t>
      </w:r>
    </w:p>
    <w:p>
      <w:pPr>
        <w:ind w:left="864" w:hanging="432"/>
      </w:pPr>
      <w:r>
        <w:rPr>
          <w:b/>
        </w:rPr>
        <w:t xml:space="preserve">(d) Amendment; Waiver. </w:t>
      </w:r>
      <w:r>
        <w:t>An amendment or waiver must be in a writing signed by the party against whom it is asserted. Delay or partial exercise is not a waiver.</w:t>
      </w:r>
    </w:p>
    <w:p>
      <w:pPr>
        <w:ind w:left="864" w:hanging="432"/>
      </w:pPr>
      <w:r>
        <w:rPr>
          <w:b/>
        </w:rPr>
        <w:t xml:space="preserve">(e) Severability; Reformation. </w:t>
      </w:r>
      <w:r>
        <w:t>If a provision is unenforceable, it will be enforced to the maximum extent lawful and severed to the minimum extent necessary. A tribunal may reform a provision only where applicable law permits and only to implement stated lawful intent.</w:t>
      </w:r>
    </w:p>
    <w:p>
      <w:pPr>
        <w:ind w:left="864" w:hanging="432"/>
      </w:pPr>
      <w:r>
        <w:rPr>
          <w:b/>
        </w:rPr>
        <w:t xml:space="preserve">(f) Notices. </w:t>
      </w:r>
      <w:r>
        <w:t>Notices must be in writing and delivered personally, by nationally recognized overnight courier, or by email with confirmation of transmission to the addresses below or an updated address given by notice. Legal process must also comply with applicable procedural law.</w:t>
      </w:r>
    </w:p>
    <w:p>
      <w:pPr>
        <w:ind w:left="864" w:hanging="432"/>
      </w:pPr>
      <w:r>
        <w:rPr>
          <w:b/>
        </w:rPr>
        <w:t xml:space="preserve">(g) Counterparts; Electronic Signatures. </w:t>
      </w:r>
      <w:r>
        <w:t>This Agreement may be signed in counterparts. Electronic signatures and electronically transmitted copies have the same effect as originals to the extent permitted by law.</w:t>
      </w:r>
    </w:p>
    <w:p>
      <w:pPr>
        <w:ind w:left="864" w:hanging="432"/>
      </w:pPr>
      <w:r>
        <w:rPr>
          <w:b/>
        </w:rPr>
        <w:t xml:space="preserve">(h) Survival; Construction. </w:t>
      </w:r>
      <w:r>
        <w:t>Provisions that by their nature should survive do survive, including obligations concerning ownership, licenses, confidentiality, protected activity, further assurances, return and deletion, remedies, and general terms, subject to applicable law and limitation periods. Headings are for convenience; “including” is nonexclusive; “or” is inclusive. No presumption against a drafter applies solely because a party or counsel prepared a draft.</w:t>
      </w:r>
    </w:p>
    <w:p>
      <w:pPr>
        <w:pStyle w:val="Heading1"/>
        <w:ind w:left="0" w:firstLine="0"/>
      </w:pPr>
      <w:r>
        <w:t>16.  Acknowledgment.</w:t>
      </w:r>
    </w:p>
    <w:p>
      <w:pPr>
        <w:ind w:left="432" w:firstLine="432"/>
      </w:pPr>
      <w:r>
        <w:t>Contractor acknowledges having read this Agreement and its completed schedules, understanding the obligations, receiving a copy, having a reasonable opportunity to ask questions and consult independent counsel, and signing voluntarily.</w:t>
      </w:r>
    </w:p>
    <w:p>
      <w:r>
        <w:br w:type="page"/>
      </w:r>
    </w:p>
    <w:p>
      <w:pPr>
        <w:pStyle w:val="Heading2"/>
        <w:keepNext/>
      </w:pPr>
      <w:r>
        <w:t>SIGNATURE PAGE</w:t>
      </w:r>
    </w:p>
    <w:p>
      <w:pPr>
        <w:jc w:val="both"/>
      </w:pPr>
      <w:r>
        <w:t>The parties have executed this Agreement as of the Effective Date. Each signatory represents that the signatory has authority to bind the identified party.</w:t>
      </w:r>
    </w:p>
    <w:tbl>
      <w:tblPr>
        <w:tblW w:type="auto" w:w="0"/>
        <w:jc w:val="center"/>
        <w:tblLayout w:type="fixed"/>
        <w:tblLook w:firstColumn="1" w:firstRow="1" w:lastColumn="0" w:lastRow="0" w:noHBand="0" w:noVBand="1" w:val="04A0"/>
      </w:tblPr>
      <w:tblGrid>
        <w:gridCol w:w="4680"/>
        <w:gridCol w:w="4680"/>
      </w:tblGrid>
      <w:tr>
        <w:tc>
          <w:tcPr>
            <w:tcW w:type="dxa" w:w="4536"/>
            <w:tcMar>
              <w:top w:w="110" w:type="dxa"/>
              <w:start w:w="90" w:type="dxa"/>
              <w:bottom w:w="110" w:type="dxa"/>
              <w:end w:w="90" w:type="dxa"/>
            </w:tcMar>
          </w:tcPr>
          <w:p>
            <w:pPr>
              <w:spacing w:after="320"/>
            </w:pPr>
            <w:r>
              <w:rPr>
                <w:b/>
              </w:rPr>
              <w:t>COMPANY</w:t>
            </w:r>
          </w:p>
          <w:p>
            <w:pPr>
              <w:spacing w:after="60"/>
              <w:jc w:val="left"/>
            </w:pPr>
            <w:r>
              <w:t>Legal Name: [LEGAL NAME]</w:t>
            </w:r>
          </w:p>
          <w:p>
            <w:pPr>
              <w:spacing w:after="60"/>
              <w:jc w:val="left"/>
            </w:pPr>
          </w:p>
          <w:p>
            <w:pPr>
              <w:spacing w:after="60"/>
              <w:jc w:val="left"/>
            </w:pPr>
            <w:r>
              <w:t>By / Signature: __________________________</w:t>
            </w:r>
          </w:p>
          <w:p>
            <w:pPr>
              <w:spacing w:after="60"/>
              <w:jc w:val="left"/>
            </w:pPr>
          </w:p>
          <w:p>
            <w:pPr>
              <w:spacing w:after="60"/>
              <w:jc w:val="left"/>
            </w:pPr>
            <w:r>
              <w:t>Name: [NAME]</w:t>
            </w:r>
          </w:p>
          <w:p>
            <w:pPr>
              <w:spacing w:after="60"/>
              <w:jc w:val="left"/>
            </w:pPr>
          </w:p>
          <w:p>
            <w:pPr>
              <w:spacing w:after="60"/>
              <w:jc w:val="left"/>
            </w:pPr>
            <w:r>
              <w:t>Title (if applicable): [TITLE]</w:t>
            </w:r>
          </w:p>
          <w:p>
            <w:pPr>
              <w:spacing w:after="60"/>
              <w:jc w:val="left"/>
            </w:pPr>
          </w:p>
          <w:p>
            <w:pPr>
              <w:spacing w:after="60"/>
              <w:jc w:val="left"/>
            </w:pPr>
            <w:r>
              <w:t>Date: [DATE]</w:t>
            </w:r>
          </w:p>
          <w:p>
            <w:pPr>
              <w:spacing w:after="60"/>
              <w:jc w:val="left"/>
            </w:pPr>
          </w:p>
          <w:p>
            <w:pPr>
              <w:spacing w:after="60"/>
              <w:jc w:val="left"/>
            </w:pPr>
            <w:r>
              <w:t>Notice Address: [ADDRESS]</w:t>
            </w:r>
          </w:p>
          <w:p>
            <w:pPr>
              <w:spacing w:after="60"/>
              <w:jc w:val="left"/>
            </w:pPr>
          </w:p>
          <w:p>
            <w:pPr>
              <w:spacing w:after="60"/>
              <w:jc w:val="left"/>
            </w:pPr>
            <w:r>
              <w:t>Notice Email: [EMAIL]</w:t>
            </w:r>
          </w:p>
        </w:tc>
        <w:tc>
          <w:tcPr>
            <w:tcW w:type="dxa" w:w="4536"/>
            <w:tcMar>
              <w:top w:w="110" w:type="dxa"/>
              <w:start w:w="90" w:type="dxa"/>
              <w:bottom w:w="110" w:type="dxa"/>
              <w:end w:w="90" w:type="dxa"/>
            </w:tcMar>
          </w:tcPr>
          <w:p>
            <w:pPr>
              <w:spacing w:after="320"/>
            </w:pPr>
            <w:r>
              <w:rPr>
                <w:b/>
              </w:rPr>
              <w:t>CONTRACTOR</w:t>
            </w:r>
          </w:p>
          <w:p>
            <w:pPr>
              <w:spacing w:after="60"/>
              <w:jc w:val="left"/>
            </w:pPr>
            <w:r>
              <w:t>Legal Name: [LEGAL NAME]</w:t>
            </w:r>
          </w:p>
          <w:p>
            <w:pPr>
              <w:spacing w:after="60"/>
              <w:jc w:val="left"/>
            </w:pPr>
          </w:p>
          <w:p>
            <w:pPr>
              <w:spacing w:after="60"/>
              <w:jc w:val="left"/>
            </w:pPr>
            <w:r>
              <w:t>By / Signature: __________________________</w:t>
            </w:r>
          </w:p>
          <w:p>
            <w:pPr>
              <w:spacing w:after="60"/>
              <w:jc w:val="left"/>
            </w:pPr>
          </w:p>
          <w:p>
            <w:pPr>
              <w:spacing w:after="60"/>
              <w:jc w:val="left"/>
            </w:pPr>
            <w:r>
              <w:t>Name: [NAME]</w:t>
            </w:r>
          </w:p>
          <w:p>
            <w:pPr>
              <w:spacing w:after="60"/>
              <w:jc w:val="left"/>
            </w:pPr>
          </w:p>
          <w:p>
            <w:pPr>
              <w:spacing w:after="60"/>
              <w:jc w:val="left"/>
            </w:pPr>
            <w:r>
              <w:t>Title (if applicable): [TITLE]</w:t>
            </w:r>
          </w:p>
          <w:p>
            <w:pPr>
              <w:spacing w:after="60"/>
              <w:jc w:val="left"/>
            </w:pPr>
          </w:p>
          <w:p>
            <w:pPr>
              <w:spacing w:after="60"/>
              <w:jc w:val="left"/>
            </w:pPr>
            <w:r>
              <w:t>Date: [DATE]</w:t>
            </w:r>
          </w:p>
          <w:p>
            <w:pPr>
              <w:spacing w:after="60"/>
              <w:jc w:val="left"/>
            </w:pPr>
          </w:p>
          <w:p>
            <w:pPr>
              <w:spacing w:after="60"/>
              <w:jc w:val="left"/>
            </w:pPr>
            <w:r>
              <w:t>Notice Address: [ADDRESS]</w:t>
            </w:r>
          </w:p>
          <w:p>
            <w:pPr>
              <w:spacing w:after="60"/>
              <w:jc w:val="left"/>
            </w:pPr>
          </w:p>
          <w:p>
            <w:pPr>
              <w:spacing w:after="60"/>
              <w:jc w:val="left"/>
            </w:pPr>
            <w:r>
              <w:t>Notice Email: [EMAIL]</w:t>
            </w:r>
          </w:p>
        </w:tc>
      </w:tr>
    </w:tbl>
    <w:p>
      <w:r>
        <w:br w:type="page"/>
      </w:r>
    </w:p>
    <w:p>
      <w:pPr>
        <w:pStyle w:val="Heading2"/>
        <w:keepNext/>
      </w:pPr>
      <w:r>
        <w:t>SCHEDULE A — APPROVED BACKGROUND MATERIAL AND THIRD-PARTY MATERIAL</w:t>
      </w:r>
    </w:p>
    <w:p>
      <w:pPr>
        <w:jc w:val="both"/>
      </w:pPr>
      <w:r>
        <w:t>List every item proposed for incorporation or required to use a Deliverable. “None” means no such material is approved.</w:t>
      </w:r>
    </w:p>
    <w:tbl>
      <w:tblPr>
        <w:tblStyle w:val="TableGrid"/>
        <w:tblW w:type="auto" w:w="0"/>
        <w:jc w:val="center"/>
        <w:tblLayout w:type="autofit"/>
        <w:tblLook w:firstColumn="1" w:firstRow="1" w:lastColumn="0" w:lastRow="0" w:noHBand="0" w:noVBand="1" w:val="04A0"/>
      </w:tblPr>
      <w:tblGrid>
        <w:gridCol w:w="2340"/>
        <w:gridCol w:w="2340"/>
        <w:gridCol w:w="2340"/>
        <w:gridCol w:w="2340"/>
      </w:tblGrid>
      <w:tr>
        <w:trPr>
          <w:tblHeader w:val="true"/>
          <w:cantSplit/>
        </w:trPr>
        <w:tc>
          <w:tcPr>
            <w:tcW w:type="dxa" w:w="2340"/>
            <w:vAlign w:val="center"/>
            <w:shd w:fill="D9E2F3"/>
            <w:tcMar>
              <w:top w:w="70" w:type="dxa"/>
              <w:start w:w="85" w:type="dxa"/>
              <w:bottom w:w="70" w:type="dxa"/>
              <w:end w:w="85" w:type="dxa"/>
            </w:tcMar>
          </w:tcPr>
          <w:p>
            <w:pPr>
              <w:jc w:val="center"/>
            </w:pPr>
            <w:r>
              <w:rPr>
                <w:b/>
                <w:sz w:val="18"/>
              </w:rPr>
              <w:t>Item / Version</w:t>
            </w:r>
          </w:p>
        </w:tc>
        <w:tc>
          <w:tcPr>
            <w:tcW w:type="dxa" w:w="2340"/>
            <w:vAlign w:val="center"/>
            <w:shd w:fill="D9E2F3"/>
            <w:tcMar>
              <w:top w:w="70" w:type="dxa"/>
              <w:start w:w="85" w:type="dxa"/>
              <w:bottom w:w="70" w:type="dxa"/>
              <w:end w:w="85" w:type="dxa"/>
            </w:tcMar>
          </w:tcPr>
          <w:p>
            <w:pPr>
              <w:jc w:val="center"/>
            </w:pPr>
            <w:r>
              <w:rPr>
                <w:b/>
                <w:sz w:val="18"/>
              </w:rPr>
              <w:t>Owner and License</w:t>
            </w:r>
          </w:p>
        </w:tc>
        <w:tc>
          <w:tcPr>
            <w:tcW w:type="dxa" w:w="2340"/>
            <w:vAlign w:val="center"/>
            <w:shd w:fill="D9E2F3"/>
            <w:tcMar>
              <w:top w:w="70" w:type="dxa"/>
              <w:start w:w="85" w:type="dxa"/>
              <w:bottom w:w="70" w:type="dxa"/>
              <w:end w:w="85" w:type="dxa"/>
            </w:tcMar>
          </w:tcPr>
          <w:p>
            <w:pPr>
              <w:jc w:val="center"/>
            </w:pPr>
            <w:r>
              <w:rPr>
                <w:b/>
                <w:sz w:val="18"/>
              </w:rPr>
              <w:t>Restrictions / Dependencies</w:t>
            </w:r>
          </w:p>
        </w:tc>
        <w:tc>
          <w:tcPr>
            <w:tcW w:type="dxa" w:w="2340"/>
            <w:vAlign w:val="center"/>
            <w:shd w:fill="D9E2F3"/>
            <w:tcMar>
              <w:top w:w="70" w:type="dxa"/>
              <w:start w:w="85" w:type="dxa"/>
              <w:bottom w:w="70" w:type="dxa"/>
              <w:end w:w="85" w:type="dxa"/>
            </w:tcMar>
          </w:tcPr>
          <w:p>
            <w:pPr>
              <w:jc w:val="center"/>
            </w:pPr>
            <w:r>
              <w:rPr>
                <w:b/>
                <w:sz w:val="18"/>
              </w:rPr>
              <w:t>Approved Use and Approver</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bl>
    <w:p>
      <w:pPr>
        <w:spacing w:before="160"/>
        <w:jc w:val="left"/>
      </w:pPr>
      <w:r>
        <w:t>[  ] None. No Background Material or third-party material is approved for incorporation.</w:t>
        <w:br/>
        <w:t>[  ] Approved items are listed above or in an attached schedule.</w:t>
      </w:r>
    </w:p>
    <w:p>
      <w:r>
        <w:br w:type="page"/>
      </w:r>
    </w:p>
    <w:p>
      <w:pPr>
        <w:pStyle w:val="Heading2"/>
        <w:keepNext/>
      </w:pPr>
      <w:r>
        <w:t>SCHEDULE B — ENGAGEMENT AND CONTROL MATRIX</w:t>
      </w:r>
    </w:p>
    <w:p>
      <w:pPr>
        <w:jc w:val="both"/>
      </w:pPr>
      <w:r>
        <w:t>Cross-reference the signed services agreement and each applicable Statement of Work. Resolve inconsistencies before signature.</w:t>
      </w:r>
    </w:p>
    <w:p>
      <w:pPr>
        <w:ind w:left="360" w:hanging="360"/>
      </w:pPr>
      <w:r>
        <w:t>Services agreement: [TITLE / DATE]</w:t>
      </w:r>
    </w:p>
    <w:p>
      <w:pPr>
        <w:ind w:left="360" w:hanging="360"/>
      </w:pPr>
      <w:r>
        <w:t>Statement of Work: [TITLE / NUMBER / DATE]</w:t>
      </w:r>
    </w:p>
    <w:p>
      <w:pPr>
        <w:ind w:left="360" w:hanging="360"/>
      </w:pPr>
      <w:r>
        <w:t>Authorized repositories and systems: [LIST]</w:t>
      </w:r>
    </w:p>
    <w:p>
      <w:pPr>
        <w:ind w:left="360" w:hanging="360"/>
      </w:pPr>
      <w:r>
        <w:t>Security/privacy requirements: [ATTACHMENT OR LINK]</w:t>
      </w:r>
    </w:p>
    <w:p>
      <w:pPr>
        <w:ind w:left="360" w:hanging="360"/>
      </w:pPr>
      <w:r>
        <w:t>Deliverables and acceptance criteria: [CROSS-REFERENCE]</w:t>
      </w:r>
    </w:p>
    <w:p>
      <w:pPr>
        <w:ind w:left="360" w:hanging="360"/>
      </w:pPr>
      <w:r>
        <w:t>Transition obligations: [DESCRIPTION]</w:t>
      </w:r>
    </w:p>
    <w:p>
      <w:pPr>
        <w:ind w:left="360" w:hanging="360"/>
      </w:pPr>
      <w:r>
        <w:t>Authorized Company approver: [NAME / ROLE]</w:t>
      </w:r>
    </w:p>
    <w:p>
      <w:pPr>
        <w:ind w:left="360" w:hanging="360"/>
      </w:pPr>
      <w:r>
        <w:t>Governing law / forum alignment confirmed: [YES / NO]</w:t>
      </w:r>
    </w:p>
    <w:p>
      <w:r>
        <w:br w:type="page"/>
      </w:r>
    </w:p>
    <w:p>
      <w:pPr>
        <w:pStyle w:val="Heading2"/>
        <w:keepNext/>
      </w:pPr>
      <w:r>
        <w:t>SCHEDULE C — RETURN, DELETION, AND TRANSITION CERTIFICATE</w:t>
      </w:r>
    </w:p>
    <w:p>
      <w:pPr>
        <w:jc w:val="both"/>
      </w:pPr>
      <w:r>
        <w:t>Complete only when requested at the end of the engagement. Identify any legally retained or inaccessible residual copy.</w:t>
      </w:r>
    </w:p>
    <w:p>
      <w:pPr>
        <w:ind w:left="360" w:hanging="360"/>
      </w:pPr>
      <w:r>
        <w:t>Company property returned: [YES / EXPLAIN]</w:t>
      </w:r>
    </w:p>
    <w:p>
      <w:pPr>
        <w:ind w:left="360" w:hanging="360"/>
      </w:pPr>
      <w:r>
        <w:t>Company information deleted from controlled systems: [YES / EXPLAIN]</w:t>
      </w:r>
    </w:p>
    <w:p>
      <w:pPr>
        <w:ind w:left="360" w:hanging="360"/>
      </w:pPr>
      <w:r>
        <w:t>Residual backup or legally retained copy: [NONE / DESCRIBE, LOCATION, RETENTION BASIS, DELETION DATE]</w:t>
      </w:r>
    </w:p>
    <w:p>
      <w:pPr>
        <w:ind w:left="360" w:hanging="360"/>
      </w:pPr>
      <w:r>
        <w:t>Credentials and access surrendered: [YES / EXPLAIN]</w:t>
      </w:r>
    </w:p>
    <w:p>
      <w:pPr>
        <w:ind w:left="360" w:hanging="360"/>
      </w:pPr>
      <w:r>
        <w:t>Repositories, documentation, and transition materials delivered: [YES / EXPLAIN]</w:t>
      </w:r>
    </w:p>
    <w:p>
      <w:pPr>
        <w:ind w:left="360" w:hanging="360"/>
      </w:pPr>
      <w:r>
        <w:t>Certification date and signature: [DATE / SIGNATURE]</w:t>
      </w:r>
    </w:p>
    <w:p>
      <w:r>
        <w:br w:type="page"/>
      </w:r>
    </w:p>
    <w:p>
      <w:pPr>
        <w:pStyle w:val="Heading2"/>
        <w:keepNext/>
      </w:pPr>
      <w:r>
        <w:t>WEBSITE POSTING README — NOT PART OF THE AGREEMENT</w:t>
      </w:r>
    </w:p>
    <w:tbl>
      <w:tblPr>
        <w:tblStyle w:val="TableGrid"/>
        <w:tblW w:type="auto" w:w="0"/>
        <w:jc w:val="center"/>
        <w:tblLook w:firstColumn="1" w:firstRow="1" w:lastColumn="0" w:lastRow="0" w:noHBand="0" w:noVBand="1" w:val="04A0"/>
      </w:tblPr>
      <w:tblGrid>
        <w:gridCol w:w="9360"/>
      </w:tblGrid>
      <w:tr>
        <w:tc>
          <w:tcPr>
            <w:tcW w:type="dxa" w:w="9360"/>
            <w:shd w:fill="FFF2CC"/>
            <w:tcMar>
              <w:top w:w="100" w:type="dxa"/>
              <w:start w:w="85" w:type="dxa"/>
              <w:bottom w:w="100" w:type="dxa"/>
              <w:end w:w="85" w:type="dxa"/>
            </w:tcMar>
          </w:tcPr>
          <w:p>
            <w:r>
              <w:rPr>
                <w:b/>
                <w:sz w:val="20"/>
              </w:rPr>
              <w:t>REMOVE THIS README, THE PRACTITIONER BANNER, AND ALL INCOMPLETE BRACKETS BEFORE SIGNATURE.</w:t>
            </w:r>
          </w:p>
        </w:tc>
      </w:tr>
    </w:tbl>
    <w:p>
      <w:pPr>
        <w:ind w:left="432" w:hanging="432"/>
      </w:pPr>
      <w:r>
        <w:rPr>
          <w:b/>
        </w:rPr>
        <w:t xml:space="preserve">Document status: </w:t>
      </w:r>
      <w:r>
        <w:t>PIIA-IC; version 1.0.0; practitioner master; prepared 2026-09-02. This is a generic educational and drafting-reference resource, not an execution-ready agreement.</w:t>
      </w:r>
    </w:p>
    <w:p>
      <w:pPr>
        <w:ind w:left="432" w:hanging="432"/>
      </w:pPr>
      <w:r>
        <w:rPr>
          <w:b/>
        </w:rPr>
        <w:t xml:space="preserve">Intended use: </w:t>
      </w:r>
      <w:r>
        <w:t>Use as a starting point when an individual independent contractor will create deliverables or access confidential information and the commercial services agreement does not already provide a complete IP and confidentiality regime.</w:t>
      </w:r>
    </w:p>
    <w:p>
      <w:pPr>
        <w:ind w:left="432" w:hanging="432"/>
      </w:pPr>
      <w:r>
        <w:rPr>
          <w:b/>
        </w:rPr>
        <w:t xml:space="preserve">Do not use when: </w:t>
      </w:r>
      <w:r>
        <w:t>Do not use to paper over employee-like facts, and do not treat the form as a classification opinion, services agreement, data-processing addendum, business associate agreement, export-control plan, or industry-specific security schedule.</w:t>
      </w:r>
    </w:p>
    <w:p>
      <w:pPr>
        <w:ind w:left="432" w:hanging="432"/>
      </w:pPr>
      <w:r>
        <w:rPr>
          <w:b/>
        </w:rPr>
        <w:t xml:space="preserve">Confidentiality statement: </w:t>
      </w:r>
      <w:r>
        <w:t>This public master was rebuilt as a clean document. It uses generic placeholders only and contains no source-document client name, matter name, signer name, source path, source filename, comments, revision history, tracked changes, or client-specific facts.</w:t>
      </w:r>
    </w:p>
    <w:p>
      <w:pPr>
        <w:ind w:left="432" w:hanging="432"/>
      </w:pPr>
      <w:r>
        <w:rPr>
          <w:b/>
        </w:rPr>
        <w:t xml:space="preserve">Current-law gate: </w:t>
      </w:r>
      <w:r>
        <w:t>Before each use, confirm the law governing trade-secret notices, invention-assignment limits, worker classification, protected activity, electronic signatures, privacy and monitoring, restrictive covenants, dispute resolution, and any industry-specific data or security obligation. Do not rely on the preparation date as a current-law confirmation.</w:t>
      </w:r>
    </w:p>
    <w:p>
      <w:pPr>
        <w:ind w:left="432" w:hanging="432"/>
      </w:pPr>
      <w:r>
        <w:rPr>
          <w:b/>
        </w:rPr>
        <w:t xml:space="preserve">Website posting note: </w:t>
      </w:r>
      <w:r>
        <w:t>Post the companion HTML file as the public-facing version. Keep the educational disclaimer at the top, preserve the bracket placeholders, and retain this posting README at the bottom of the public version. Do not publish a completed client copy.</w:t>
      </w:r>
    </w:p>
    <w:p>
      <w:r>
        <w:rPr>
          <w:b/>
        </w:rPr>
        <w:t>Customization checklist</w:t>
      </w:r>
    </w:p>
    <w:p>
      <w:pPr>
        <w:ind w:left="504" w:hanging="360"/>
      </w:pPr>
      <w:r>
        <w:t>☐ Align defined Services, Deliverables, acceptance criteria, repositories, security requirements, and transition duties with the signed Statement of Work.</w:t>
      </w:r>
    </w:p>
    <w:p>
      <w:pPr>
        <w:ind w:left="504" w:hanging="360"/>
      </w:pPr>
      <w:r>
        <w:t>☐ Inventory all background tools, open-source components, datasets, models, and third-party license restrictions before approval.</w:t>
      </w:r>
    </w:p>
    <w:p>
      <w:pPr>
        <w:ind w:left="504" w:hanging="360"/>
      </w:pPr>
      <w:r>
        <w:t>☐ Confirm whether any commissioned work fits a statutory work-made-for-hire category; preserve the assignment fallback regardless.</w:t>
      </w:r>
    </w:p>
    <w:p>
      <w:pPr>
        <w:ind w:left="504" w:hanging="360"/>
      </w:pPr>
      <w:r>
        <w:t>☐ Review worker-classification, tax, insurance, privacy, export, and local invention-assignment law using the actual facts.</w:t>
      </w:r>
    </w:p>
    <w:p>
      <w:pPr>
        <w:ind w:left="504" w:hanging="360"/>
      </w:pPr>
      <w:r>
        <w:t>☐ Delete this non-operative posting README and the practitioner banner before execution.</w:t>
      </w:r>
    </w:p>
    <w:p>
      <w:pPr>
        <w:spacing w:before="160"/>
      </w:pPr>
      <w:r>
        <w:rPr>
          <w:b/>
        </w:rPr>
        <w:t xml:space="preserve">Public-use disclaimer: </w:t>
      </w:r>
      <w:r>
        <w:t>This practitioner master is provided for educational and drafting-reference purposes. It is not legal advice, is not matter-cleared, and must be completed and reviewed for the parties, services, work location, governing law, and current law before use.</w:t>
      </w:r>
    </w:p>
    <w:sectPr w:rsidR="00FC693F" w:rsidRPr="0006063C" w:rsidSect="00034616">
      <w:headerReference w:type="default" r:id="rId9"/>
      <w:footerReference w:type="default" r:id="rId10"/>
      <w:pgSz w:w="12240" w:h="15840"/>
      <w:pgMar w:top="1008" w:right="1440" w:bottom="936"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5A5A5A"/>
        <w:sz w:val="16"/>
      </w:rPr>
      <w:t xml:space="preserve">DRAFTING REFERENCE — COMPLETE AND REVIEW BEFORE USE   |   Page </w:t>
    </w:r>
    <w:r>
      <w:fldChar w:fldCharType="begin"/>
      <w:instrText xml:space="preserve">PAGE</w:instrText>
      <w:fldChar w:fldCharType="end"/>
    </w:r>
    <w:r>
      <w:rPr>
        <w:rFonts w:ascii="Times New Roman" w:hAnsi="Times New Roman"/>
        <w:sz w:val="16"/>
      </w:rP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color w:val="505050"/>
        <w:sz w:val="16"/>
      </w:rPr>
      <w:t>PIIA-IC  |  PRACTITIONER MASTER  |  v1.0.0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jc w:val="both"/>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200"/>
      <w:jc w:val="center"/>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jc w:val="center"/>
    </w:pPr>
    <w:rPr>
      <w:rFonts w:asciiTheme="majorHAnsi" w:eastAsiaTheme="majorEastAsia" w:hAnsiTheme="majorHAnsi" w:cstheme="majorBidi" w:ascii="Times New Roman" w:hAnsi="Times New Roman" w:eastAsia="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Contractor Confidentiality And Intellectual Property Assignment Agreement</dc:title>
  <dc:subject>Generic entrepreneur legal drafting practitioner master</dc:subject>
  <dc:creator>Montague Law</dc:creator>
  <cp:keywords>practitioner master; confidentiality; inventions assignment; entrepreneur forms</cp:keywords>
  <dc:description>Generic public form; contains no client or matter-specific information.</dc:description>
  <cp:lastModifiedBy>Montague Law</cp:lastModifiedBy>
  <cp:revision>1</cp:revision>
  <dcterms:created xsi:type="dcterms:W3CDTF">2013-12-23T23:15:00Z</dcterms:created>
  <dcterms:modified xsi:type="dcterms:W3CDTF">2013-12-23T23:15:00Z</dcterms:modified>
  <cp:category>Public Practitioner Master</cp:category>
</cp:coreProperties>
</file>