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Board and Stockholder Approval Package</w:t>
      </w:r>
    </w:p>
    <w:p>
      <w:pPr>
        <w:widowControl/>
        <w:spacing w:after="240"/>
        <w:jc w:val="center"/>
      </w:pPr>
      <w:r>
        <w:rPr>
          <w:rFonts w:ascii="Times New Roman" w:hAnsi="Times New Roman"/>
          <w:b/>
          <w:sz w:val="20"/>
        </w:rPr>
        <w:t>FMA-019  |  VERSION 1.0.0  |  7 SEPTEMBER 2026</w:t>
      </w:r>
    </w:p>
    <w:p>
      <w:pPr>
        <w:pStyle w:val="PractitionerBanner"/>
        <w:widowControl/>
        <w:shd w:fill="F2F2F2"/>
      </w:pPr>
      <w:r>
        <w:rPr>
          <w:b/>
        </w:rPr>
        <w:t>Practitioner master — select only the modules required by current law, governing documents, capital structure, conflicts, and transaction form.</w:t>
      </w:r>
      <w:r>
        <w:t xml:space="preserve"> Form FMA-019; version 1.0.0; prepared 2026-09-07. This original package is not matter-cleared or execution-ready.</w:t>
      </w:r>
    </w:p>
    <w:p>
      <w:pPr>
        <w:pStyle w:val="Heading2"/>
        <w:widowControl/>
        <w:ind w:left="0" w:firstLine="0"/>
        <w:jc w:val="center"/>
      </w:pPr>
      <w:r>
        <w:rPr>
          <w:rFonts w:ascii="Times New Roman" w:hAnsi="Times New Roman"/>
          <w:b/>
          <w:sz w:val="24"/>
          <w:u w:val="none"/>
        </w:rPr>
        <w:t>Matter Completion Sheet — Not Part of the Approvals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Company and Buyer jurisdictions, entity types, current charter and bylaws, board and committee composition, quorum, voting power, class and series rights, record date, and consent mechanics.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transaction structure, acquisition agreement and material ancillary agreements, merger or asset-sale statute, appraisal rights, filing, and required board and holder approvals.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Build a conflict and process record covering founder, controller, director, officer, investor, rollover, employment, retention, release, indemnity, and side arrangements.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Determine whether a committee, disinterested approval, independent advice, fairness opinion, valuation record, stockholder disclosure, or separate vote is required or advisable.</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Sections 280G and 409A, equity-plan, option and warrant, securities, antitrust, CFIUS, Tax, employment, benefits, IP, privacy, and industry specialist gates.</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meeting minutes or unanimous written consent for each body; do not use a written consent if governing law or documents require a meeting or nonunanimous process.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approval language to final agreement versions, Disclosure Schedules, consideration, financing, ancillary agreements, closing conditions, signature authority, and filing sequence.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Release only after current-law, fiduciary-process, disclosure, notice, appraisal, bracket, signature, and certified-record review.</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CORPORATE APPROVAL PACKAGE</w:t>
      </w:r>
    </w:p>
    <w:p>
      <w:pPr>
        <w:pStyle w:val="Heading2"/>
        <w:widowControl/>
        <w:ind w:left="0" w:firstLine="0"/>
      </w:pPr>
      <w:r>
        <w:rPr>
          <w:rFonts w:ascii="Times New Roman" w:hAnsi="Times New Roman"/>
          <w:b/>
          <w:sz w:val="22"/>
          <w:u w:val="single"/>
        </w:rPr>
        <w:t>1. Selection and Use Instructions</w:t>
      </w:r>
    </w:p>
    <w:p>
      <w:pPr>
        <w:keepLines w:val="0"/>
        <w:widowControl/>
        <w:ind w:firstLine="720"/>
        <w:jc w:val="both"/>
      </w:pPr>
      <w:r>
        <w:t>This package contains modular forms for: Company board written consent; Company board meeting minutes; special-committee approval; Company stockholder written consent; Buyer board or manager consent; Section 280G approval process; and secretary certification. Counsel must select, conform, and separate the needed instruments. Do not circulate this package as one signature document.</w:t>
      </w:r>
    </w:p>
    <w:p>
      <w:pPr>
        <w:widowControl/>
        <w:ind w:firstLine="720"/>
        <w:jc w:val="both"/>
      </w:pPr>
      <w:r>
        <w:t>For a Delaware corporation, counsel should review current DGCL Sections 141, 144, 218, 228, 251, 262, and 271 as applicable, together with the charter, bylaws, stockholder agreements, and transaction facts. Other jurisdictions require their own analysis. The package does not establish that a transaction is fair, cleanse a conflict, satisfy fiduciary duties, or provide adequate holder disclosure.</w:t>
      </w:r>
    </w:p>
    <w:p>
      <w:pPr>
        <w:pStyle w:val="Heading2"/>
        <w:widowControl/>
        <w:ind w:left="0" w:firstLine="0"/>
      </w:pPr>
      <w:r>
        <w:rPr>
          <w:rFonts w:ascii="Times New Roman" w:hAnsi="Times New Roman"/>
          <w:b/>
          <w:sz w:val="22"/>
          <w:u w:val="single"/>
        </w:rPr>
        <w:t>2. Approval and Process Matrix</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Body or constituency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Legal and governing source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Required action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Threshold quorum and vote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Interested or excluded votes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Meeting or consent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Notice or disclosure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Company board</w:t>
            </w:r>
          </w:p>
        </w:tc>
        <w:tc>
          <w:tcPr>
            <w:tcW w:type="dxa" w:w="1170"/>
            <w:vAlign w:val="center"/>
            <w:tcMar>
              <w:top w:w="55" w:type="dxa"/>
              <w:start w:w="70" w:type="dxa"/>
              <w:bottom w:w="55" w:type="dxa"/>
              <w:end w:w="70" w:type="dxa"/>
            </w:tcMar>
          </w:tcPr>
          <w:p>
            <w:pPr>
              <w:spacing w:after="0"/>
            </w:pPr>
            <w:r>
              <w:rPr>
                <w:rFonts w:ascii="Times New Roman" w:hAnsi="Times New Roman"/>
                <w:sz w:val="18"/>
              </w:rPr>
              <w:t>[LAW / CHARTER / BYLAWS]</w:t>
            </w:r>
          </w:p>
        </w:tc>
        <w:tc>
          <w:tcPr>
            <w:tcW w:type="dxa" w:w="1170"/>
            <w:vAlign w:val="center"/>
            <w:tcMar>
              <w:top w:w="55" w:type="dxa"/>
              <w:start w:w="70" w:type="dxa"/>
              <w:bottom w:w="55" w:type="dxa"/>
              <w:end w:w="70" w:type="dxa"/>
            </w:tcMar>
          </w:tcPr>
          <w:p>
            <w:pPr>
              <w:spacing w:after="0"/>
            </w:pPr>
            <w:r>
              <w:rPr>
                <w:rFonts w:ascii="Times New Roman" w:hAnsi="Times New Roman"/>
                <w:sz w:val="18"/>
              </w:rPr>
              <w:t>[APPROVE AGREEMENT / RECOMMEND]</w:t>
            </w:r>
          </w:p>
        </w:tc>
        <w:tc>
          <w:tcPr>
            <w:tcW w:type="dxa" w:w="1170"/>
            <w:vAlign w:val="center"/>
            <w:tcMar>
              <w:top w:w="55" w:type="dxa"/>
              <w:start w:w="70" w:type="dxa"/>
              <w:bottom w:w="55" w:type="dxa"/>
              <w:end w:w="70" w:type="dxa"/>
            </w:tcMar>
          </w:tcPr>
          <w:p>
            <w:pPr>
              <w:spacing w:after="0"/>
            </w:pPr>
            <w:r>
              <w:rPr>
                <w:rFonts w:ascii="Times New Roman" w:hAnsi="Times New Roman"/>
                <w:sz w:val="18"/>
              </w:rPr>
              <w:t>[THRESHOLD]</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[METHOD]</w:t>
            </w:r>
          </w:p>
        </w:tc>
        <w:tc>
          <w:tcPr>
            <w:tcW w:type="dxa" w:w="1170"/>
            <w:vAlign w:val="center"/>
            <w:tcMar>
              <w:top w:w="55" w:type="dxa"/>
              <w:start w:w="70" w:type="dxa"/>
              <w:bottom w:w="55" w:type="dxa"/>
              <w:end w:w="70" w:type="dxa"/>
            </w:tcMar>
          </w:tcPr>
          <w:p>
            <w:pPr>
              <w:spacing w:after="0"/>
            </w:pPr>
            <w:r>
              <w:rPr>
                <w:rFonts w:ascii="Times New Roman" w:hAnsi="Times New Roman"/>
                <w:sz w:val="18"/>
              </w:rPr>
              <w:t>[MATERIALS]</w:t>
            </w:r>
          </w:p>
        </w:tc>
        <w:tc>
          <w:tcPr>
            <w:tcW w:type="dxa" w:w="1170"/>
            <w:vAlign w:val="center"/>
            <w:tcMar>
              <w:top w:w="55" w:type="dxa"/>
              <w:start w:w="70" w:type="dxa"/>
              <w:bottom w:w="55" w:type="dxa"/>
              <w:end w:w="70" w:type="dxa"/>
            </w:tcMar>
          </w:tcPr>
          <w:p>
            <w:pPr>
              <w:spacing w:after="0"/>
            </w:pPr>
            <w:r>
              <w:rPr>
                <w:rFonts w:ascii="Times New Roman" w:hAnsi="Times New Roman"/>
                <w:sz w:val="18"/>
              </w:rPr>
              <w:t>[MINUTES / CONSENT]</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Board committee</w:t>
            </w:r>
          </w:p>
        </w:tc>
        <w:tc>
          <w:tcPr>
            <w:tcW w:type="dxa" w:w="1170"/>
            <w:vAlign w:val="center"/>
            <w:tcMar>
              <w:top w:w="55" w:type="dxa"/>
              <w:start w:w="70" w:type="dxa"/>
              <w:bottom w:w="55" w:type="dxa"/>
              <w:end w:w="70" w:type="dxa"/>
            </w:tcMar>
          </w:tcPr>
          <w:p>
            <w:pPr>
              <w:spacing w:after="0"/>
            </w:pPr>
            <w:r>
              <w:rPr>
                <w:rFonts w:ascii="Times New Roman" w:hAnsi="Times New Roman"/>
                <w:sz w:val="18"/>
              </w:rPr>
              <w:t>[DELEGATION / LAW]</w:t>
            </w:r>
          </w:p>
        </w:tc>
        <w:tc>
          <w:tcPr>
            <w:tcW w:type="dxa" w:w="1170"/>
            <w:vAlign w:val="center"/>
            <w:tcMar>
              <w:top w:w="55" w:type="dxa"/>
              <w:start w:w="70" w:type="dxa"/>
              <w:bottom w:w="55" w:type="dxa"/>
              <w:end w:w="70" w:type="dxa"/>
            </w:tcMar>
          </w:tcPr>
          <w:p>
            <w:pPr>
              <w:spacing w:after="0"/>
            </w:pPr>
            <w:r>
              <w:rPr>
                <w:rFonts w:ascii="Times New Roman" w:hAnsi="Times New Roman"/>
                <w:sz w:val="18"/>
              </w:rPr>
              <w:t>[NEGOTIATE / RECOMMEND / APPROVE]</w:t>
            </w:r>
          </w:p>
        </w:tc>
        <w:tc>
          <w:tcPr>
            <w:tcW w:type="dxa" w:w="1170"/>
            <w:vAlign w:val="center"/>
            <w:tcMar>
              <w:top w:w="55" w:type="dxa"/>
              <w:start w:w="70" w:type="dxa"/>
              <w:bottom w:w="55" w:type="dxa"/>
              <w:end w:w="70" w:type="dxa"/>
            </w:tcMar>
          </w:tcPr>
          <w:p>
            <w:pPr>
              <w:spacing w:after="0"/>
            </w:pPr>
            <w:r>
              <w:rPr>
                <w:rFonts w:ascii="Times New Roman" w:hAnsi="Times New Roman"/>
                <w:sz w:val="18"/>
              </w:rPr>
              <w:t>[THRESHOLD]</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[METHOD]</w:t>
            </w:r>
          </w:p>
        </w:tc>
        <w:tc>
          <w:tcPr>
            <w:tcW w:type="dxa" w:w="1170"/>
            <w:vAlign w:val="center"/>
            <w:tcMar>
              <w:top w:w="55" w:type="dxa"/>
              <w:start w:w="70" w:type="dxa"/>
              <w:bottom w:w="55" w:type="dxa"/>
              <w:end w:w="70" w:type="dxa"/>
            </w:tcMar>
          </w:tcPr>
          <w:p>
            <w:pPr>
              <w:spacing w:after="0"/>
            </w:pPr>
            <w:r>
              <w:rPr>
                <w:rFonts w:ascii="Times New Roman" w:hAnsi="Times New Roman"/>
                <w:sz w:val="18"/>
              </w:rPr>
              <w:t>[MATERIALS]</w:t>
            </w:r>
          </w:p>
        </w:tc>
        <w:tc>
          <w:tcPr>
            <w:tcW w:type="dxa" w:w="1170"/>
            <w:vAlign w:val="center"/>
            <w:tcMar>
              <w:top w:w="55" w:type="dxa"/>
              <w:start w:w="70" w:type="dxa"/>
              <w:bottom w:w="55" w:type="dxa"/>
              <w:end w:w="70" w:type="dxa"/>
            </w:tcMar>
          </w:tcPr>
          <w:p>
            <w:pPr>
              <w:spacing w:after="0"/>
            </w:pPr>
            <w:r>
              <w:rPr>
                <w:rFonts w:ascii="Times New Roman" w:hAnsi="Times New Roman"/>
                <w:sz w:val="18"/>
              </w:rPr>
              <w:t>[MINUTES / CONSENT]</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Common holders</w:t>
            </w:r>
          </w:p>
        </w:tc>
        <w:tc>
          <w:tcPr>
            <w:tcW w:type="dxa" w:w="1170"/>
            <w:vAlign w:val="center"/>
            <w:tcMar>
              <w:top w:w="55" w:type="dxa"/>
              <w:start w:w="70" w:type="dxa"/>
              <w:bottom w:w="55" w:type="dxa"/>
              <w:end w:w="70" w:type="dxa"/>
            </w:tcMar>
          </w:tcPr>
          <w:p>
            <w:pPr>
              <w:spacing w:after="0"/>
            </w:pPr>
            <w:r>
              <w:rPr>
                <w:rFonts w:ascii="Times New Roman" w:hAnsi="Times New Roman"/>
                <w:sz w:val="18"/>
              </w:rPr>
              <w:t>[LAW / CHARTER]</w:t>
            </w:r>
          </w:p>
        </w:tc>
        <w:tc>
          <w:tcPr>
            <w:tcW w:type="dxa" w:w="1170"/>
            <w:vAlign w:val="center"/>
            <w:tcMar>
              <w:top w:w="55" w:type="dxa"/>
              <w:start w:w="70" w:type="dxa"/>
              <w:bottom w:w="55" w:type="dxa"/>
              <w:end w:w="70" w:type="dxa"/>
            </w:tcMar>
          </w:tcPr>
          <w:p>
            <w:pPr>
              <w:spacing w:after="0"/>
            </w:pPr>
            <w:r>
              <w:rPr>
                <w:rFonts w:ascii="Times New Roman" w:hAnsi="Times New Roman"/>
                <w:sz w:val="18"/>
              </w:rPr>
              <w:t>[ADOPT / APPROVE]</w:t>
            </w:r>
          </w:p>
        </w:tc>
        <w:tc>
          <w:tcPr>
            <w:tcW w:type="dxa" w:w="1170"/>
            <w:vAlign w:val="center"/>
            <w:tcMar>
              <w:top w:w="55" w:type="dxa"/>
              <w:start w:w="70" w:type="dxa"/>
              <w:bottom w:w="55" w:type="dxa"/>
              <w:end w:w="70" w:type="dxa"/>
            </w:tcMar>
          </w:tcPr>
          <w:p>
            <w:pPr>
              <w:spacing w:after="0"/>
            </w:pPr>
            <w:r>
              <w:rPr>
                <w:rFonts w:ascii="Times New Roman" w:hAnsi="Times New Roman"/>
                <w:sz w:val="18"/>
              </w:rPr>
              <w:t>[THRESHOLD]</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[METHOD]</w:t>
            </w:r>
          </w:p>
        </w:tc>
        <w:tc>
          <w:tcPr>
            <w:tcW w:type="dxa" w:w="1170"/>
            <w:vAlign w:val="center"/>
            <w:tcMar>
              <w:top w:w="55" w:type="dxa"/>
              <w:start w:w="70" w:type="dxa"/>
              <w:bottom w:w="55" w:type="dxa"/>
              <w:end w:w="70" w:type="dxa"/>
            </w:tcMar>
          </w:tcPr>
          <w:p>
            <w:pPr>
              <w:spacing w:after="0"/>
            </w:pPr>
            <w:r>
              <w:rPr>
                <w:rFonts w:ascii="Times New Roman" w:hAnsi="Times New Roman"/>
                <w:sz w:val="18"/>
              </w:rPr>
              <w:t>[NOTICE / STATEMENT]</w:t>
            </w:r>
          </w:p>
        </w:tc>
        <w:tc>
          <w:tcPr>
            <w:tcW w:type="dxa" w:w="1170"/>
            <w:vAlign w:val="center"/>
            <w:tcMar>
              <w:top w:w="55" w:type="dxa"/>
              <w:start w:w="70" w:type="dxa"/>
              <w:bottom w:w="55" w:type="dxa"/>
              <w:end w:w="70" w:type="dxa"/>
            </w:tcMar>
          </w:tcPr>
          <w:p>
            <w:pPr>
              <w:spacing w:after="0"/>
            </w:pPr>
            <w:r>
              <w:rPr>
                <w:rFonts w:ascii="Times New Roman" w:hAnsi="Times New Roman"/>
                <w:sz w:val="18"/>
              </w:rPr>
              <w:t>[CONSENT / VOTE]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Preferred class or series</w:t>
            </w:r>
          </w:p>
        </w:tc>
        <w:tc>
          <w:tcPr>
            <w:tcW w:type="dxa" w:w="1170"/>
            <w:vAlign w:val="center"/>
            <w:tcMar>
              <w:top w:w="55" w:type="dxa"/>
              <w:start w:w="70" w:type="dxa"/>
              <w:bottom w:w="55" w:type="dxa"/>
              <w:end w:w="70" w:type="dxa"/>
            </w:tcMar>
          </w:tcPr>
          <w:p>
            <w:pPr>
              <w:spacing w:after="0"/>
            </w:pPr>
            <w:r>
              <w:rPr>
                <w:rFonts w:ascii="Times New Roman" w:hAnsi="Times New Roman"/>
                <w:sz w:val="18"/>
              </w:rPr>
              <w:t>[CHARTER / AGREEMENT]</w:t>
            </w:r>
          </w:p>
        </w:tc>
        <w:tc>
          <w:tcPr>
            <w:tcW w:type="dxa" w:w="1170"/>
            <w:vAlign w:val="center"/>
            <w:tcMar>
              <w:top w:w="55" w:type="dxa"/>
              <w:start w:w="70" w:type="dxa"/>
              <w:bottom w:w="55" w:type="dxa"/>
              <w:end w:w="70" w:type="dxa"/>
            </w:tcMar>
          </w:tcPr>
          <w:p>
            <w:pPr>
              <w:spacing w:after="0"/>
            </w:pPr>
            <w:r>
              <w:rPr>
                <w:rFonts w:ascii="Times New Roman" w:hAnsi="Times New Roman"/>
                <w:sz w:val="18"/>
              </w:rPr>
              <w:t>[SEPARATE APPROVAL / WAIVER]</w:t>
            </w:r>
          </w:p>
        </w:tc>
        <w:tc>
          <w:tcPr>
            <w:tcW w:type="dxa" w:w="1170"/>
            <w:vAlign w:val="center"/>
            <w:tcMar>
              <w:top w:w="55" w:type="dxa"/>
              <w:start w:w="70" w:type="dxa"/>
              <w:bottom w:w="55" w:type="dxa"/>
              <w:end w:w="70" w:type="dxa"/>
            </w:tcMar>
          </w:tcPr>
          <w:p>
            <w:pPr>
              <w:spacing w:after="0"/>
            </w:pPr>
            <w:r>
              <w:rPr>
                <w:rFonts w:ascii="Times New Roman" w:hAnsi="Times New Roman"/>
                <w:sz w:val="18"/>
              </w:rPr>
              <w:t>[THRESHOLD]</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[METHOD]</w:t>
            </w:r>
          </w:p>
        </w:tc>
        <w:tc>
          <w:tcPr>
            <w:tcW w:type="dxa" w:w="1170"/>
            <w:vAlign w:val="center"/>
            <w:tcMar>
              <w:top w:w="55" w:type="dxa"/>
              <w:start w:w="70" w:type="dxa"/>
              <w:bottom w:w="55" w:type="dxa"/>
              <w:end w:w="70" w:type="dxa"/>
            </w:tcMar>
          </w:tcPr>
          <w:p>
            <w:pPr>
              <w:spacing w:after="0"/>
            </w:pPr>
            <w:r>
              <w:rPr>
                <w:rFonts w:ascii="Times New Roman" w:hAnsi="Times New Roman"/>
                <w:sz w:val="18"/>
              </w:rPr>
              <w:t>[MATERIALS]</w:t>
            </w:r>
          </w:p>
        </w:tc>
        <w:tc>
          <w:tcPr>
            <w:tcW w:type="dxa" w:w="1170"/>
            <w:vAlign w:val="center"/>
            <w:tcMar>
              <w:top w:w="55" w:type="dxa"/>
              <w:start w:w="70" w:type="dxa"/>
              <w:bottom w:w="55" w:type="dxa"/>
              <w:end w:w="70" w:type="dxa"/>
            </w:tcMar>
          </w:tcPr>
          <w:p>
            <w:pPr>
              <w:spacing w:after="0"/>
            </w:pPr>
            <w:r>
              <w:rPr>
                <w:rFonts w:ascii="Times New Roman" w:hAnsi="Times New Roman"/>
                <w:sz w:val="18"/>
              </w:rPr>
              <w:t>[CONSENT]</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Buyer board or manager</w:t>
            </w:r>
          </w:p>
        </w:tc>
        <w:tc>
          <w:tcPr>
            <w:tcW w:type="dxa" w:w="1170"/>
            <w:vAlign w:val="center"/>
            <w:tcMar>
              <w:top w:w="55" w:type="dxa"/>
              <w:start w:w="70" w:type="dxa"/>
              <w:bottom w:w="55" w:type="dxa"/>
              <w:end w:w="70" w:type="dxa"/>
            </w:tcMar>
          </w:tcPr>
          <w:p>
            <w:pPr>
              <w:spacing w:after="0"/>
            </w:pPr>
            <w:r>
              <w:rPr>
                <w:rFonts w:ascii="Times New Roman" w:hAnsi="Times New Roman"/>
                <w:sz w:val="18"/>
              </w:rPr>
              <w:t>[LAW / GOVERNING DOC]</w:t>
            </w:r>
          </w:p>
        </w:tc>
        <w:tc>
          <w:tcPr>
            <w:tcW w:type="dxa" w:w="1170"/>
            <w:vAlign w:val="center"/>
            <w:tcMar>
              <w:top w:w="55" w:type="dxa"/>
              <w:start w:w="70" w:type="dxa"/>
              <w:bottom w:w="55" w:type="dxa"/>
              <w:end w:w="70" w:type="dxa"/>
            </w:tcMar>
          </w:tcPr>
          <w:p>
            <w:pPr>
              <w:spacing w:after="0"/>
            </w:pPr>
            <w:r>
              <w:rPr>
                <w:rFonts w:ascii="Times New Roman" w:hAnsi="Times New Roman"/>
                <w:sz w:val="18"/>
              </w:rPr>
              <w:t>[APPROVE PURCHASE / FINANCING / ISSUANCE]</w:t>
            </w:r>
          </w:p>
        </w:tc>
        <w:tc>
          <w:tcPr>
            <w:tcW w:type="dxa" w:w="1170"/>
            <w:vAlign w:val="center"/>
            <w:tcMar>
              <w:top w:w="55" w:type="dxa"/>
              <w:start w:w="70" w:type="dxa"/>
              <w:bottom w:w="55" w:type="dxa"/>
              <w:end w:w="70" w:type="dxa"/>
            </w:tcMar>
          </w:tcPr>
          <w:p>
            <w:pPr>
              <w:spacing w:after="0"/>
            </w:pPr>
            <w:r>
              <w:rPr>
                <w:rFonts w:ascii="Times New Roman" w:hAnsi="Times New Roman"/>
                <w:sz w:val="18"/>
              </w:rPr>
              <w:t>[THRESHOLD]</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[METHOD]</w:t>
            </w:r>
          </w:p>
        </w:tc>
        <w:tc>
          <w:tcPr>
            <w:tcW w:type="dxa" w:w="1170"/>
            <w:vAlign w:val="center"/>
            <w:tcMar>
              <w:top w:w="55" w:type="dxa"/>
              <w:start w:w="70" w:type="dxa"/>
              <w:bottom w:w="55" w:type="dxa"/>
              <w:end w:w="70" w:type="dxa"/>
            </w:tcMar>
          </w:tcPr>
          <w:p>
            <w:pPr>
              <w:spacing w:after="0"/>
            </w:pPr>
            <w:r>
              <w:rPr>
                <w:rFonts w:ascii="Times New Roman" w:hAnsi="Times New Roman"/>
                <w:sz w:val="18"/>
              </w:rPr>
              <w:t>[MATERIALS]</w:t>
            </w:r>
          </w:p>
        </w:tc>
        <w:tc>
          <w:tcPr>
            <w:tcW w:type="dxa" w:w="1170"/>
            <w:vAlign w:val="center"/>
            <w:tcMar>
              <w:top w:w="55" w:type="dxa"/>
              <w:start w:w="70" w:type="dxa"/>
              <w:bottom w:w="55" w:type="dxa"/>
              <w:end w:w="70" w:type="dxa"/>
            </w:tcMar>
          </w:tcPr>
          <w:p>
            <w:pPr>
              <w:spacing w:after="0"/>
            </w:pPr>
            <w:r>
              <w:rPr>
                <w:rFonts w:ascii="Times New Roman" w:hAnsi="Times New Roman"/>
                <w:sz w:val="18"/>
              </w:rPr>
              <w:t>[MINUTES / CONSENT]</w:t>
            </w:r>
          </w:p>
        </w:tc>
      </w:tr>
    </w:tbl>
    <w:p>
      <w:pPr>
        <w:widowControl/>
        <w:spacing w:after="20"/>
      </w:pPr>
    </w:p>
    <w:p>
      <w:pPr>
        <w:pStyle w:val="Heading2"/>
        <w:widowControl/>
        <w:ind w:left="0" w:firstLine="0"/>
      </w:pPr>
      <w:r>
        <w:rPr>
          <w:rFonts w:ascii="Times New Roman" w:hAnsi="Times New Roman"/>
          <w:b/>
          <w:sz w:val="22"/>
          <w:u w:val="single"/>
        </w:rPr>
        <w:t>3. Company Board Written Consent Module</w:t>
      </w:r>
    </w:p>
    <w:p>
      <w:pPr>
        <w:pStyle w:val="Heading3"/>
        <w:widowControl/>
        <w:ind w:left="0" w:firstLine="0"/>
      </w:pPr>
      <w:r>
        <w:rPr>
          <w:rFonts w:ascii="Times New Roman" w:hAnsi="Times New Roman"/>
          <w:b/>
          <w:sz w:val="22"/>
          <w:u w:val="single"/>
        </w:rPr>
        <w:t>UNANIMOUS WRITTEN CONSENT OF THE BOARD OF DIRECTORS OF [COMPANY]</w:t>
      </w:r>
    </w:p>
    <w:p>
      <w:pPr>
        <w:widowControl/>
        <w:ind w:firstLine="720"/>
        <w:jc w:val="both"/>
      </w:pPr>
      <w:r>
        <w:t xml:space="preserve">The undersigned, constituting all members of the board of directors (the </w:t>
      </w:r>
      <w:r>
        <w:rPr>
          <w:b/>
          <w:i/>
        </w:rPr>
        <w:t>“Board”</w:t>
      </w:r>
      <w:r>
        <w:t xml:space="preserve">) of [COMPANY], a [JURISDICTION] corporation (the </w:t>
      </w:r>
      <w:r>
        <w:rPr>
          <w:b/>
          <w:i/>
        </w:rPr>
        <w:t>“Company”</w:t>
      </w:r>
      <w:r>
        <w:t>), adopt the following resolutions by written consent effective [DATE / FUTURE EVENT], under [LAW] and the Company’s charter and bylaws.</w:t>
      </w:r>
    </w:p>
    <w:p>
      <w:pPr>
        <w:pStyle w:val="Heading3"/>
        <w:widowControl/>
        <w:ind w:left="0" w:firstLine="0"/>
      </w:pPr>
      <w:r>
        <w:rPr>
          <w:rFonts w:ascii="Times New Roman" w:hAnsi="Times New Roman"/>
          <w:b/>
          <w:sz w:val="22"/>
          <w:u w:val="single"/>
        </w:rPr>
        <w:t>Background and materials</w:t>
      </w:r>
    </w:p>
    <w:p>
      <w:pPr>
        <w:widowControl/>
        <w:ind w:firstLine="720"/>
        <w:jc w:val="both"/>
      </w:pPr>
      <w:r>
        <w:t xml:space="preserve">WHEREAS, the Board has reviewed [ACQUISITION AGREEMENT], dated [DATE], among [PARTIES], including its Disclosure Schedules and material exhibits (the </w:t>
      </w:r>
      <w:r>
        <w:rPr>
          <w:b/>
          <w:i/>
        </w:rPr>
        <w:t>“Acquisition Agreement”</w:t>
      </w:r>
      <w:r>
        <w:t>), providing for [TRANSACTION];</w:t>
      </w:r>
    </w:p>
    <w:p>
      <w:pPr>
        <w:widowControl/>
        <w:ind w:firstLine="720"/>
        <w:jc w:val="both"/>
      </w:pPr>
      <w:r>
        <w:t>WHEREAS, the Board has received and considered the materials listed on Exhibit A, including [transaction summary, valuation, financial information, alternatives, diligence findings, financing, regulatory analysis, conflicts, material ancillary agreements, management arrangements, and advice from legal, financial, Tax, and other advisers];</w:t>
      </w:r>
    </w:p>
    <w:p>
      <w:pPr>
        <w:widowControl/>
        <w:ind w:firstLine="720"/>
        <w:jc w:val="both"/>
      </w:pPr>
      <w:r>
        <w:t>WHEREAS, the Board has considered the interests and arrangements listed on Exhibit B, including those of founders, officers, directors, controlling or significant stockholders, rollover participants, continuing employees, and indemnified persons;</w:t>
      </w:r>
    </w:p>
    <w:p>
      <w:pPr>
        <w:widowControl/>
        <w:ind w:firstLine="720"/>
        <w:jc w:val="both"/>
      </w:pPr>
      <w:r>
        <w:t>WHEREAS, the Board has had an opportunity to ask questions, request information, consult advisers, and deliberate concerning the Transaction, available alternatives, risks, benefits, terms, and the Company’s governing documents and obligations;</w:t>
      </w:r>
    </w:p>
    <w:p>
      <w:pPr>
        <w:pStyle w:val="Heading3"/>
        <w:widowControl/>
        <w:ind w:left="0" w:firstLine="0"/>
      </w:pPr>
      <w:r>
        <w:rPr>
          <w:rFonts w:ascii="Times New Roman" w:hAnsi="Times New Roman"/>
          <w:b/>
          <w:sz w:val="22"/>
          <w:u w:val="single"/>
        </w:rPr>
        <w:t>Transaction findings and approval</w:t>
      </w:r>
    </w:p>
    <w:p>
      <w:pPr>
        <w:widowControl/>
        <w:ind w:firstLine="720"/>
        <w:jc w:val="both"/>
      </w:pPr>
      <w:r>
        <w:t>RESOLVED, that after considering the record and subject to the qualifications stated in these resolutions, the Board determines that the Acquisition Agreement and Transaction are [[advisable, fair to, and in the best interests of the Company and its stockholders / in the best interests of the Company]], using the formulation required by applicable law and the transaction structure;</w:t>
      </w:r>
    </w:p>
    <w:p>
      <w:pPr>
        <w:widowControl/>
        <w:ind w:firstLine="720"/>
        <w:jc w:val="both"/>
      </w:pPr>
      <w:r>
        <w:t>RESOLVED, that the Acquisition Agreement and the Company’s performance are approved, and the officers are authorized to execute and deliver it in substantially the reviewed form, with changes an authorized officer approves that are not materially adverse to the Company or its stockholders, such approval to be conclusively evidenced by execution, provided any material economic, conflict, fiduciary, vote, remedy, or Closing-condition change returns to the Board;</w:t>
      </w:r>
    </w:p>
    <w:p>
      <w:pPr>
        <w:widowControl/>
        <w:ind w:firstLine="720"/>
        <w:jc w:val="both"/>
      </w:pPr>
      <w:r>
        <w:t>RESOLVED, that the Board [[recommends that stockholders adopt the Acquisition Agreement / submits the Transaction for required approval without recommendation only as counsel confirms lawful]], and authorizes preparation and delivery of the required consent solicitation, information statement, appraisal notice, and other disclosures;</w:t>
      </w:r>
    </w:p>
    <w:p>
      <w:pPr>
        <w:widowControl/>
        <w:ind w:firstLine="720"/>
        <w:jc w:val="both"/>
      </w:pPr>
      <w:r>
        <w:t>RESOLVED, that the material ancillary agreements listed on Exhibit C, including [escrow, RWI, support, rollover, employment, retention, restrictive covenant, release, transition services, seller note, guaranty, and equity treatment documents], are approved only in the reviewed forms and subject to the separate conflicts and consideration determinations stated in these resolutions;</w:t>
      </w:r>
    </w:p>
    <w:p>
      <w:pPr>
        <w:pStyle w:val="Heading3"/>
        <w:widowControl/>
        <w:ind w:left="0" w:firstLine="0"/>
      </w:pPr>
      <w:r>
        <w:rPr>
          <w:rFonts w:ascii="Times New Roman" w:hAnsi="Times New Roman"/>
          <w:b/>
          <w:sz w:val="22"/>
          <w:u w:val="single"/>
        </w:rPr>
        <w:t>Capitalization and consideration</w:t>
      </w:r>
    </w:p>
    <w:p>
      <w:pPr>
        <w:widowControl/>
        <w:ind w:firstLine="720"/>
        <w:jc w:val="both"/>
      </w:pPr>
      <w:r>
        <w:t>RESOLVED, that the capitalization and consideration waterfall on Exhibit D are approved subject to final officer and counsel reconciliation to the stock ledger, charter, cap table, option and warrant records, funds flow, and Acquisition Agreement;</w:t>
      </w:r>
    </w:p>
    <w:p>
      <w:pPr>
        <w:widowControl/>
        <w:ind w:firstLine="720"/>
        <w:jc w:val="both"/>
      </w:pPr>
      <w:r>
        <w:t>RESOLVED, that the treatment of options, warrants, restricted equity, SAFEs, notes, promised grants, repurchase rights, acceleration, preferences, conversion, participation, withholding, and payroll is approved as stated on Exhibit D, subject to applicable plan, contract, securities, Tax, wage, and fiduciary requirements;</w:t>
      </w:r>
    </w:p>
    <w:p>
      <w:pPr>
        <w:pStyle w:val="Heading3"/>
        <w:widowControl/>
        <w:ind w:left="0" w:firstLine="0"/>
      </w:pPr>
      <w:r>
        <w:rPr>
          <w:rFonts w:ascii="Times New Roman" w:hAnsi="Times New Roman"/>
          <w:b/>
          <w:sz w:val="22"/>
          <w:u w:val="single"/>
        </w:rPr>
        <w:t>Conflicts and separate arrangements</w:t>
      </w:r>
    </w:p>
    <w:p>
      <w:pPr>
        <w:widowControl/>
        <w:ind w:firstLine="720"/>
        <w:jc w:val="both"/>
      </w:pPr>
      <w:r>
        <w:t>RESOLVED, that each director has disclosed the material facts concerning that director’s interests and relationships listed on Exhibit B; the Board has considered whether each director is disinterested and independent under current law; and the participation and voting record is accurately reflected on Exhibit B;</w:t>
      </w:r>
    </w:p>
    <w:p>
      <w:pPr>
        <w:widowControl/>
        <w:ind w:firstLine="720"/>
        <w:jc w:val="both"/>
      </w:pPr>
      <w:r>
        <w:t>RESOLVED, that founder and management employment, retention, rollover, incentive, release, indemnity, and restrictive-covenant arrangements are separately identified and are not characterized as stock consideration unless the Acquisition Agreement and law provide so;</w:t>
      </w:r>
    </w:p>
    <w:p>
      <w:pPr>
        <w:widowControl/>
        <w:ind w:firstLine="720"/>
        <w:jc w:val="both"/>
      </w:pPr>
      <w:r>
        <w:t>[[OPTIONAL CONFLICT MODULE: RESOLVED, that the disinterested directors or committee, acting in good faith and on an informed basis, approve the identified interested arrangement after disclosure of the material facts, subject to the exact process and findings required by current applicable law. Counsel must rewrite this resolution to match the transaction and must not rely on a generic statutory recital.]]</w:t>
      </w:r>
    </w:p>
    <w:p>
      <w:pPr>
        <w:pStyle w:val="Heading3"/>
        <w:widowControl/>
        <w:ind w:left="0" w:firstLine="0"/>
      </w:pPr>
      <w:r>
        <w:rPr>
          <w:rFonts w:ascii="Times New Roman" w:hAnsi="Times New Roman"/>
          <w:b/>
          <w:sz w:val="22"/>
          <w:u w:val="single"/>
        </w:rPr>
        <w:t>Regulatory filings and Closing</w:t>
      </w:r>
    </w:p>
    <w:p>
      <w:pPr>
        <w:widowControl/>
        <w:ind w:firstLine="720"/>
        <w:jc w:val="both"/>
      </w:pPr>
      <w:r>
        <w:t>RESOLVED, that officers are authorized to make the filings, issue notices, obtain consents, execute certificates, establish escrows and payment arrangements, pay approved fees, and take actions reasonably necessary to complete the Transaction, subject to the Acquisition Agreement, these resolutions, and any matter requiring further Board approval;</w:t>
      </w:r>
    </w:p>
    <w:p>
      <w:pPr>
        <w:widowControl/>
        <w:ind w:firstLine="720"/>
        <w:jc w:val="both"/>
      </w:pPr>
      <w:r>
        <w:t>RESOLVED, that no officer may release signatures, funds, filings, or an announcement until the release conditions in the closing agenda are satisfied or validly waived and counsel confirms authority;</w:t>
      </w:r>
    </w:p>
    <w:p>
      <w:pPr>
        <w:pStyle w:val="Heading3"/>
        <w:widowControl/>
        <w:ind w:left="0" w:firstLine="0"/>
      </w:pPr>
      <w:r>
        <w:rPr>
          <w:rFonts w:ascii="Times New Roman" w:hAnsi="Times New Roman"/>
          <w:b/>
          <w:sz w:val="22"/>
          <w:u w:val="single"/>
        </w:rPr>
        <w:t>Records and ratification</w:t>
      </w:r>
    </w:p>
    <w:p>
      <w:pPr>
        <w:widowControl/>
        <w:ind w:firstLine="720"/>
        <w:jc w:val="both"/>
      </w:pPr>
      <w:r>
        <w:t>RESOLVED, that authorized prior actions consistent with these resolutions are ratified, but no unauthorized substantive agreement, conflict, waiver, or fiduciary decision is ratified by implication;</w:t>
      </w:r>
    </w:p>
    <w:p>
      <w:pPr>
        <w:widowControl/>
        <w:ind w:firstLine="720"/>
        <w:jc w:val="both"/>
      </w:pPr>
      <w:r>
        <w:t>RESOLVED, that this consent and its exhibits will be filed with the minutes, and officers will preserve the materials and process record subject to privilege and applicable retention requirements.</w:t>
      </w:r>
    </w:p>
    <w:p>
      <w:pPr>
        <w:pStyle w:val="Heading2"/>
        <w:widowControl/>
        <w:ind w:left="0" w:firstLine="0"/>
      </w:pPr>
      <w:r>
        <w:rPr>
          <w:rFonts w:ascii="Times New Roman" w:hAnsi="Times New Roman"/>
          <w:b/>
          <w:sz w:val="22"/>
          <w:u w:val="single"/>
        </w:rPr>
        <w:t>4. Company Board Meeting Minutes Module</w:t>
      </w:r>
    </w:p>
    <w:p>
      <w:pPr>
        <w:pStyle w:val="Heading3"/>
        <w:widowControl/>
        <w:ind w:left="0" w:firstLine="0"/>
      </w:pPr>
      <w:r>
        <w:rPr>
          <w:rFonts w:ascii="Times New Roman" w:hAnsi="Times New Roman"/>
          <w:b/>
          <w:sz w:val="22"/>
          <w:u w:val="single"/>
        </w:rPr>
        <w:t>MINUTES OF A MEETING OF THE BOARD OF DIRECTORS OF [COMPANY]</w:t>
      </w:r>
    </w:p>
    <w:p>
      <w:pPr>
        <w:widowControl/>
        <w:ind w:firstLine="720"/>
        <w:jc w:val="both"/>
      </w:pPr>
      <w:r>
        <w:t>A meeting of the Board was held on [DATE] at [TIME] [TIME ZONE] by [LOCATION / REMOTE METHOD]. Present were [DIRECTORS]. Also present by invitation were [OFFICERS / ADVISERS]. [CHAIR] chaired and [SECRETARY] recorded the meeting. The Chair determined that notice was duly given or waived and a quorum was present under the charter and bylaws.</w:t>
      </w:r>
    </w:p>
    <w:p>
      <w:pPr>
        <w:widowControl/>
        <w:ind w:firstLine="720"/>
        <w:jc w:val="both"/>
      </w:pPr>
      <w:r>
        <w:t>The minutes should record, in chronological and neutral form: the process leading to the proposed Transaction; alternatives and prior proposals; materials delivered and time for review; management presentation; financial and valuation analysis; legal, Tax, regulatory, and other advice; material terms and risks; financing certainty; conflicts and separate arrangements; questions asked; recusals; executive sessions; amendments requested; and deliberation. Attach or preserve the materials list, not privileged legal advice itself unless counsel directs.</w:t>
      </w:r>
    </w:p>
    <w:p>
      <w:pPr>
        <w:widowControl/>
        <w:ind w:firstLine="720"/>
        <w:jc w:val="both"/>
      </w:pPr>
      <w:r>
        <w:t>After discussion, the Board adopted the resolutions in Section 3 as conformed for a meeting. Record each motion, second if required, vote, abstention, recusal, dissent, and director absence. Do not use conclusory language suggesting consideration of matters not actually presented.</w:t>
      </w:r>
    </w:p>
    <w:p>
      <w:pPr>
        <w:pStyle w:val="Heading2"/>
        <w:widowControl/>
        <w:ind w:left="0" w:firstLine="0"/>
      </w:pPr>
      <w:r>
        <w:rPr>
          <w:rFonts w:ascii="Times New Roman" w:hAnsi="Times New Roman"/>
          <w:b/>
          <w:sz w:val="22"/>
          <w:u w:val="single"/>
        </w:rPr>
        <w:t>5. Special Committee Module</w:t>
      </w:r>
    </w:p>
    <w:p>
      <w:pPr>
        <w:pStyle w:val="Heading3"/>
        <w:widowControl/>
        <w:ind w:left="0" w:firstLine="0"/>
      </w:pPr>
      <w:r>
        <w:rPr>
          <w:rFonts w:ascii="Times New Roman" w:hAnsi="Times New Roman"/>
          <w:b/>
          <w:sz w:val="22"/>
          <w:u w:val="single"/>
        </w:rPr>
        <w:t>Establishment and authority</w:t>
      </w:r>
    </w:p>
    <w:p>
      <w:pPr>
        <w:widowControl/>
        <w:ind w:firstLine="720"/>
        <w:jc w:val="both"/>
      </w:pPr>
      <w:r>
        <w:t>The Board establishes a committee of [NUMBER] directors whom the Board has determined, after current-law analysis, to be disinterested and independent regarding [CONFLICT / CONTROLLING STOCKHOLDER TRANSACTION]. The committee’s authority is to [evaluate, negotiate, retain advisers, reject, approve, or recommend] the Transaction. The committee may say no and may consider alternatives. Its budget and adviser authority are independent.</w:t>
      </w:r>
    </w:p>
    <w:p>
      <w:pPr>
        <w:pStyle w:val="Heading3"/>
        <w:widowControl/>
        <w:ind w:left="0" w:firstLine="0"/>
      </w:pPr>
      <w:r>
        <w:rPr>
          <w:rFonts w:ascii="Times New Roman" w:hAnsi="Times New Roman"/>
          <w:b/>
          <w:sz w:val="22"/>
          <w:u w:val="single"/>
        </w:rPr>
        <w:t>Committee process record</w:t>
      </w:r>
    </w:p>
    <w:p>
      <w:pPr>
        <w:widowControl/>
        <w:ind w:firstLine="720"/>
        <w:jc w:val="both"/>
      </w:pPr>
      <w:r>
        <w:t>Committee minutes should identify independence diligence, mandate, adviser selection, meetings, information, management and counterparty contacts, negotiation changes, alternatives, valuation, risks, conflicts, any majority-of-minority condition, and final reasons. Do not allow conflicted persons to direct deliberations. Any committee resolution must state the actual statutory and fiduciary framework confirmed by counsel at the time.</w:t>
      </w:r>
    </w:p>
    <w:p>
      <w:pPr>
        <w:pStyle w:val="Heading2"/>
        <w:widowControl/>
        <w:ind w:left="0" w:firstLine="0"/>
      </w:pPr>
      <w:r>
        <w:rPr>
          <w:rFonts w:ascii="Times New Roman" w:hAnsi="Times New Roman"/>
          <w:b/>
          <w:sz w:val="22"/>
          <w:u w:val="single"/>
        </w:rPr>
        <w:t>6. Company Stockholder Written Consent Module</w:t>
      </w:r>
    </w:p>
    <w:p>
      <w:pPr>
        <w:pStyle w:val="Heading3"/>
        <w:widowControl/>
        <w:ind w:left="0" w:firstLine="0"/>
      </w:pPr>
      <w:r>
        <w:rPr>
          <w:rFonts w:ascii="Times New Roman" w:hAnsi="Times New Roman"/>
          <w:b/>
          <w:sz w:val="22"/>
          <w:u w:val="single"/>
        </w:rPr>
        <w:t>ACTION BY WRITTEN CONSENT OF STOCKHOLDERS OF [COMPANY]</w:t>
      </w:r>
    </w:p>
    <w:p>
      <w:pPr>
        <w:widowControl/>
        <w:ind w:firstLine="720"/>
        <w:jc w:val="both"/>
      </w:pPr>
      <w:r>
        <w:t>The undersigned holders, owning the voting power shown on Schedule 1 as of [RECORD DATE], consent under [LAW], the charter, bylaws, and applicable agreements to the following actions effective [DATE / EVENT].</w:t>
      </w:r>
    </w:p>
    <w:p>
      <w:pPr>
        <w:widowControl/>
        <w:ind w:firstLine="720"/>
        <w:jc w:val="both"/>
      </w:pPr>
      <w:r>
        <w:t>RESOLVED, that the Acquisition Agreement and Transaction are adopted and approved to the extent required by applicable law and the Company’s governing documents;</w:t>
      </w:r>
    </w:p>
    <w:p>
      <w:pPr>
        <w:widowControl/>
        <w:ind w:firstLine="720"/>
        <w:jc w:val="both"/>
      </w:pPr>
      <w:r>
        <w:t>RESOLVED, that the specific charter, class, series, drag-along, voting, ROFR, co-sale, investor-rights, or other waivers listed on Schedule 2 are approved only to the extent stated there;</w:t>
      </w:r>
    </w:p>
    <w:p>
      <w:pPr>
        <w:widowControl/>
        <w:ind w:firstLine="720"/>
        <w:jc w:val="both"/>
      </w:pPr>
      <w:r>
        <w:t>RESOLVED, that the undersigned acknowledge receipt of the information listed on Schedule 3 and have had the opportunity to consult advisers. This acknowledgment is not a waiver of omitted or misleading disclosure or nonwaivable rights;</w:t>
      </w:r>
    </w:p>
    <w:p>
      <w:pPr>
        <w:widowControl/>
        <w:ind w:firstLine="720"/>
        <w:jc w:val="both"/>
      </w:pPr>
      <w:r>
        <w:t>RESOLVED, that no release, indemnity, representative appointment, restrictive covenant, appraisal waiver, or additional representation is given by this consent unless set out expressly, supported by lawful authority and consideration, and approved by counsel.</w:t>
      </w:r>
    </w:p>
    <w:p>
      <w:pPr>
        <w:widowControl/>
        <w:ind w:firstLine="720"/>
        <w:jc w:val="both"/>
      </w:pPr>
      <w:r>
        <w:t>Counsel must confirm required signatures, record date, voting power, separate class or series votes, nonconsenting-holder notice, appraisal notice and timing, information statement, electronic delivery, revocation, effectiveness, and whether consents may be solicited before board approval. Do not use this module for a nonunanimous action where applicable law or governing documents require a meeting or different process.</w:t>
      </w:r>
    </w:p>
    <w:p>
      <w:pPr>
        <w:pStyle w:val="Heading2"/>
        <w:widowControl/>
        <w:ind w:left="0" w:firstLine="0"/>
      </w:pPr>
      <w:r>
        <w:rPr>
          <w:rFonts w:ascii="Times New Roman" w:hAnsi="Times New Roman"/>
          <w:b/>
          <w:sz w:val="22"/>
          <w:u w:val="single"/>
        </w:rPr>
        <w:t>7. Buyer Approval Module</w:t>
      </w:r>
    </w:p>
    <w:p>
      <w:pPr>
        <w:widowControl/>
        <w:ind w:firstLine="720"/>
        <w:jc w:val="both"/>
      </w:pPr>
      <w:r>
        <w:t>The governing body of [BUYER] approves the Acquisition Agreement, Transaction, financing, equity issuance, rollover, guaranty, regulatory commitments, ancillary agreements, authorized signatories, funding, and Closing actions in substantially the reviewed forms. The resolutions should state Buyer internal approval status and any parent, fund, lender, investment-committee, member, stockholder, or conflict approval. Buyer officers may approve nonmaterial changes but must return any material economics, financing, remedy, regulatory commitment, dilution, or liability change to the appropriate body.</w:t>
      </w:r>
    </w:p>
    <w:p>
      <w:pPr>
        <w:pStyle w:val="Heading2"/>
        <w:widowControl/>
        <w:ind w:left="0" w:firstLine="0"/>
      </w:pPr>
      <w:r>
        <w:rPr>
          <w:rFonts w:ascii="Times New Roman" w:hAnsi="Times New Roman"/>
          <w:b/>
          <w:sz w:val="22"/>
          <w:u w:val="single"/>
        </w:rPr>
        <w:t>8. Section 280G Approval Module</w:t>
      </w:r>
    </w:p>
    <w:p>
      <w:pPr>
        <w:widowControl/>
        <w:ind w:firstLine="720"/>
        <w:jc w:val="both"/>
      </w:pPr>
      <w:r>
        <w:t>Use only with qualified Tax and benefits counsel. Identify each disqualified individual, potential parachute payment, valuation, reasonable-compensation analysis, waiver, disclosure, voting exclusion, required holder threshold, timing, and record. Each affected individual’s waiver must be knowing, effective before the vote, and conditioned on approval as counsel determines. Stockholders must receive sufficient disclosure of material facts. A failed vote must have the effect stated in the waiver and transaction documents. Do not combine the 280G vote with general transaction approval without a clear separate resolution and tabulation.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Individual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Payment or benefit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Trigger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Present value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Waiver executed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Voting exclusion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Holder approval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Treatment if not approved</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[EVENT]</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[YES / BASIS]</w:t>
            </w:r>
          </w:p>
        </w:tc>
        <w:tc>
          <w:tcPr>
            <w:tcW w:type="dxa" w:w="1170"/>
            <w:vAlign w:val="center"/>
            <w:tcMar>
              <w:top w:w="55" w:type="dxa"/>
              <w:start w:w="70" w:type="dxa"/>
              <w:bottom w:w="55" w:type="dxa"/>
              <w:end w:w="70" w:type="dxa"/>
            </w:tcMar>
          </w:tcPr>
          <w:p>
            <w:pPr>
              <w:spacing w:after="0"/>
            </w:pPr>
            <w:r>
              <w:rPr>
                <w:rFonts w:ascii="Times New Roman" w:hAnsi="Times New Roman"/>
                <w:sz w:val="18"/>
              </w:rPr>
              <w:t>[VOTE]</w:t>
            </w:r>
          </w:p>
        </w:tc>
        <w:tc>
          <w:tcPr>
            <w:tcW w:type="dxa" w:w="1170"/>
            <w:vAlign w:val="center"/>
            <w:tcMar>
              <w:top w:w="55" w:type="dxa"/>
              <w:start w:w="70" w:type="dxa"/>
              <w:bottom w:w="55" w:type="dxa"/>
              <w:end w:w="70" w:type="dxa"/>
            </w:tcMar>
          </w:tcPr>
          <w:p>
            <w:pPr>
              <w:spacing w:after="0"/>
            </w:pPr>
            <w:r>
              <w:rPr>
                <w:rFonts w:ascii="Times New Roman" w:hAnsi="Times New Roman"/>
                <w:sz w:val="18"/>
              </w:rPr>
              <w:t>[FORFEIT / OTHER]</w:t>
            </w:r>
          </w:p>
        </w:tc>
      </w:tr>
    </w:tbl>
    <w:p>
      <w:pPr>
        <w:widowControl/>
        <w:spacing w:after="20"/>
      </w:pPr>
    </w:p>
    <w:p>
      <w:pPr>
        <w:pStyle w:val="Heading2"/>
        <w:widowControl/>
        <w:ind w:left="0" w:firstLine="0"/>
      </w:pPr>
      <w:r>
        <w:rPr>
          <w:rFonts w:ascii="Times New Roman" w:hAnsi="Times New Roman"/>
          <w:b/>
          <w:sz w:val="22"/>
          <w:u w:val="single"/>
        </w:rPr>
        <w:t>9. Secretary Certification Module</w:t>
      </w:r>
    </w:p>
    <w:p>
      <w:pPr>
        <w:widowControl/>
        <w:ind w:firstLine="720"/>
        <w:jc w:val="both"/>
      </w:pPr>
      <w:r>
        <w:t>The undersigned Secretary of [ENTITY] certifies, solely in official capacity and without personal representation, that attached are true and correct copies of: [charter], [bylaws or operating agreement], and [resolutions or minutes]; each was in effect on [DATE]; the resolutions were duly adopted under applicable law and governing documents and have not been amended or rescinded except as attached; and the persons on the incumbency schedule held the stated offices and their specimen signatures appear there. The certificate should not certify legal conclusions outside the Secretary’s records or create a bring-down not required by the acquisition agreement.</w:t>
      </w:r>
    </w:p>
    <w:p>
      <w:pPr>
        <w:pStyle w:val="Heading2"/>
        <w:widowControl/>
        <w:ind w:left="0" w:firstLine="0"/>
      </w:pPr>
      <w:r>
        <w:rPr>
          <w:rFonts w:ascii="Times New Roman" w:hAnsi="Times New Roman"/>
          <w:b/>
          <w:sz w:val="22"/>
          <w:u w:val="single"/>
        </w:rPr>
        <w:t>Signature Pages</w:t>
      </w:r>
    </w:p>
    <w:p>
      <w:pPr>
        <w:pStyle w:val="Heading3"/>
        <w:widowControl/>
        <w:ind w:left="0" w:firstLine="0"/>
      </w:pPr>
      <w:r>
        <w:rPr>
          <w:rFonts w:ascii="Times New Roman" w:hAnsi="Times New Roman"/>
          <w:b/>
          <w:sz w:val="22"/>
          <w:u w:val="single"/>
        </w:rPr>
        <w:t>Board Written Consent</w:t>
      </w:r>
    </w:p>
    <w:p>
      <w:pPr>
        <w:widowControl/>
        <w:jc w:val="left"/>
      </w:pPr>
      <w:r>
        <w:rPr>
          <w:b/>
        </w:rPr>
        <w:t>DIRECTOR:</w:t>
      </w:r>
      <w:r>
        <w:t xml:space="preserve"> ______________________________</w:t>
      </w:r>
      <w:r>
        <w:br/>
      </w:r>
      <w:r>
        <w:t>Name: [NAME]</w:t>
      </w:r>
      <w:r>
        <w:br/>
      </w:r>
      <w:r>
        <w:t>Date and time signed: [DATE / TIME ZONE]</w:t>
      </w:r>
    </w:p>
    <w:p>
      <w:pPr>
        <w:pStyle w:val="Heading3"/>
        <w:widowControl/>
        <w:ind w:left="0" w:firstLine="0"/>
      </w:pPr>
      <w:r>
        <w:rPr>
          <w:rFonts w:ascii="Times New Roman" w:hAnsi="Times New Roman"/>
          <w:b/>
          <w:sz w:val="22"/>
          <w:u w:val="single"/>
        </w:rPr>
        <w:t>Stockholder Written Consent</w:t>
      </w:r>
    </w:p>
    <w:p>
      <w:pPr>
        <w:widowControl/>
        <w:jc w:val="left"/>
      </w:pPr>
      <w:r>
        <w:rPr>
          <w:b/>
        </w:rPr>
        <w:t>HOLDER:</w:t>
      </w:r>
      <w:r>
        <w:t xml:space="preserve"> [NAME]</w:t>
      </w:r>
      <w:r>
        <w:br/>
      </w:r>
      <w:r>
        <w:t>By: ______________________________</w:t>
      </w:r>
      <w:r>
        <w:br/>
      </w:r>
      <w:r>
        <w:t>Capacity: [INDIVIDUAL / TRUSTEE / OFFICER / OTHER]</w:t>
      </w:r>
      <w:r>
        <w:br/>
      </w:r>
      <w:r>
        <w:t>Securities and voting power: [DETAIL]</w:t>
      </w:r>
      <w:r>
        <w:br/>
      </w:r>
      <w:r>
        <w:t>Date and time signed: [DATE / TIME ZONE]</w:t>
      </w:r>
    </w:p>
    <w:p>
      <w:pPr>
        <w:pStyle w:val="Heading3"/>
        <w:widowControl/>
        <w:ind w:left="0" w:firstLine="0"/>
      </w:pPr>
      <w:r>
        <w:rPr>
          <w:rFonts w:ascii="Times New Roman" w:hAnsi="Times New Roman"/>
          <w:b/>
          <w:sz w:val="22"/>
          <w:u w:val="single"/>
        </w:rPr>
        <w:t>Secretary Certificate</w:t>
      </w:r>
    </w:p>
    <w:p>
      <w:pPr>
        <w:widowControl/>
        <w:jc w:val="left"/>
      </w:pPr>
      <w:r>
        <w:rPr>
          <w:b/>
        </w:rPr>
        <w:t>[ENTITY]</w:t>
      </w:r>
      <w:r>
        <w:t xml:space="preserve"> By: ______________________________</w:t>
      </w:r>
      <w:r>
        <w:br/>
      </w:r>
      <w:r>
        <w:t>Name: [NAME]</w:t>
      </w:r>
      <w:r>
        <w:br/>
      </w:r>
      <w:r>
        <w:t>Title: Secretary</w:t>
      </w:r>
      <w:r>
        <w:br/>
      </w:r>
      <w:r>
        <w:t>Date: [DATE]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Exhibit A Board Materials and Process Record</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Material or event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Date provided or occurred</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Presenter or source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Directors receiving</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Privilege or confidentiality</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Key subject</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Record location</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[DATE]</w:t>
            </w:r>
          </w:p>
        </w:tc>
        <w:tc>
          <w:tcPr>
            <w:tcW w:type="dxa" w:w="1337"/>
            <w:vAlign w:val="center"/>
            <w:tcMar>
              <w:top w:w="55" w:type="dxa"/>
              <w:start w:w="70" w:type="dxa"/>
              <w:bottom w:w="55" w:type="dxa"/>
              <w:end w:w="70" w:type="dxa"/>
            </w:tcMar>
          </w:tcPr>
          <w:p>
            <w:pPr>
              <w:spacing w:after="0"/>
            </w:pPr>
            <w:r>
              <w:rPr>
                <w:rFonts w:ascii="Times New Roman" w:hAnsi="Times New Roman"/>
                <w:sz w:val="18"/>
              </w:rPr>
              <w:t>[SOURCE]</w:t>
            </w:r>
          </w:p>
        </w:tc>
        <w:tc>
          <w:tcPr>
            <w:tcW w:type="dxa" w:w="1337"/>
            <w:vAlign w:val="center"/>
            <w:tcMar>
              <w:top w:w="55" w:type="dxa"/>
              <w:start w:w="70" w:type="dxa"/>
              <w:bottom w:w="55" w:type="dxa"/>
              <w:end w:w="70" w:type="dxa"/>
            </w:tcMar>
          </w:tcPr>
          <w:p>
            <w:pPr>
              <w:spacing w:after="0"/>
            </w:pPr>
            <w:r>
              <w:rPr>
                <w:rFonts w:ascii="Times New Roman" w:hAnsi="Times New Roman"/>
                <w:sz w:val="18"/>
              </w:rPr>
              <w:t>[NAMES]</w:t>
            </w:r>
          </w:p>
        </w:tc>
        <w:tc>
          <w:tcPr>
            <w:tcW w:type="dxa" w:w="1337"/>
            <w:vAlign w:val="center"/>
            <w:tcMar>
              <w:top w:w="55" w:type="dxa"/>
              <w:start w:w="70" w:type="dxa"/>
              <w:bottom w:w="55" w:type="dxa"/>
              <w:end w:w="70" w:type="dxa"/>
            </w:tcMar>
          </w:tcPr>
          <w:p>
            <w:pPr>
              <w:spacing w:after="0"/>
            </w:pPr>
            <w:r>
              <w:rPr>
                <w:rFonts w:ascii="Times New Roman" w:hAnsi="Times New Roman"/>
                <w:sz w:val="18"/>
              </w:rPr>
              <w:t>[CLASSIFICATION]</w:t>
            </w:r>
          </w:p>
        </w:tc>
        <w:tc>
          <w:tcPr>
            <w:tcW w:type="dxa" w:w="1337"/>
            <w:vAlign w:val="center"/>
            <w:tcMar>
              <w:top w:w="55" w:type="dxa"/>
              <w:start w:w="70" w:type="dxa"/>
              <w:bottom w:w="55" w:type="dxa"/>
              <w:end w:w="70" w:type="dxa"/>
            </w:tcMar>
          </w:tcPr>
          <w:p>
            <w:pPr>
              <w:spacing w:after="0"/>
            </w:pPr>
            <w:r>
              <w:rPr>
                <w:rFonts w:ascii="Times New Roman" w:hAnsi="Times New Roman"/>
                <w:sz w:val="18"/>
              </w:rPr>
              <w:t>[SUBJECT]</w:t>
            </w:r>
          </w:p>
        </w:tc>
        <w:tc>
          <w:tcPr>
            <w:tcW w:type="dxa" w:w="1337"/>
            <w:vAlign w:val="center"/>
            <w:tcMar>
              <w:top w:w="55" w:type="dxa"/>
              <w:start w:w="70" w:type="dxa"/>
              <w:bottom w:w="55" w:type="dxa"/>
              <w:end w:w="70" w:type="dxa"/>
            </w:tcMar>
          </w:tcPr>
          <w:p>
            <w:pPr>
              <w:spacing w:after="0"/>
            </w:pPr>
            <w:r>
              <w:rPr>
                <w:rFonts w:ascii="Times New Roman" w:hAnsi="Times New Roman"/>
                <w:sz w:val="18"/>
              </w:rPr>
              <w:t>[LOCATION]</w:t>
            </w:r>
          </w:p>
        </w:tc>
      </w:tr>
    </w:tbl>
    <w:p>
      <w:pPr>
        <w:widowControl/>
        <w:spacing w:after="20"/>
      </w:pPr>
    </w:p>
    <w:p>
      <w:pPr>
        <w:pStyle w:val="Heading3"/>
        <w:widowControl/>
        <w:ind w:left="0" w:firstLine="0"/>
      </w:pPr>
      <w:r>
        <w:rPr>
          <w:rFonts w:ascii="Times New Roman" w:hAnsi="Times New Roman"/>
          <w:b/>
          <w:sz w:val="22"/>
          <w:u w:val="single"/>
        </w:rPr>
        <w:t>Exhibit B Interests Relationships and Recusals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Person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Role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Interest or relationship</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Amount or material term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Shared with holders generally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Disclosure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Independence analysis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Participation vote or recusal</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[ROLE]</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 / TERM]</w:t>
            </w:r>
          </w:p>
        </w:tc>
        <w:tc>
          <w:tcPr>
            <w:tcW w:type="dxa" w:w="1170"/>
            <w:vAlign w:val="center"/>
            <w:tcMar>
              <w:top w:w="55" w:type="dxa"/>
              <w:start w:w="70" w:type="dxa"/>
              <w:bottom w:w="55" w:type="dxa"/>
              <w:end w:w="70" w:type="dxa"/>
            </w:tcMar>
          </w:tcPr>
          <w:p>
            <w:pPr>
              <w:spacing w:after="0"/>
            </w:pPr>
            <w:r>
              <w:rPr>
                <w:rFonts w:ascii="Times New Roman" w:hAnsi="Times New Roman"/>
                <w:sz w:val="18"/>
              </w:rPr>
              <w:t>[YES / NO]</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[COUNSEL]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r>
    </w:tbl>
    <w:p>
      <w:pPr>
        <w:widowControl/>
        <w:spacing w:after="20"/>
      </w:pPr>
    </w:p>
    <w:p>
      <w:pPr>
        <w:pStyle w:val="Heading3"/>
        <w:widowControl/>
        <w:ind w:left="0" w:firstLine="0"/>
      </w:pPr>
      <w:r>
        <w:rPr>
          <w:rFonts w:ascii="Times New Roman" w:hAnsi="Times New Roman"/>
          <w:b/>
          <w:sz w:val="22"/>
          <w:u w:val="single"/>
        </w:rPr>
        <w:t>Schedule 1 Stockholder Voting Tabulation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Holder and capacity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Class or series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Shares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Voting power</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Interested or excluded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Required instrument</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Signed</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Counted vote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Verification source</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[NAME]</w:t>
            </w:r>
          </w:p>
        </w:tc>
        <w:tc>
          <w:tcPr>
            <w:tcW w:type="dxa" w:w="1040"/>
            <w:vAlign w:val="center"/>
            <w:tcMar>
              <w:top w:w="55" w:type="dxa"/>
              <w:start w:w="70" w:type="dxa"/>
              <w:bottom w:w="55" w:type="dxa"/>
              <w:end w:w="70" w:type="dxa"/>
            </w:tcMar>
          </w:tcPr>
          <w:p>
            <w:pPr>
              <w:spacing w:after="0"/>
            </w:pPr>
            <w:r>
              <w:rPr>
                <w:rFonts w:ascii="Times New Roman" w:hAnsi="Times New Roman"/>
                <w:sz w:val="18"/>
              </w:rPr>
              <w:t>[CLASS]</w:t>
            </w:r>
          </w:p>
        </w:tc>
        <w:tc>
          <w:tcPr>
            <w:tcW w:type="dxa" w:w="1040"/>
            <w:vAlign w:val="center"/>
            <w:tcMar>
              <w:top w:w="55" w:type="dxa"/>
              <w:start w:w="70" w:type="dxa"/>
              <w:bottom w:w="55" w:type="dxa"/>
              <w:end w:w="70" w:type="dxa"/>
            </w:tcMar>
          </w:tcPr>
          <w:p>
            <w:pPr>
              <w:spacing w:after="0"/>
            </w:pPr>
            <w:r>
              <w:rPr>
                <w:rFonts w:ascii="Times New Roman" w:hAnsi="Times New Roman"/>
                <w:sz w:val="18"/>
              </w:rPr>
              <w:t>[#]</w:t>
            </w:r>
          </w:p>
        </w:tc>
        <w:tc>
          <w:tcPr>
            <w:tcW w:type="dxa" w:w="1040"/>
            <w:vAlign w:val="center"/>
            <w:tcMar>
              <w:top w:w="55" w:type="dxa"/>
              <w:start w:w="70" w:type="dxa"/>
              <w:bottom w:w="55" w:type="dxa"/>
              <w:end w:w="70" w:type="dxa"/>
            </w:tcMar>
          </w:tcPr>
          <w:p>
            <w:pPr>
              <w:spacing w:after="0"/>
            </w:pPr>
            <w:r>
              <w:rPr>
                <w:rFonts w:ascii="Times New Roman" w:hAnsi="Times New Roman"/>
                <w:sz w:val="18"/>
              </w:rPr>
              <w:t>[%]</w:t>
            </w:r>
          </w:p>
        </w:tc>
        <w:tc>
          <w:tcPr>
            <w:tcW w:type="dxa" w:w="1040"/>
            <w:vAlign w:val="center"/>
            <w:tcMar>
              <w:top w:w="55" w:type="dxa"/>
              <w:start w:w="70" w:type="dxa"/>
              <w:bottom w:w="55" w:type="dxa"/>
              <w:end w:w="70" w:type="dxa"/>
            </w:tcMar>
          </w:tcPr>
          <w:p>
            <w:pPr>
              <w:spacing w:after="0"/>
            </w:pPr>
            <w:r>
              <w:rPr>
                <w:rFonts w:ascii="Times New Roman" w:hAnsi="Times New Roman"/>
                <w:sz w:val="18"/>
              </w:rPr>
              <w:t>[DETAIL]</w:t>
            </w:r>
          </w:p>
        </w:tc>
        <w:tc>
          <w:tcPr>
            <w:tcW w:type="dxa" w:w="1040"/>
            <w:vAlign w:val="center"/>
            <w:tcMar>
              <w:top w:w="55" w:type="dxa"/>
              <w:start w:w="70" w:type="dxa"/>
              <w:bottom w:w="55" w:type="dxa"/>
              <w:end w:w="70" w:type="dxa"/>
            </w:tcMar>
          </w:tcPr>
          <w:p>
            <w:pPr>
              <w:spacing w:after="0"/>
            </w:pPr>
            <w:r>
              <w:rPr>
                <w:rFonts w:ascii="Times New Roman" w:hAnsi="Times New Roman"/>
                <w:sz w:val="18"/>
              </w:rPr>
              <w:t>[CONSENT / WAIVER]</w:t>
            </w:r>
          </w:p>
        </w:tc>
        <w:tc>
          <w:tcPr>
            <w:tcW w:type="dxa" w:w="1040"/>
            <w:vAlign w:val="center"/>
            <w:tcMar>
              <w:top w:w="55" w:type="dxa"/>
              <w:start w:w="70" w:type="dxa"/>
              <w:bottom w:w="55" w:type="dxa"/>
              <w:end w:w="70" w:type="dxa"/>
            </w:tcMar>
          </w:tcPr>
          <w:p>
            <w:pPr>
              <w:spacing w:after="0"/>
            </w:pPr>
            <w:r>
              <w:rPr>
                <w:rFonts w:ascii="Times New Roman" w:hAnsi="Times New Roman"/>
                <w:sz w:val="18"/>
              </w:rPr>
              <w:t>[DATE]</w:t>
            </w:r>
          </w:p>
        </w:tc>
        <w:tc>
          <w:tcPr>
            <w:tcW w:type="dxa" w:w="1040"/>
            <w:vAlign w:val="center"/>
            <w:tcMar>
              <w:top w:w="55" w:type="dxa"/>
              <w:start w:w="70" w:type="dxa"/>
              <w:bottom w:w="55" w:type="dxa"/>
              <w:end w:w="70" w:type="dxa"/>
            </w:tcMar>
          </w:tcPr>
          <w:p>
            <w:pPr>
              <w:spacing w:after="0"/>
            </w:pPr>
            <w:r>
              <w:rPr>
                <w:rFonts w:ascii="Times New Roman" w:hAnsi="Times New Roman"/>
                <w:sz w:val="18"/>
              </w:rPr>
              <w:t>[FOR / AGAINST / ABSTAIN]</w:t>
            </w:r>
          </w:p>
        </w:tc>
        <w:tc>
          <w:tcPr>
            <w:tcW w:type="dxa" w:w="1040"/>
            <w:vAlign w:val="center"/>
            <w:tcMar>
              <w:top w:w="55" w:type="dxa"/>
              <w:start w:w="70" w:type="dxa"/>
              <w:bottom w:w="55" w:type="dxa"/>
              <w:end w:w="70" w:type="dxa"/>
            </w:tcMar>
          </w:tcPr>
          <w:p>
            <w:pPr>
              <w:spacing w:after="0"/>
            </w:pPr>
            <w:r>
              <w:rPr>
                <w:rFonts w:ascii="Times New Roman" w:hAnsi="Times New Roman"/>
                <w:sz w:val="18"/>
              </w:rPr>
              <w:t>[LEDGER / COUNSEL]</w:t>
            </w:r>
          </w:p>
        </w:tc>
      </w:tr>
    </w:tbl>
    <w:p>
      <w:pPr>
        <w:widowControl/>
        <w:spacing w:after="20"/>
      </w:pPr>
    </w:p>
    <w:p>
      <w:pPr>
        <w:pStyle w:val="Heading3"/>
        <w:widowControl/>
        <w:ind w:left="0" w:firstLine="0"/>
      </w:pPr>
      <w:r>
        <w:rPr>
          <w:rFonts w:ascii="Times New Roman" w:hAnsi="Times New Roman"/>
          <w:b/>
          <w:sz w:val="22"/>
          <w:u w:val="single"/>
        </w:rPr>
        <w:t>Schedule 2 Required Waivers and Separate Approvals</w:t>
      </w:r>
    </w:p>
    <w:p>
      <w:pPr>
        <w:widowControl/>
        <w:ind w:firstLine="720"/>
        <w:jc w:val="both"/>
      </w:pPr>
      <w:r>
        <w:t>List the exact governing provision, parties, vote, consideration, form, conflicts, disclosure, effectiveness, and evidence for each charter, class, drag, ROFR, co-sale, voting, investor-rights, plan, option, warrant, SAFE, note, lender, or other waiver.</w:t>
      </w:r>
    </w:p>
    <w:p>
      <w:pPr>
        <w:pStyle w:val="Heading3"/>
        <w:widowControl/>
        <w:ind w:left="0" w:firstLine="0"/>
      </w:pPr>
      <w:r>
        <w:rPr>
          <w:rFonts w:ascii="Times New Roman" w:hAnsi="Times New Roman"/>
          <w:b/>
          <w:sz w:val="22"/>
          <w:u w:val="single"/>
        </w:rPr>
        <w:t>Schedule 3 Holder Disclosure Package</w:t>
      </w:r>
    </w:p>
    <w:p>
      <w:pPr>
        <w:widowControl/>
        <w:ind w:firstLine="720"/>
        <w:jc w:val="both"/>
      </w:pPr>
      <w:r>
        <w:t>List the Acquisition Agreement, material exhibits, consideration summary, capitalization and waterfall, conflict and side-arrangement disclosure, risk factors, financial information, appraisal notice and statute, voting instructions, contact, deadline, and evidence of delivery. Counsel must determine adequacy; a document list is not a legal conclusion.</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Approvals</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package helps private-company deal counsel build a defensible approval record. It does not establish the necessary vote, satisfy fiduciary duties, cleanse conflicts, or replace accurate holder disclosure. The correct process depends on current law, governing documents, capitalization, transaction structure, and actual deliberations.</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Use an approved system to upload the current charter and bylaws, stock ledger and cap table, voting and investor agreements, board and committee records, acquisition agreement and material ancillaries, process timeline, bids, valuation and financial materials, conflict questionnaires, founder and management arrangements, legal and financial adviser materials, and proposed holder disclosure. Preserve privilege and confidentiality.</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corporate and M&amp;A counsel in completing the uploaded Founder M&amp;A Board and Stockholder Approval Package. First produce an approval matrix identifying every legal, charter, bylaw, class, series, contractual, plan, lender, and regulatory approval; exact threshold; record date; quorum; interested or excluded vote; method; notice; disclosure; and evidence. Produce a separate conflicts and process chronology using only supplied facts. Do not invent deliberations, independence, fairness, advice, disclosure, voting power, approval, waiver, or compliance. Cite the source for every completion or state “source not provided.” Flag conclusory recitals, a missing material term, mismatched agreement version, inadequate time or information, conflicted participation, missing class vote, invalid consent method, deficient appraisal or nonconsenting-holder notice, and any 280G issue. Prepare separate marked instruments for each approving body and a red-flag memorandum. Do not create false minutes, backdate, solicit consent, send holder notices, file, or label the approvals valid.</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Submit each reviewed approval instrument separately with the approval matrix, voting tabulation, process chronology, conflicts analysis, materials list, holder disclosure package, specialist approvals, redline, and release memorandum. Counsel must confirm current law and governing documents and ensure the record accurately describes what the board, committee, or holders actually received, considered, and did.</w:t>
      </w:r>
    </w:p>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Board and Stockholder Approval Package</dc:title>
  <dc:subject>Founder M&amp;A practitioner master</dc:subject>
  <dc:creator/>
  <cp:keywords>Founder M&amp;A, FMA-019, practitioner master</cp:keywords>
  <dc:description/>
  <cp:lastModifiedBy/>
  <cp:revision>1</cp:revision>
  <dcterms:created xsi:type="dcterms:W3CDTF">2013-12-23T23:15:00Z</dcterms:created>
  <dcterms:modified xsi:type="dcterms:W3CDTF">2013-12-23T23:15:00Z</dcterms:modified>
  <cp:category/>
</cp:coreProperties>
</file>