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360"/>
      </w:pPr>
      <w:r>
        <w:rPr>
          <w:rFonts w:ascii="Times New Roman" w:hAnsi="Times New Roman"/>
          <w:b/>
          <w:sz w:val="28"/>
          <w:u w:val="none"/>
        </w:rPr>
        <w:t>Founder M&amp;A Assignment Assumption Agreement and Bill of Sale</w:t>
      </w:r>
    </w:p>
    <w:p>
      <w:pPr>
        <w:widowControl/>
        <w:spacing w:after="240"/>
        <w:jc w:val="center"/>
      </w:pPr>
      <w:r>
        <w:rPr>
          <w:rFonts w:ascii="Times New Roman" w:hAnsi="Times New Roman"/>
          <w:b/>
          <w:sz w:val="20"/>
        </w:rPr>
        <w:t>FMA-018  |  VERSION 1.0.0  |  7 SEPTEMBER 2026</w:t>
      </w:r>
    </w:p>
    <w:p>
      <w:pPr>
        <w:pStyle w:val="PractitionerBanner"/>
        <w:widowControl/>
        <w:shd w:fill="F2F2F2"/>
      </w:pPr>
      <w:r>
        <w:rPr>
          <w:b/>
        </w:rPr>
        <w:t>Practitioner master — use only as a closing instrument under a controlling asset purchase agreement and exact asset and liability schedules.</w:t>
      </w:r>
      <w:r>
        <w:t xml:space="preserve"> Form FMA-018; version 1.0.0; prepared 2026-09-07. This original form is not matter-cleared or execution-ready.</w:t>
      </w:r>
    </w:p>
    <w:p>
      <w:pPr>
        <w:pStyle w:val="Heading2"/>
        <w:widowControl/>
        <w:ind w:left="0" w:firstLine="0"/>
        <w:jc w:val="center"/>
      </w:pPr>
      <w:r>
        <w:rPr>
          <w:rFonts w:ascii="Times New Roman" w:hAnsi="Times New Roman"/>
          <w:b/>
          <w:sz w:val="24"/>
          <w:u w:val="none"/>
        </w:rPr>
        <w:t>Matter Completion Sheet — Not Part of the Instrument</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3120"/>
        <w:gridCol w:w="3120"/>
        <w:gridCol w:w="3120"/>
      </w:tblGrid>
      <w:tr>
        <w:trPr>
          <w:tblHeader w:val="true"/>
          <w:cantSplit/>
        </w:trPr>
        <w:tc>
          <w:tcPr>
            <w:tcW w:type="dxa" w:w="792"/>
            <w:vAlign w:val="center"/>
            <w:tcMar>
              <w:top w:w="55" w:type="dxa"/>
              <w:start w:w="70" w:type="dxa"/>
              <w:bottom w:w="55" w:type="dxa"/>
              <w:end w:w="70" w:type="dxa"/>
            </w:tcMar>
            <w:shd w:fill="DCE6F1"/>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DCE6F1"/>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DCE6F1"/>
          </w:tcPr>
          <w:p>
            <w:pPr>
              <w:spacing w:after="0"/>
            </w:pPr>
            <w:r>
              <w:rPr>
                <w:rFonts w:ascii="Times New Roman" w:hAnsi="Times New Roman"/>
                <w:b/>
                <w:sz w:val="17"/>
              </w:rPr>
              <w:t>Matter-specific input, owner, or approval</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Identify asset purchase agreement, amendments, Seller, Buyer, Closing Date, Effective Time, Purchased Assets, Excluded Assets, Assumed Liabilities, and Excluded Liabilities.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Reconcile each schedule to the asset purchase agreement, disclosure schedules, contract inventory, title records, IP schedule, permits, leases, receivables, inventory, fixed assets, and funds flow.</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Identify nonassignable contracts and permits, required consents, novations, landlord or lender approvals, local instruments, bulk-sales rules, Taxes, and alternative arrangements.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this instrument does not add representations, expand assumed liabilities, waive claims, change price, alter remedies, or conflict with governing document hierarchy.</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Separate IP assignments, deeds, vehicle titles, UCC filings, domain/account transfers, regulated permits, equity transfers, and employee transfers requiring different instruments.</w:t>
            </w:r>
          </w:p>
        </w:tc>
        <w:tc>
          <w:tcPr>
            <w:tcW w:type="dxa" w:w="2448"/>
            <w:vAlign w:val="center"/>
            <w:tcMar>
              <w:top w:w="55" w:type="dxa"/>
              <w:start w:w="70" w:type="dxa"/>
              <w:bottom w:w="55" w:type="dxa"/>
              <w:end w:w="70" w:type="dxa"/>
            </w:tcMar>
          </w:tcPr>
          <w:p>
            <w:pPr>
              <w:spacing w:after="0"/>
            </w:pPr>
            <w:r>
              <w:rPr>
                <w:rFonts w:ascii="Times New Roman" w:hAnsi="Times New Roman"/>
                <w:sz w:val="17"/>
              </w:rPr>
              <w:t>[SPECIALISTS / DATE]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Verify execution authority, notarization, witness, filing, stamp, delivery, possession, acceptance, and post-Closing further-assurance steps.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Release only after final defined-term, schedule, asset-liability, cross-reference, signature, and current-law review.</w:t>
            </w:r>
          </w:p>
        </w:tc>
        <w:tc>
          <w:tcPr>
            <w:tcW w:type="dxa" w:w="2448"/>
            <w:vAlign w:val="center"/>
            <w:tcMar>
              <w:top w:w="55" w:type="dxa"/>
              <w:start w:w="70" w:type="dxa"/>
              <w:bottom w:w="55" w:type="dxa"/>
              <w:end w:w="70" w:type="dxa"/>
            </w:tcMar>
          </w:tcPr>
          <w:p>
            <w:pPr>
              <w:spacing w:after="0"/>
            </w:pPr>
            <w:r>
              <w:rPr>
                <w:rFonts w:ascii="Times New Roman" w:hAnsi="Times New Roman"/>
                <w:sz w:val="17"/>
              </w:rPr>
              <w:t>[RELEASED BY / DATE / VERSION]</w:t>
            </w:r>
          </w:p>
        </w:tc>
      </w:tr>
    </w:tbl>
    <w:p>
      <w:pPr>
        <w:widowControl/>
        <w:spacing w:after="20"/>
      </w:pPr>
    </w:p>
    <w:p>
      <w:pPr>
        <w:pStyle w:val="Heading1"/>
        <w:pageBreakBefore w:val="0"/>
        <w:widowControl/>
      </w:pPr>
      <w:r>
        <w:rPr>
          <w:rFonts w:ascii="Times New Roman" w:hAnsi="Times New Roman"/>
          <w:b/>
          <w:sz w:val="24"/>
          <w:u w:val="none"/>
        </w:rPr>
        <w:t>ASSIGNMENT AND ASSUMPTION AGREEMENT AND BILL OF SALE</w:t>
      </w:r>
    </w:p>
    <w:p>
      <w:pPr>
        <w:keepLines w:val="0"/>
        <w:widowControl/>
        <w:ind w:firstLine="720"/>
        <w:jc w:val="both"/>
      </w:pPr>
      <w:r>
        <w:t xml:space="preserve">This Assignment and Assumption Agreement and Bill of Sale (this </w:t>
      </w:r>
      <w:r>
        <w:rPr>
          <w:b/>
          <w:i/>
        </w:rPr>
        <w:t>“Instrument”</w:t>
      </w:r>
      <w:r>
        <w:t>) is entered into as of [DATE] by and between [SELLER], a [JURISDICTION] [ENTITY TYPE] (</w:t>
      </w:r>
      <w:r>
        <w:rPr>
          <w:b/>
          <w:i/>
        </w:rPr>
        <w:t>“Seller”</w:t>
      </w:r>
      <w:r>
        <w:t>), and [BUYER], a [JURISDICTION] [ENTITY TYPE] (</w:t>
      </w:r>
      <w:r>
        <w:rPr>
          <w:b/>
          <w:i/>
        </w:rPr>
        <w:t>“Buyer”</w:t>
      </w:r>
      <w:r>
        <w:t>).</w:t>
      </w:r>
    </w:p>
    <w:p>
      <w:pPr>
        <w:pStyle w:val="Heading2"/>
        <w:widowControl/>
        <w:ind w:left="0" w:firstLine="0"/>
        <w:jc w:val="center"/>
      </w:pPr>
      <w:r>
        <w:rPr>
          <w:rFonts w:ascii="Times New Roman" w:hAnsi="Times New Roman"/>
          <w:b/>
          <w:caps/>
          <w:sz w:val="22"/>
          <w:u w:val="none"/>
        </w:rPr>
        <w:t>Recitals</w:t>
      </w:r>
    </w:p>
    <w:p>
      <w:pPr>
        <w:widowControl/>
        <w:ind w:left="720" w:hanging="360"/>
        <w:jc w:val="both"/>
      </w:pPr>
      <w:r>
        <w:t xml:space="preserve">A. Seller and Buyer are parties to [ASSET PURCHASE AGREEMENT] dated [DATE], as amended (the </w:t>
      </w:r>
      <w:r>
        <w:rPr>
          <w:b/>
          <w:i/>
        </w:rPr>
        <w:t>“Purchase Agreement”</w:t>
      </w:r>
      <w:r>
        <w:t>).</w:t>
      </w:r>
    </w:p>
    <w:p>
      <w:pPr>
        <w:widowControl/>
        <w:ind w:left="720" w:hanging="360"/>
        <w:jc w:val="both"/>
      </w:pPr>
      <w:r>
        <w:t>B. Under the Purchase Agreement, Seller has agreed to sell the Purchased Assets, and Buyer has agreed to assume only the Assumed Liabilities, on the terms stated there.</w:t>
      </w:r>
    </w:p>
    <w:p>
      <w:pPr>
        <w:widowControl/>
        <w:ind w:left="720" w:hanging="360"/>
        <w:jc w:val="both"/>
      </w:pPr>
      <w:r>
        <w:t>C. This Instrument evidences specified transfers and assumptions at Closing and does not replace or amend the Purchase Agreement.</w:t>
      </w:r>
    </w:p>
    <w:p>
      <w:pPr>
        <w:keepLines w:val="0"/>
        <w:widowControl/>
        <w:ind w:firstLine="720"/>
        <w:jc w:val="both"/>
      </w:pPr>
      <w:r>
        <w:t>The parties agree as follows.</w:t>
      </w:r>
    </w:p>
    <w:p>
      <w:pPr>
        <w:pStyle w:val="Heading2"/>
        <w:widowControl/>
        <w:ind w:left="0" w:firstLine="0"/>
      </w:pPr>
      <w:r>
        <w:rPr>
          <w:rFonts w:ascii="Times New Roman" w:hAnsi="Times New Roman"/>
          <w:b/>
          <w:sz w:val="22"/>
          <w:u w:val="single"/>
        </w:rPr>
        <w:t>1. Definitions Priority and Effectiveness</w:t>
      </w:r>
    </w:p>
    <w:p>
      <w:pPr>
        <w:pStyle w:val="Heading3"/>
        <w:widowControl/>
        <w:ind w:left="0" w:firstLine="0"/>
      </w:pPr>
      <w:r>
        <w:rPr>
          <w:rFonts w:ascii="Times New Roman" w:hAnsi="Times New Roman"/>
          <w:b/>
          <w:sz w:val="22"/>
          <w:u w:val="single"/>
        </w:rPr>
        <w:t>1.1 Defined terms</w:t>
      </w:r>
    </w:p>
    <w:p>
      <w:pPr>
        <w:widowControl/>
        <w:ind w:firstLine="720"/>
        <w:jc w:val="both"/>
      </w:pPr>
      <w:r>
        <w:t xml:space="preserve">Capitalized terms not defined here have the meanings in the Purchase Agreement. </w:t>
      </w:r>
      <w:r>
        <w:rPr>
          <w:b/>
          <w:i/>
        </w:rPr>
        <w:t>“Effective Time”</w:t>
      </w:r>
      <w:r>
        <w:t xml:space="preserve"> means [TIME] [TIME ZONE] on the Closing Date or the other event stated in the Purchase Agreement. </w:t>
      </w:r>
      <w:r>
        <w:rPr>
          <w:b/>
          <w:i/>
        </w:rPr>
        <w:t>“Assigned Contracts”</w:t>
      </w:r>
      <w:r>
        <w:t xml:space="preserve"> means only the contracts listed on Schedule 1. </w:t>
      </w:r>
      <w:r>
        <w:rPr>
          <w:b/>
          <w:i/>
        </w:rPr>
        <w:t>“Transferred Tangible Property”</w:t>
      </w:r>
      <w:r>
        <w:t xml:space="preserve"> means only the tangible personal property included in Purchased Assets and listed or described on Schedule 2.</w:t>
      </w:r>
    </w:p>
    <w:p>
      <w:pPr>
        <w:pStyle w:val="Heading3"/>
        <w:widowControl/>
        <w:ind w:left="0" w:firstLine="0"/>
      </w:pPr>
      <w:r>
        <w:rPr>
          <w:rFonts w:ascii="Times New Roman" w:hAnsi="Times New Roman"/>
          <w:b/>
          <w:sz w:val="22"/>
          <w:u w:val="single"/>
        </w:rPr>
        <w:t>1.2 Purchase Agreement controls</w:t>
      </w:r>
    </w:p>
    <w:p>
      <w:pPr>
        <w:keepLines w:val="0"/>
        <w:widowControl/>
        <w:ind w:firstLine="720"/>
        <w:jc w:val="both"/>
      </w:pPr>
      <w:r>
        <w:t>This Instrument is subject to every term of the Purchase Agreement. If a conflict exists, the Purchase Agreement controls as to asset and liability perimeter, consideration, representations, covenants, consents, conditions, indemnification, remedies, and dispute allocation. This Instrument controls only the form of the conveyance and assumption it expressly effects. Nothing here enlarges a Purchased Asset or Assumed Liability, narrows an Excluded Asset or Excluded Liability, or creates a new remedy.</w:t>
      </w:r>
    </w:p>
    <w:p>
      <w:pPr>
        <w:pStyle w:val="Heading3"/>
        <w:widowControl/>
        <w:ind w:left="0" w:firstLine="0"/>
      </w:pPr>
      <w:r>
        <w:rPr>
          <w:rFonts w:ascii="Times New Roman" w:hAnsi="Times New Roman"/>
          <w:b/>
          <w:sz w:val="22"/>
          <w:u w:val="single"/>
        </w:rPr>
        <w:t>1.3 Effective time and simultaneous deliveries</w:t>
      </w:r>
    </w:p>
    <w:p>
      <w:pPr>
        <w:keepLines w:val="0"/>
        <w:widowControl/>
        <w:ind w:firstLine="720"/>
        <w:jc w:val="both"/>
      </w:pPr>
      <w:r>
        <w:t>This Instrument becomes effective only at the Effective Time after the release coordinators confirm that Closing has occurred under the Purchase Agreement. If Closing does not occur, this Instrument is void without further action. All transfers and assumptions are deemed simultaneous with the other Closing deliveries.</w:t>
      </w:r>
    </w:p>
    <w:p>
      <w:pPr>
        <w:pStyle w:val="Heading2"/>
        <w:widowControl/>
        <w:ind w:left="0" w:firstLine="0"/>
      </w:pPr>
      <w:r>
        <w:rPr>
          <w:rFonts w:ascii="Times New Roman" w:hAnsi="Times New Roman"/>
          <w:b/>
          <w:sz w:val="22"/>
          <w:u w:val="single"/>
        </w:rPr>
        <w:t>2. Bill of Sale for Tangible Personal Property</w:t>
      </w:r>
    </w:p>
    <w:p>
      <w:pPr>
        <w:pStyle w:val="Heading3"/>
        <w:widowControl/>
        <w:ind w:left="0" w:firstLine="0"/>
      </w:pPr>
      <w:r>
        <w:rPr>
          <w:rFonts w:ascii="Times New Roman" w:hAnsi="Times New Roman"/>
          <w:b/>
          <w:sz w:val="22"/>
          <w:u w:val="single"/>
        </w:rPr>
        <w:t>2.1 Conveyance</w:t>
      </w:r>
    </w:p>
    <w:p>
      <w:pPr>
        <w:widowControl/>
        <w:ind w:firstLine="720"/>
        <w:jc w:val="both"/>
      </w:pPr>
      <w:r>
        <w:t>At the Effective Time, Seller sells, conveys, transfers, assigns, and delivers to Buyer all of Seller’s right, title, and interest in the Transferred Tangible Property, free of liens other than Permitted Liens and liens created by Buyer. This bill of sale applies only to tangible personal property and does not by itself transfer real property, registered or recordable intellectual property, equity interests, permits, bank accounts, vehicles requiring certificate-of-title transfer, or contract rights except to the extent applicable law recognizes the conveyance and the Purchase Agreement and schedules expressly include them.</w:t>
      </w:r>
    </w:p>
    <w:p>
      <w:pPr>
        <w:pStyle w:val="Heading3"/>
        <w:widowControl/>
        <w:ind w:left="0" w:firstLine="0"/>
      </w:pPr>
      <w:r>
        <w:rPr>
          <w:rFonts w:ascii="Times New Roman" w:hAnsi="Times New Roman"/>
          <w:b/>
          <w:sz w:val="22"/>
          <w:u w:val="single"/>
        </w:rPr>
        <w:t>2.2 Property schedule and catchall</w:t>
      </w:r>
    </w:p>
    <w:p>
      <w:pPr>
        <w:widowControl/>
        <w:ind w:firstLine="720"/>
        <w:jc w:val="both"/>
      </w:pPr>
      <w:r>
        <w:t>Schedule 2 must identify material property by description, asset or serial number, location, quantity, condition record, and applicable lien or lease. [[SELECT: It also includes other tangible personal property owned by Seller and used primarily in the Business immediately before Closing, excluding every Excluded Asset / only the specifically listed property transfers.]] The selected catchall may not override an express exclusion or transfer property owned by an Affiliate or third party.</w:t>
      </w:r>
    </w:p>
    <w:p>
      <w:pPr>
        <w:pStyle w:val="Heading3"/>
        <w:widowControl/>
        <w:ind w:left="0" w:firstLine="0"/>
      </w:pPr>
      <w:r>
        <w:rPr>
          <w:rFonts w:ascii="Times New Roman" w:hAnsi="Times New Roman"/>
          <w:b/>
          <w:sz w:val="22"/>
          <w:u w:val="single"/>
        </w:rPr>
        <w:t>2.3 Delivery and risk of loss</w:t>
      </w:r>
    </w:p>
    <w:p>
      <w:pPr>
        <w:widowControl/>
        <w:ind w:firstLine="720"/>
        <w:jc w:val="both"/>
      </w:pPr>
      <w:r>
        <w:t>Possession, custody, access, keys, credentials, manuals, maintenance records, and location-specific delivery evidence are stated on Schedule 2. Risk of loss is allocated under the Purchase Agreement until the Effective Time and to Buyer afterward, except as an express transition or bailment arrangement states. Acceptance of delivery does not waive a Purchase Agreement right.</w:t>
      </w:r>
    </w:p>
    <w:p>
      <w:pPr>
        <w:pStyle w:val="Heading2"/>
        <w:widowControl/>
        <w:ind w:left="0" w:firstLine="0"/>
      </w:pPr>
      <w:r>
        <w:rPr>
          <w:rFonts w:ascii="Times New Roman" w:hAnsi="Times New Roman"/>
          <w:b/>
          <w:sz w:val="22"/>
          <w:u w:val="single"/>
        </w:rPr>
        <w:t>3. Assignment of Contracts Rights and Intangible Assets</w:t>
      </w:r>
    </w:p>
    <w:p>
      <w:pPr>
        <w:pStyle w:val="Heading3"/>
        <w:widowControl/>
        <w:ind w:left="0" w:firstLine="0"/>
      </w:pPr>
      <w:r>
        <w:rPr>
          <w:rFonts w:ascii="Times New Roman" w:hAnsi="Times New Roman"/>
          <w:b/>
          <w:sz w:val="22"/>
          <w:u w:val="single"/>
        </w:rPr>
        <w:t>3.1 Assignment</w:t>
      </w:r>
    </w:p>
    <w:p>
      <w:pPr>
        <w:widowControl/>
        <w:ind w:firstLine="720"/>
        <w:jc w:val="both"/>
      </w:pPr>
      <w:r>
        <w:t>At the Effective Time, Seller assigns to Buyer all of Seller’s right, title, and interest in the Assigned Contracts and the other assignable Purchased Assets expressly listed on Schedule 3, subject to their terms, applicable law, required consents, and Section 5. The assignment includes post-Closing rights and benefits arising under the listed assets, but does not transfer Seller’s claims relating to Excluded Liabilities or pre-Closing matters unless Schedule 3 expressly identifies the claim and the Purchase Agreement authorizes its transfer.</w:t>
      </w:r>
    </w:p>
    <w:p>
      <w:pPr>
        <w:pStyle w:val="Heading3"/>
        <w:widowControl/>
        <w:ind w:left="0" w:firstLine="0"/>
      </w:pPr>
      <w:r>
        <w:rPr>
          <w:rFonts w:ascii="Times New Roman" w:hAnsi="Times New Roman"/>
          <w:b/>
          <w:sz w:val="22"/>
          <w:u w:val="single"/>
        </w:rPr>
        <w:t>3.2 Claims and causes of action</w:t>
      </w:r>
    </w:p>
    <w:p>
      <w:pPr>
        <w:widowControl/>
        <w:ind w:firstLine="720"/>
        <w:jc w:val="both"/>
      </w:pPr>
      <w:r>
        <w:t>Schedule 3 must separately identify any warranty, refund, indemnity, insurance, litigation, or other claim being transferred, including counterparty, basis, period, amount, status, files, privilege analysis, and whether the claim relates to a Purchased Asset or Assumed Liability. A general assignment of “all rights” does not transfer a claim the Purchase Agreement reserves to Seller or whose transfer is prohibited.</w:t>
      </w:r>
    </w:p>
    <w:p>
      <w:pPr>
        <w:pStyle w:val="Heading3"/>
        <w:widowControl/>
        <w:ind w:left="0" w:firstLine="0"/>
      </w:pPr>
      <w:r>
        <w:rPr>
          <w:rFonts w:ascii="Times New Roman" w:hAnsi="Times New Roman"/>
          <w:b/>
          <w:sz w:val="22"/>
          <w:u w:val="single"/>
        </w:rPr>
        <w:t>3.3 Excluded transfers</w:t>
      </w:r>
    </w:p>
    <w:p>
      <w:pPr>
        <w:widowControl/>
        <w:ind w:firstLine="720"/>
        <w:jc w:val="both"/>
      </w:pPr>
      <w:r>
        <w:t>No Excluded Asset transfers. Without limitation, Seller retains the assets listed on Schedule 4, including [cash, tax refunds, insurance rights, privileged communications, corporate records, benefit assets, retained claims, excluded contracts, and personal or Affiliate property] to the extent the Purchase Agreement provides. This Instrument does not transfer a license or permit by implication.</w:t>
      </w:r>
    </w:p>
    <w:p>
      <w:pPr>
        <w:pStyle w:val="Heading2"/>
        <w:widowControl/>
        <w:ind w:left="0" w:firstLine="0"/>
      </w:pPr>
      <w:r>
        <w:rPr>
          <w:rFonts w:ascii="Times New Roman" w:hAnsi="Times New Roman"/>
          <w:b/>
          <w:sz w:val="22"/>
          <w:u w:val="single"/>
        </w:rPr>
        <w:t>4. Assumption of Liabilities</w:t>
      </w:r>
    </w:p>
    <w:p>
      <w:pPr>
        <w:pStyle w:val="Heading3"/>
        <w:widowControl/>
        <w:ind w:left="0" w:firstLine="0"/>
      </w:pPr>
      <w:r>
        <w:rPr>
          <w:rFonts w:ascii="Times New Roman" w:hAnsi="Times New Roman"/>
          <w:b/>
          <w:sz w:val="22"/>
          <w:u w:val="single"/>
        </w:rPr>
        <w:t>4.1 Express assumption</w:t>
      </w:r>
    </w:p>
    <w:p>
      <w:pPr>
        <w:widowControl/>
        <w:ind w:firstLine="720"/>
        <w:jc w:val="both"/>
      </w:pPr>
      <w:r>
        <w:t>At the Effective Time, Buyer accepts the assignment and assumes and agrees to pay, perform, and discharge when due only the Assumed Liabilities listed on Schedule 5 or described by the Purchase Agreement with sufficient specificity. Buyer does not assume a liability merely because it relates to a Purchased Asset, arises after Closing, appears in a record delivered to Buyer, or is necessary to operate the Business.</w:t>
      </w:r>
    </w:p>
    <w:p>
      <w:pPr>
        <w:pStyle w:val="Heading3"/>
        <w:widowControl/>
        <w:ind w:left="0" w:firstLine="0"/>
      </w:pPr>
      <w:r>
        <w:rPr>
          <w:rFonts w:ascii="Times New Roman" w:hAnsi="Times New Roman"/>
          <w:b/>
          <w:sz w:val="22"/>
          <w:u w:val="single"/>
        </w:rPr>
        <w:t>4.2 Excluded Liabilities</w:t>
      </w:r>
    </w:p>
    <w:p>
      <w:pPr>
        <w:keepLines w:val="0"/>
        <w:widowControl/>
        <w:ind w:firstLine="720"/>
        <w:jc w:val="both"/>
      </w:pPr>
      <w:r>
        <w:t>Seller retains every Excluded Liability, including those listed on Schedule 6. Without expanding the Purchase Agreement, excluded categories may include pre-Closing Taxes, debt and transaction expenses paid at Closing, retained employees and benefits, product or service claims for pre-Closing conduct, violations of law, litigation, environmental liabilities, retained contracts, Seller entity obligations, and liabilities arising from excluded assets. A liability cannot be both assumed and excluded; any apparent conflict must be resolved under the Purchase Agreement before release.</w:t>
      </w:r>
    </w:p>
    <w:p>
      <w:pPr>
        <w:pStyle w:val="Heading3"/>
        <w:widowControl/>
        <w:ind w:left="0" w:firstLine="0"/>
      </w:pPr>
      <w:r>
        <w:rPr>
          <w:rFonts w:ascii="Times New Roman" w:hAnsi="Times New Roman"/>
          <w:b/>
          <w:sz w:val="22"/>
          <w:u w:val="single"/>
        </w:rPr>
        <w:t>4.3 No novation or third-party release</w:t>
      </w:r>
    </w:p>
    <w:p>
      <w:pPr>
        <w:widowControl/>
        <w:ind w:firstLine="720"/>
        <w:jc w:val="both"/>
      </w:pPr>
      <w:r>
        <w:t>Assumption does not release Seller from a third-party obligation or create a novation unless the counterparty expressly agrees. Buyer will perform Assumed Liabilities, and the parties will seek releases only as required by the Purchase Agreement. No third party is a beneficiary of this Instrument except as expressly stated in the Purchase Agreement.</w:t>
      </w:r>
    </w:p>
    <w:p>
      <w:pPr>
        <w:pStyle w:val="Heading2"/>
        <w:widowControl/>
        <w:ind w:left="0" w:firstLine="0"/>
      </w:pPr>
      <w:r>
        <w:rPr>
          <w:rFonts w:ascii="Times New Roman" w:hAnsi="Times New Roman"/>
          <w:b/>
          <w:sz w:val="22"/>
          <w:u w:val="single"/>
        </w:rPr>
        <w:t>5. Nonassignable Assets and Missing Consents</w:t>
      </w:r>
    </w:p>
    <w:p>
      <w:pPr>
        <w:pStyle w:val="Heading3"/>
        <w:widowControl/>
        <w:ind w:left="0" w:firstLine="0"/>
      </w:pPr>
      <w:r>
        <w:rPr>
          <w:rFonts w:ascii="Times New Roman" w:hAnsi="Times New Roman"/>
          <w:b/>
          <w:sz w:val="22"/>
          <w:u w:val="single"/>
        </w:rPr>
        <w:t>5.1 No prohibited assignment</w:t>
      </w:r>
    </w:p>
    <w:p>
      <w:pPr>
        <w:keepLines w:val="0"/>
        <w:widowControl/>
        <w:ind w:firstLine="720"/>
        <w:jc w:val="both"/>
      </w:pPr>
      <w:r>
        <w:t>This Instrument does not constitute an assignment if the assignment would violate law or a binding contract or require an unobtained consent and the attempted assignment would be ineffective, give rise to termination, or materially reduce value. Schedule 7 lists each affected asset, restriction, consent status, interim arrangement, economics, owner, and deadline.</w:t>
      </w:r>
    </w:p>
    <w:p>
      <w:pPr>
        <w:pStyle w:val="Heading3"/>
        <w:widowControl/>
        <w:ind w:left="0" w:firstLine="0"/>
      </w:pPr>
      <w:r>
        <w:rPr>
          <w:rFonts w:ascii="Times New Roman" w:hAnsi="Times New Roman"/>
          <w:b/>
          <w:sz w:val="22"/>
          <w:u w:val="single"/>
        </w:rPr>
        <w:t>5.2 Alternative arrangements</w:t>
      </w:r>
    </w:p>
    <w:p>
      <w:pPr>
        <w:widowControl/>
        <w:ind w:firstLine="720"/>
        <w:jc w:val="both"/>
      </w:pPr>
      <w:r>
        <w:t>Until a required consent or novation is obtained, the parties will use the efforts required by the Purchase Agreement to provide Buyer the lawful economic and operational benefit and burden of the affected asset, through subcontracting, agency, collection, pass-through, license, or another approved arrangement. No arrangement requires a party to violate law or contract, waive privilege, incur an unapproved cost, extend credit, or transfer regulated authority.</w:t>
      </w:r>
    </w:p>
    <w:p>
      <w:pPr>
        <w:pStyle w:val="Heading3"/>
        <w:widowControl/>
        <w:ind w:left="0" w:firstLine="0"/>
      </w:pPr>
      <w:r>
        <w:rPr>
          <w:rFonts w:ascii="Times New Roman" w:hAnsi="Times New Roman"/>
          <w:b/>
          <w:sz w:val="22"/>
          <w:u w:val="single"/>
        </w:rPr>
        <w:t>5.3 Post-consent transfer</w:t>
      </w:r>
    </w:p>
    <w:p>
      <w:pPr>
        <w:widowControl/>
        <w:ind w:firstLine="720"/>
        <w:jc w:val="both"/>
      </w:pPr>
      <w:r>
        <w:t>When consent is obtained, the asset and related Assumed Liability transfer automatically at the time stated in the consent or, if an additional instrument is required, the parties will execute it promptly without additional purchase price. The parties will update the schedules and transfer register. Seller remains entitled to reimbursement and indemnity allocated by the Purchase Agreement during the interim.</w:t>
      </w:r>
    </w:p>
    <w:p>
      <w:pPr>
        <w:pStyle w:val="Heading2"/>
        <w:widowControl/>
        <w:ind w:left="0" w:firstLine="0"/>
      </w:pPr>
      <w:r>
        <w:rPr>
          <w:rFonts w:ascii="Times New Roman" w:hAnsi="Times New Roman"/>
          <w:b/>
          <w:sz w:val="22"/>
          <w:u w:val="single"/>
        </w:rPr>
        <w:t>6. Intellectual Property Data and Records</w:t>
      </w:r>
    </w:p>
    <w:p>
      <w:pPr>
        <w:pStyle w:val="Heading3"/>
        <w:widowControl/>
        <w:ind w:left="0" w:firstLine="0"/>
      </w:pPr>
      <w:r>
        <w:rPr>
          <w:rFonts w:ascii="Times New Roman" w:hAnsi="Times New Roman"/>
          <w:b/>
          <w:sz w:val="22"/>
          <w:u w:val="single"/>
        </w:rPr>
        <w:t>6.1 Separate IP instruments</w:t>
      </w:r>
    </w:p>
    <w:p>
      <w:pPr>
        <w:widowControl/>
        <w:ind w:firstLine="720"/>
        <w:jc w:val="both"/>
      </w:pPr>
      <w:r>
        <w:t>Registered patents, trademarks, copyrights, domains, social accounts, software repositories, source code, data rights, trade secrets, licenses, and technology assets must be described in the Purchase Agreement and Schedule 8. Recordable assignments should be executed separately in jurisdiction-appropriate forms. This Instrument does not imply ownership of third-party, open-source, employee, contractor, customer, or model-provider rights.</w:t>
      </w:r>
    </w:p>
    <w:p>
      <w:pPr>
        <w:pStyle w:val="Heading3"/>
        <w:widowControl/>
        <w:ind w:left="0" w:firstLine="0"/>
      </w:pPr>
      <w:r>
        <w:rPr>
          <w:rFonts w:ascii="Times New Roman" w:hAnsi="Times New Roman"/>
          <w:b/>
          <w:sz w:val="22"/>
          <w:u w:val="single"/>
        </w:rPr>
        <w:t>6.2 Data and privacy</w:t>
      </w:r>
    </w:p>
    <w:p>
      <w:pPr>
        <w:widowControl/>
        <w:ind w:firstLine="720"/>
        <w:jc w:val="both"/>
      </w:pPr>
      <w:r>
        <w:t>Transfer of personal, regulated, confidential, or security-sensitive data is limited to data lawfully included in Purchased Assets and transferred under the Purchase Agreement’s privacy and security provisions. The parties will complete notices, consents, segregation, access, secure transfer, incident, retention, and deletion actions in Schedule 9. Credentials and secrets must be rotated or transferred through an approved secure process, not listed in this Instrument.</w:t>
      </w:r>
    </w:p>
    <w:p>
      <w:pPr>
        <w:pStyle w:val="Heading3"/>
        <w:widowControl/>
        <w:ind w:left="0" w:firstLine="0"/>
      </w:pPr>
      <w:r>
        <w:rPr>
          <w:rFonts w:ascii="Times New Roman" w:hAnsi="Times New Roman"/>
          <w:b/>
          <w:sz w:val="22"/>
          <w:u w:val="single"/>
        </w:rPr>
        <w:t>6.3 Books records and privilege</w:t>
      </w:r>
    </w:p>
    <w:p>
      <w:pPr>
        <w:keepLines w:val="0"/>
        <w:widowControl/>
        <w:ind w:firstLine="720"/>
        <w:jc w:val="both"/>
      </w:pPr>
      <w:r>
        <w:t>Seller will deliver the books and records included in Purchased Assets while retaining copies permitted by the Purchase Agreement. Privileged material, corporate records, Tax records, personnel records, and data subject to third-party restrictions are handled under the specific access and privilege protocol. Delivery does not waive privilege or transfer control of counsel communications except as expressly agreed and lawful.</w:t>
      </w:r>
    </w:p>
    <w:p>
      <w:pPr>
        <w:pStyle w:val="Heading2"/>
        <w:widowControl/>
        <w:ind w:left="0" w:firstLine="0"/>
      </w:pPr>
      <w:r>
        <w:rPr>
          <w:rFonts w:ascii="Times New Roman" w:hAnsi="Times New Roman"/>
          <w:b/>
          <w:sz w:val="22"/>
          <w:u w:val="single"/>
        </w:rPr>
        <w:t>7. Further Assurances and Corrective Instruments</w:t>
      </w:r>
    </w:p>
    <w:p>
      <w:pPr>
        <w:widowControl/>
        <w:ind w:firstLine="720"/>
        <w:jc w:val="both"/>
      </w:pPr>
      <w:r>
        <w:t>After Closing, each party will execute reasonable documents and take reasonable actions necessary to evidence a transfer or assumption already required by the Purchase Agreement. The requesting party bears incremental external cost unless the need results from the other party’s breach. A further-assurance instrument may not change consideration, transfer an Excluded Asset, assume an Excluded Liability, add a representation or release, waive a claim, or expand remedies without an amendment authorized under the Purchase Agreement.</w:t>
      </w:r>
    </w:p>
    <w:p>
      <w:pPr>
        <w:widowControl/>
        <w:ind w:firstLine="720"/>
        <w:jc w:val="both"/>
      </w:pPr>
      <w:r>
        <w:t>If property was mistakenly transferred, the recipient will return it promptly. If a Purchased Asset was mistakenly retained, Seller will transfer it promptly, subject to required consents. Related revenue, cost, Tax, and liability will be allocated under the Purchase Agreement, with records sufficient to prevent double recovery.</w:t>
      </w:r>
    </w:p>
    <w:p>
      <w:pPr>
        <w:pStyle w:val="Heading2"/>
        <w:widowControl/>
        <w:ind w:left="0" w:firstLine="0"/>
      </w:pPr>
      <w:r>
        <w:rPr>
          <w:rFonts w:ascii="Times New Roman" w:hAnsi="Times New Roman"/>
          <w:b/>
          <w:sz w:val="22"/>
          <w:u w:val="single"/>
        </w:rPr>
        <w:t>8. Taxes Fees and Filings</w:t>
      </w:r>
    </w:p>
    <w:p>
      <w:pPr>
        <w:widowControl/>
        <w:ind w:firstLine="720"/>
        <w:jc w:val="both"/>
      </w:pPr>
      <w:r>
        <w:t>Transfer, sales, use, stamp, recording, bulk-sales, vehicle, property, and similar Taxes and fees are allocated under the Purchase Agreement. The parties will cooperate on exemption certificates, returns, valuations, and filings. Nothing in this Instrument determines purchase-price allocation or fair market value. Schedule 10 identifies every filing, office, form, fee, owner, due date, and evidence. Counsel must confirm any bulk-transfer, successor-liability, permit, environmental, and local-law requirements.</w:t>
      </w:r>
    </w:p>
    <w:p>
      <w:pPr>
        <w:pStyle w:val="Heading2"/>
        <w:widowControl/>
        <w:ind w:left="0" w:firstLine="0"/>
      </w:pPr>
      <w:r>
        <w:rPr>
          <w:rFonts w:ascii="Times New Roman" w:hAnsi="Times New Roman"/>
          <w:b/>
          <w:sz w:val="22"/>
          <w:u w:val="single"/>
        </w:rPr>
        <w:t>9. No Additional Representations or Remedies</w:t>
      </w:r>
    </w:p>
    <w:p>
      <w:pPr>
        <w:widowControl/>
        <w:ind w:firstLine="720"/>
        <w:jc w:val="both"/>
      </w:pPr>
      <w:r>
        <w:t>The conveyances are made solely on the representations and covenants in the Purchase Agreement. Except as expressly stated there, Seller disclaims implied warranties of merchantability, fitness, condition, title, noninfringement, and future performance to the extent lawful. Buyer’s inspection or acceptance does not waive express rights. Claims, indemnities, survival, caps, baskets, insurance, and exclusive remedies are governed only by the Purchase Agreement.</w:t>
      </w:r>
    </w:p>
    <w:p>
      <w:pPr>
        <w:pStyle w:val="Heading2"/>
        <w:widowControl/>
        <w:ind w:left="0" w:firstLine="0"/>
      </w:pPr>
      <w:r>
        <w:rPr>
          <w:rFonts w:ascii="Times New Roman" w:hAnsi="Times New Roman"/>
          <w:b/>
          <w:sz w:val="22"/>
          <w:u w:val="single"/>
        </w:rPr>
        <w:t>10. General Terms</w:t>
      </w:r>
    </w:p>
    <w:p>
      <w:pPr>
        <w:keepLines w:val="0"/>
        <w:widowControl/>
        <w:ind w:firstLine="720"/>
        <w:jc w:val="both"/>
      </w:pPr>
      <w:r>
        <w:t>This Instrument is governed by the law and forum provisions of the Purchase Agreement. Notices, assignment, amendments, waivers, severability, counterparts, electronic signatures, and third-party beneficiary treatment follow the Purchase Agreement. Neither party may assign this Instrument separately from permitted assignment of the Purchase Agreement and relevant assets or liabilities. Headings do not affect interpretation. This Instrument may be recorded or delivered to a third party only in a form that protects confidential schedules and complies with law.</w:t>
      </w:r>
    </w:p>
    <w:p>
      <w:pPr>
        <w:widowControl/>
        <w:sectPr>
          <w:headerReference w:type="default" r:id="rId9"/>
          <w:headerReference w:type="first" r:id="rId10"/>
          <w:footerReference w:type="default" r:id="rId11"/>
          <w:footerReference w:type="first" r:id="rId12"/>
          <w:pgSz w:w="12240" w:h="15840"/>
          <w:pgMar w:top="1440" w:right="1440" w:bottom="1440" w:left="1440" w:header="518" w:footer="518" w:gutter="0"/>
          <w:cols w:space="720"/>
          <w:titlePg/>
          <w:docGrid w:linePitch="360"/>
        </w:sectPr>
      </w:pPr>
    </w:p>
    <w:p>
      <w:pPr>
        <w:pStyle w:val="Heading2"/>
        <w:widowControl/>
        <w:ind w:left="0" w:firstLine="0"/>
      </w:pPr>
      <w:r>
        <w:rPr>
          <w:rFonts w:ascii="Times New Roman" w:hAnsi="Times New Roman"/>
          <w:b/>
          <w:sz w:val="22"/>
          <w:u w:val="single"/>
        </w:rPr>
        <w:t>Signature Page</w:t>
      </w:r>
    </w:p>
    <w:tbl>
      <w:tblPr>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4680"/>
        <w:gridCol w:w="4680"/>
      </w:tblGrid>
      <w:tr>
        <w:trPr>
          <w:cantSplit/>
        </w:trPr>
        <w:tc>
          <w:tcPr>
            <w:tcW w:type="dxa" w:w="4392"/>
            <w:vAlign w:val="top"/>
            <w:tcMar>
              <w:top w:w="120" w:type="dxa"/>
              <w:start w:w="80" w:type="dxa"/>
              <w:bottom w:w="240" w:type="dxa"/>
              <w:end w:w="120" w:type="dxa"/>
            </w:tcMar>
            <w:shd w:fill="DCE6F1"/>
          </w:tcPr>
          <w:p>
            <w:pPr>
              <w:keepLines/>
              <w:spacing w:after="0"/>
            </w:pPr>
            <w:r>
              <w:rPr>
                <w:rFonts w:ascii="Times New Roman" w:hAnsi="Times New Roman"/>
                <w:b/>
                <w:sz w:val="22"/>
              </w:rPr>
              <w:t>SELLER:</w:t>
            </w:r>
            <w:r>
              <w:rPr>
                <w:rFonts w:ascii="Times New Roman" w:hAnsi="Times New Roman"/>
                <w:b/>
                <w:sz w:val="22"/>
              </w:rPr>
              <w:t xml:space="preserve"> [SELLER] By: ______________________________</w:t>
            </w:r>
            <w:r>
              <w:rPr>
                <w:rFonts w:ascii="Times New Roman" w:hAnsi="Times New Roman"/>
                <w:b/>
                <w:sz w:val="22"/>
              </w:rPr>
              <w:br/>
            </w:r>
            <w:r>
              <w:rPr>
                <w:rFonts w:ascii="Times New Roman" w:hAnsi="Times New Roman"/>
                <w:b/>
                <w:sz w:val="22"/>
              </w:rPr>
              <w:t>Name: [NAME]</w:t>
            </w:r>
            <w:r>
              <w:rPr>
                <w:rFonts w:ascii="Times New Roman" w:hAnsi="Times New Roman"/>
                <w:b/>
                <w:sz w:val="22"/>
              </w:rPr>
              <w:br/>
            </w:r>
            <w:r>
              <w:rPr>
                <w:rFonts w:ascii="Times New Roman" w:hAnsi="Times New Roman"/>
                <w:b/>
                <w:sz w:val="22"/>
              </w:rPr>
              <w:t>Title: [TITLE]</w:t>
            </w:r>
          </w:p>
        </w:tc>
        <w:tc>
          <w:tcPr>
            <w:tcW w:type="dxa" w:w="4392"/>
            <w:vAlign w:val="top"/>
            <w:tcMar>
              <w:top w:w="120" w:type="dxa"/>
              <w:start w:w="80" w:type="dxa"/>
              <w:bottom w:w="240" w:type="dxa"/>
              <w:end w:w="120" w:type="dxa"/>
            </w:tcMar>
            <w:shd w:fill="DCE6F1"/>
          </w:tcPr>
          <w:p>
            <w:pPr>
              <w:keepLines/>
              <w:spacing w:after="0"/>
            </w:pPr>
            <w:r>
              <w:rPr>
                <w:rFonts w:ascii="Times New Roman" w:hAnsi="Times New Roman"/>
                <w:b/>
                <w:sz w:val="22"/>
              </w:rPr>
              <w:t>BUYER:</w:t>
            </w:r>
            <w:r>
              <w:rPr>
                <w:rFonts w:ascii="Times New Roman" w:hAnsi="Times New Roman"/>
                <w:b/>
                <w:sz w:val="22"/>
              </w:rPr>
              <w:t xml:space="preserve"> [BUYER] By: ______________________________</w:t>
            </w:r>
            <w:r>
              <w:rPr>
                <w:rFonts w:ascii="Times New Roman" w:hAnsi="Times New Roman"/>
                <w:b/>
                <w:sz w:val="22"/>
              </w:rPr>
              <w:br/>
            </w:r>
            <w:r>
              <w:rPr>
                <w:rFonts w:ascii="Times New Roman" w:hAnsi="Times New Roman"/>
                <w:b/>
                <w:sz w:val="22"/>
              </w:rPr>
              <w:t>Name: [NAME]</w:t>
            </w:r>
            <w:r>
              <w:rPr>
                <w:rFonts w:ascii="Times New Roman" w:hAnsi="Times New Roman"/>
                <w:b/>
                <w:sz w:val="22"/>
              </w:rPr>
              <w:br/>
            </w:r>
            <w:r>
              <w:rPr>
                <w:rFonts w:ascii="Times New Roman" w:hAnsi="Times New Roman"/>
                <w:b/>
                <w:sz w:val="22"/>
              </w:rPr>
              <w:t>Title: [TITLE]</w:t>
            </w:r>
          </w:p>
        </w:tc>
      </w:tr>
    </w:tbl>
    <w:p>
      <w:pPr>
        <w:widowControl/>
        <w:sectPr>
          <w:headerReference w:type="default" r:id="rId13"/>
          <w:headerReference w:type="first" r:id="rId14"/>
          <w:footerReference w:type="default" r:id="rId15"/>
          <w:footerReference w:type="first" r:id="rId16"/>
          <w:pgSz w:w="12240" w:h="15840"/>
          <w:pgMar w:top="1440" w:right="1440" w:bottom="1440" w:left="1440" w:header="518" w:footer="518" w:gutter="0"/>
          <w:cols w:space="720"/>
          <w:docGrid w:linePitch="360"/>
        </w:sectPr>
      </w:pPr>
    </w:p>
    <w:p>
      <w:pPr>
        <w:pStyle w:val="Heading2"/>
        <w:widowControl/>
        <w:spacing w:before="1200"/>
        <w:ind w:left="0" w:firstLine="0"/>
      </w:pPr>
      <w:r>
        <w:rPr>
          <w:rFonts w:ascii="Times New Roman" w:hAnsi="Times New Roman"/>
          <w:b/>
          <w:sz w:val="22"/>
          <w:u w:val="single"/>
        </w:rPr>
        <w:t>Schedules and Exhibits</w:t>
      </w:r>
    </w:p>
    <w:p>
      <w:pPr>
        <w:pStyle w:val="Heading3"/>
        <w:widowControl/>
        <w:ind w:left="0" w:firstLine="0"/>
      </w:pPr>
      <w:r>
        <w:rPr>
          <w:rFonts w:ascii="Times New Roman" w:hAnsi="Times New Roman"/>
          <w:b/>
          <w:sz w:val="22"/>
          <w:u w:val="single"/>
        </w:rPr>
        <w:t>Schedule 1 Assigned Contracts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337"/>
        <w:gridCol w:w="1337"/>
        <w:gridCol w:w="1337"/>
        <w:gridCol w:w="1337"/>
        <w:gridCol w:w="1337"/>
        <w:gridCol w:w="1337"/>
        <w:gridCol w:w="1337"/>
      </w:tblGrid>
      <w:tr>
        <w:trPr>
          <w:tblHeader w:val="true"/>
          <w:cantSplit/>
        </w:trPr>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Counterparty</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Contract title and date</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Amendments SOWs and side letters</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Assignment restriction</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Consent status</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Assumed obligations</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Source</w:t>
            </w:r>
          </w:p>
        </w:tc>
      </w:tr>
      <w:tr>
        <w:trPr>
          <w:cantSplit/>
        </w:trPr>
        <w:tc>
          <w:tcPr>
            <w:tcW w:type="dxa" w:w="1337"/>
            <w:vAlign w:val="center"/>
            <w:tcMar>
              <w:top w:w="55" w:type="dxa"/>
              <w:start w:w="70" w:type="dxa"/>
              <w:bottom w:w="55" w:type="dxa"/>
              <w:end w:w="70" w:type="dxa"/>
            </w:tcMar>
          </w:tcPr>
          <w:p>
            <w:pPr>
              <w:spacing w:after="0"/>
            </w:pPr>
            <w:r>
              <w:rPr>
                <w:rFonts w:ascii="Times New Roman" w:hAnsi="Times New Roman"/>
                <w:sz w:val="18"/>
              </w:rPr>
              <w:t>[NAME]</w:t>
            </w:r>
          </w:p>
        </w:tc>
        <w:tc>
          <w:tcPr>
            <w:tcW w:type="dxa" w:w="1337"/>
            <w:vAlign w:val="center"/>
            <w:tcMar>
              <w:top w:w="55" w:type="dxa"/>
              <w:start w:w="70" w:type="dxa"/>
              <w:bottom w:w="55" w:type="dxa"/>
              <w:end w:w="70" w:type="dxa"/>
            </w:tcMar>
          </w:tcPr>
          <w:p>
            <w:pPr>
              <w:spacing w:after="0"/>
            </w:pPr>
            <w:r>
              <w:rPr>
                <w:rFonts w:ascii="Times New Roman" w:hAnsi="Times New Roman"/>
                <w:sz w:val="18"/>
              </w:rPr>
              <w:t>[DOCUMENT]</w:t>
            </w:r>
          </w:p>
        </w:tc>
        <w:tc>
          <w:tcPr>
            <w:tcW w:type="dxa" w:w="1337"/>
            <w:vAlign w:val="center"/>
            <w:tcMar>
              <w:top w:w="55" w:type="dxa"/>
              <w:start w:w="70" w:type="dxa"/>
              <w:bottom w:w="55" w:type="dxa"/>
              <w:end w:w="70" w:type="dxa"/>
            </w:tcMar>
          </w:tcPr>
          <w:p>
            <w:pPr>
              <w:spacing w:after="0"/>
            </w:pPr>
            <w:r>
              <w:rPr>
                <w:rFonts w:ascii="Times New Roman" w:hAnsi="Times New Roman"/>
                <w:sz w:val="18"/>
              </w:rPr>
              <w:t>[LIST]</w:t>
            </w:r>
          </w:p>
        </w:tc>
        <w:tc>
          <w:tcPr>
            <w:tcW w:type="dxa" w:w="1337"/>
            <w:vAlign w:val="center"/>
            <w:tcMar>
              <w:top w:w="55" w:type="dxa"/>
              <w:start w:w="70" w:type="dxa"/>
              <w:bottom w:w="55" w:type="dxa"/>
              <w:end w:w="70" w:type="dxa"/>
            </w:tcMar>
          </w:tcPr>
          <w:p>
            <w:pPr>
              <w:spacing w:after="0"/>
            </w:pPr>
            <w:r>
              <w:rPr>
                <w:rFonts w:ascii="Times New Roman" w:hAnsi="Times New Roman"/>
                <w:sz w:val="18"/>
              </w:rPr>
              <w:t>[TERM]</w:t>
            </w:r>
          </w:p>
        </w:tc>
        <w:tc>
          <w:tcPr>
            <w:tcW w:type="dxa" w:w="1337"/>
            <w:vAlign w:val="center"/>
            <w:tcMar>
              <w:top w:w="55" w:type="dxa"/>
              <w:start w:w="70" w:type="dxa"/>
              <w:bottom w:w="55" w:type="dxa"/>
              <w:end w:w="70" w:type="dxa"/>
            </w:tcMar>
          </w:tcPr>
          <w:p>
            <w:pPr>
              <w:spacing w:after="0"/>
            </w:pPr>
            <w:r>
              <w:rPr>
                <w:rFonts w:ascii="Times New Roman" w:hAnsi="Times New Roman"/>
                <w:sz w:val="18"/>
              </w:rPr>
              <w:t>[STATUS]</w:t>
            </w:r>
          </w:p>
        </w:tc>
        <w:tc>
          <w:tcPr>
            <w:tcW w:type="dxa" w:w="1337"/>
            <w:vAlign w:val="center"/>
            <w:tcMar>
              <w:top w:w="55" w:type="dxa"/>
              <w:start w:w="70" w:type="dxa"/>
              <w:bottom w:w="55" w:type="dxa"/>
              <w:end w:w="70" w:type="dxa"/>
            </w:tcMar>
          </w:tcPr>
          <w:p>
            <w:pPr>
              <w:spacing w:after="0"/>
            </w:pPr>
            <w:r>
              <w:rPr>
                <w:rFonts w:ascii="Times New Roman" w:hAnsi="Times New Roman"/>
                <w:sz w:val="18"/>
              </w:rPr>
              <w:t>[SCOPE / DATE]</w:t>
            </w:r>
          </w:p>
        </w:tc>
        <w:tc>
          <w:tcPr>
            <w:tcW w:type="dxa" w:w="1337"/>
            <w:vAlign w:val="center"/>
            <w:tcMar>
              <w:top w:w="55" w:type="dxa"/>
              <w:start w:w="70" w:type="dxa"/>
              <w:bottom w:w="55" w:type="dxa"/>
              <w:end w:w="70" w:type="dxa"/>
            </w:tcMar>
          </w:tcPr>
          <w:p>
            <w:pPr>
              <w:spacing w:after="0"/>
            </w:pPr>
            <w:r>
              <w:rPr>
                <w:rFonts w:ascii="Times New Roman" w:hAnsi="Times New Roman"/>
                <w:sz w:val="18"/>
              </w:rPr>
              <w:t>[ID]</w:t>
            </w:r>
          </w:p>
        </w:tc>
      </w:tr>
    </w:tbl>
    <w:p>
      <w:pPr>
        <w:widowControl/>
        <w:spacing w:after="20"/>
      </w:pPr>
    </w:p>
    <w:p>
      <w:pPr>
        <w:pStyle w:val="Heading3"/>
        <w:widowControl/>
        <w:ind w:left="0" w:firstLine="0"/>
      </w:pPr>
      <w:r>
        <w:rPr>
          <w:rFonts w:ascii="Times New Roman" w:hAnsi="Times New Roman"/>
          <w:b/>
          <w:sz w:val="22"/>
          <w:u w:val="single"/>
        </w:rPr>
        <w:t>Schedule 2 Transferred Tangible Property</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337"/>
        <w:gridCol w:w="1337"/>
        <w:gridCol w:w="1337"/>
        <w:gridCol w:w="1337"/>
        <w:gridCol w:w="1337"/>
        <w:gridCol w:w="1337"/>
        <w:gridCol w:w="1337"/>
      </w:tblGrid>
      <w:tr>
        <w:trPr>
          <w:tblHeader w:val="true"/>
          <w:cantSplit/>
        </w:trPr>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Asset</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ID or serial</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Location</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Owner</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Quantity and condition</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Lien or lease</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Delivery method and evidence</w:t>
            </w:r>
          </w:p>
        </w:tc>
      </w:tr>
      <w:tr>
        <w:trPr>
          <w:cantSplit/>
        </w:trPr>
        <w:tc>
          <w:tcPr>
            <w:tcW w:type="dxa" w:w="1337"/>
            <w:vAlign w:val="center"/>
            <w:tcMar>
              <w:top w:w="55" w:type="dxa"/>
              <w:start w:w="70" w:type="dxa"/>
              <w:bottom w:w="55" w:type="dxa"/>
              <w:end w:w="70" w:type="dxa"/>
            </w:tcMar>
          </w:tcPr>
          <w:p>
            <w:pPr>
              <w:spacing w:after="0"/>
            </w:pPr>
            <w:r>
              <w:rPr>
                <w:rFonts w:ascii="Times New Roman" w:hAnsi="Times New Roman"/>
                <w:sz w:val="18"/>
              </w:rPr>
              <w:t>[ITEM]</w:t>
            </w:r>
          </w:p>
        </w:tc>
        <w:tc>
          <w:tcPr>
            <w:tcW w:type="dxa" w:w="1337"/>
            <w:vAlign w:val="center"/>
            <w:tcMar>
              <w:top w:w="55" w:type="dxa"/>
              <w:start w:w="70" w:type="dxa"/>
              <w:bottom w:w="55" w:type="dxa"/>
              <w:end w:w="70" w:type="dxa"/>
            </w:tcMar>
          </w:tcPr>
          <w:p>
            <w:pPr>
              <w:spacing w:after="0"/>
            </w:pPr>
            <w:r>
              <w:rPr>
                <w:rFonts w:ascii="Times New Roman" w:hAnsi="Times New Roman"/>
                <w:sz w:val="18"/>
              </w:rPr>
              <w:t>[ID]</w:t>
            </w:r>
          </w:p>
        </w:tc>
        <w:tc>
          <w:tcPr>
            <w:tcW w:type="dxa" w:w="1337"/>
            <w:vAlign w:val="center"/>
            <w:tcMar>
              <w:top w:w="55" w:type="dxa"/>
              <w:start w:w="70" w:type="dxa"/>
              <w:bottom w:w="55" w:type="dxa"/>
              <w:end w:w="70" w:type="dxa"/>
            </w:tcMar>
          </w:tcPr>
          <w:p>
            <w:pPr>
              <w:spacing w:after="0"/>
            </w:pPr>
            <w:r>
              <w:rPr>
                <w:rFonts w:ascii="Times New Roman" w:hAnsi="Times New Roman"/>
                <w:sz w:val="18"/>
              </w:rPr>
              <w:t>[LOCATION]</w:t>
            </w:r>
          </w:p>
        </w:tc>
        <w:tc>
          <w:tcPr>
            <w:tcW w:type="dxa" w:w="1337"/>
            <w:vAlign w:val="center"/>
            <w:tcMar>
              <w:top w:w="55" w:type="dxa"/>
              <w:start w:w="70" w:type="dxa"/>
              <w:bottom w:w="55" w:type="dxa"/>
              <w:end w:w="70" w:type="dxa"/>
            </w:tcMar>
          </w:tcPr>
          <w:p>
            <w:pPr>
              <w:spacing w:after="0"/>
            </w:pPr>
            <w:r>
              <w:rPr>
                <w:rFonts w:ascii="Times New Roman" w:hAnsi="Times New Roman"/>
                <w:sz w:val="18"/>
              </w:rPr>
              <w:t>[SELLER]</w:t>
            </w:r>
          </w:p>
        </w:tc>
        <w:tc>
          <w:tcPr>
            <w:tcW w:type="dxa" w:w="1337"/>
            <w:vAlign w:val="center"/>
            <w:tcMar>
              <w:top w:w="55" w:type="dxa"/>
              <w:start w:w="70" w:type="dxa"/>
              <w:bottom w:w="55" w:type="dxa"/>
              <w:end w:w="70" w:type="dxa"/>
            </w:tcMar>
          </w:tcPr>
          <w:p>
            <w:pPr>
              <w:spacing w:after="0"/>
            </w:pPr>
            <w:r>
              <w:rPr>
                <w:rFonts w:ascii="Times New Roman" w:hAnsi="Times New Roman"/>
                <w:sz w:val="18"/>
              </w:rPr>
              <w:t>[DETAIL]</w:t>
            </w:r>
          </w:p>
        </w:tc>
        <w:tc>
          <w:tcPr>
            <w:tcW w:type="dxa" w:w="1337"/>
            <w:vAlign w:val="center"/>
            <w:tcMar>
              <w:top w:w="55" w:type="dxa"/>
              <w:start w:w="70" w:type="dxa"/>
              <w:bottom w:w="55" w:type="dxa"/>
              <w:end w:w="70" w:type="dxa"/>
            </w:tcMar>
          </w:tcPr>
          <w:p>
            <w:pPr>
              <w:spacing w:after="0"/>
            </w:pPr>
            <w:r>
              <w:rPr>
                <w:rFonts w:ascii="Times New Roman" w:hAnsi="Times New Roman"/>
                <w:sz w:val="18"/>
              </w:rPr>
              <w:t>[NONE / DETAIL]</w:t>
            </w:r>
          </w:p>
        </w:tc>
        <w:tc>
          <w:tcPr>
            <w:tcW w:type="dxa" w:w="1337"/>
            <w:vAlign w:val="center"/>
            <w:tcMar>
              <w:top w:w="55" w:type="dxa"/>
              <w:start w:w="70" w:type="dxa"/>
              <w:bottom w:w="55" w:type="dxa"/>
              <w:end w:w="70" w:type="dxa"/>
            </w:tcMar>
          </w:tcPr>
          <w:p>
            <w:pPr>
              <w:spacing w:after="0"/>
            </w:pPr>
            <w:r>
              <w:rPr>
                <w:rFonts w:ascii="Times New Roman" w:hAnsi="Times New Roman"/>
                <w:sz w:val="18"/>
              </w:rPr>
              <w:t>[METHOD / FILE]</w:t>
            </w:r>
          </w:p>
        </w:tc>
      </w:tr>
    </w:tbl>
    <w:p>
      <w:pPr>
        <w:widowControl/>
        <w:spacing w:after="20"/>
      </w:pPr>
    </w:p>
    <w:p>
      <w:pPr>
        <w:pStyle w:val="Heading3"/>
        <w:widowControl/>
        <w:ind w:left="0" w:firstLine="0"/>
      </w:pPr>
      <w:r>
        <w:rPr>
          <w:rFonts w:ascii="Times New Roman" w:hAnsi="Times New Roman"/>
          <w:b/>
          <w:sz w:val="22"/>
          <w:u w:val="single"/>
        </w:rPr>
        <w:t>Schedule 3 Other Assigned Assets and Claims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337"/>
        <w:gridCol w:w="1337"/>
        <w:gridCol w:w="1337"/>
        <w:gridCol w:w="1337"/>
        <w:gridCol w:w="1337"/>
        <w:gridCol w:w="1337"/>
        <w:gridCol w:w="1337"/>
      </w:tblGrid>
      <w:tr>
        <w:trPr>
          <w:tblHeader w:val="true"/>
          <w:cantSplit/>
        </w:trPr>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Asset right or claim</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Legal owner</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Scope and period</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Restriction or consent</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Related liability</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Separate instrument</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Source and privilege status</w:t>
            </w:r>
          </w:p>
        </w:tc>
      </w:tr>
      <w:tr>
        <w:trPr>
          <w:cantSplit/>
        </w:trPr>
        <w:tc>
          <w:tcPr>
            <w:tcW w:type="dxa" w:w="1337"/>
            <w:vAlign w:val="center"/>
            <w:tcMar>
              <w:top w:w="55" w:type="dxa"/>
              <w:start w:w="70" w:type="dxa"/>
              <w:bottom w:w="55" w:type="dxa"/>
              <w:end w:w="70" w:type="dxa"/>
            </w:tcMar>
          </w:tcPr>
          <w:p>
            <w:pPr>
              <w:spacing w:after="0"/>
            </w:pPr>
            <w:r>
              <w:rPr>
                <w:rFonts w:ascii="Times New Roman" w:hAnsi="Times New Roman"/>
                <w:sz w:val="18"/>
              </w:rPr>
              <w:t>[ITEM]</w:t>
            </w:r>
          </w:p>
        </w:tc>
        <w:tc>
          <w:tcPr>
            <w:tcW w:type="dxa" w:w="1337"/>
            <w:vAlign w:val="center"/>
            <w:tcMar>
              <w:top w:w="55" w:type="dxa"/>
              <w:start w:w="70" w:type="dxa"/>
              <w:bottom w:w="55" w:type="dxa"/>
              <w:end w:w="70" w:type="dxa"/>
            </w:tcMar>
          </w:tcPr>
          <w:p>
            <w:pPr>
              <w:spacing w:after="0"/>
            </w:pPr>
            <w:r>
              <w:rPr>
                <w:rFonts w:ascii="Times New Roman" w:hAnsi="Times New Roman"/>
                <w:sz w:val="18"/>
              </w:rPr>
              <w:t>[OWNER]</w:t>
            </w:r>
          </w:p>
        </w:tc>
        <w:tc>
          <w:tcPr>
            <w:tcW w:type="dxa" w:w="1337"/>
            <w:vAlign w:val="center"/>
            <w:tcMar>
              <w:top w:w="55" w:type="dxa"/>
              <w:start w:w="70" w:type="dxa"/>
              <w:bottom w:w="55" w:type="dxa"/>
              <w:end w:w="70" w:type="dxa"/>
            </w:tcMar>
          </w:tcPr>
          <w:p>
            <w:pPr>
              <w:spacing w:after="0"/>
            </w:pPr>
            <w:r>
              <w:rPr>
                <w:rFonts w:ascii="Times New Roman" w:hAnsi="Times New Roman"/>
                <w:sz w:val="18"/>
              </w:rPr>
              <w:t>[DETAIL]</w:t>
            </w:r>
          </w:p>
        </w:tc>
        <w:tc>
          <w:tcPr>
            <w:tcW w:type="dxa" w:w="1337"/>
            <w:vAlign w:val="center"/>
            <w:tcMar>
              <w:top w:w="55" w:type="dxa"/>
              <w:start w:w="70" w:type="dxa"/>
              <w:bottom w:w="55" w:type="dxa"/>
              <w:end w:w="70" w:type="dxa"/>
            </w:tcMar>
          </w:tcPr>
          <w:p>
            <w:pPr>
              <w:spacing w:after="0"/>
            </w:pPr>
            <w:r>
              <w:rPr>
                <w:rFonts w:ascii="Times New Roman" w:hAnsi="Times New Roman"/>
                <w:sz w:val="18"/>
              </w:rPr>
              <w:t>[TERM]</w:t>
            </w:r>
          </w:p>
        </w:tc>
        <w:tc>
          <w:tcPr>
            <w:tcW w:type="dxa" w:w="1337"/>
            <w:vAlign w:val="center"/>
            <w:tcMar>
              <w:top w:w="55" w:type="dxa"/>
              <w:start w:w="70" w:type="dxa"/>
              <w:bottom w:w="55" w:type="dxa"/>
              <w:end w:w="70" w:type="dxa"/>
            </w:tcMar>
          </w:tcPr>
          <w:p>
            <w:pPr>
              <w:spacing w:after="0"/>
            </w:pPr>
            <w:r>
              <w:rPr>
                <w:rFonts w:ascii="Times New Roman" w:hAnsi="Times New Roman"/>
                <w:sz w:val="18"/>
              </w:rPr>
              <w:t>[LIABILITY]</w:t>
            </w:r>
          </w:p>
        </w:tc>
        <w:tc>
          <w:tcPr>
            <w:tcW w:type="dxa" w:w="1337"/>
            <w:vAlign w:val="center"/>
            <w:tcMar>
              <w:top w:w="55" w:type="dxa"/>
              <w:start w:w="70" w:type="dxa"/>
              <w:bottom w:w="55" w:type="dxa"/>
              <w:end w:w="70" w:type="dxa"/>
            </w:tcMar>
          </w:tcPr>
          <w:p>
            <w:pPr>
              <w:spacing w:after="0"/>
            </w:pPr>
            <w:r>
              <w:rPr>
                <w:rFonts w:ascii="Times New Roman" w:hAnsi="Times New Roman"/>
                <w:sz w:val="18"/>
              </w:rPr>
              <w:t>[FORM]</w:t>
            </w:r>
          </w:p>
        </w:tc>
        <w:tc>
          <w:tcPr>
            <w:tcW w:type="dxa" w:w="1337"/>
            <w:vAlign w:val="center"/>
            <w:tcMar>
              <w:top w:w="55" w:type="dxa"/>
              <w:start w:w="70" w:type="dxa"/>
              <w:bottom w:w="55" w:type="dxa"/>
              <w:end w:w="70" w:type="dxa"/>
            </w:tcMar>
          </w:tcPr>
          <w:p>
            <w:pPr>
              <w:spacing w:after="0"/>
            </w:pPr>
            <w:r>
              <w:rPr>
                <w:rFonts w:ascii="Times New Roman" w:hAnsi="Times New Roman"/>
                <w:sz w:val="18"/>
              </w:rPr>
              <w:t>[SOURCE]</w:t>
            </w:r>
          </w:p>
        </w:tc>
      </w:tr>
    </w:tbl>
    <w:p>
      <w:pPr>
        <w:widowControl/>
        <w:spacing w:after="20"/>
      </w:pPr>
    </w:p>
    <w:p>
      <w:pPr>
        <w:pStyle w:val="Heading3"/>
        <w:widowControl/>
        <w:ind w:left="0" w:firstLine="0"/>
      </w:pPr>
      <w:r>
        <w:rPr>
          <w:rFonts w:ascii="Times New Roman" w:hAnsi="Times New Roman"/>
          <w:b/>
          <w:sz w:val="22"/>
          <w:u w:val="single"/>
        </w:rPr>
        <w:t>Schedule 5 Assumed Liabilities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337"/>
        <w:gridCol w:w="1337"/>
        <w:gridCol w:w="1337"/>
        <w:gridCol w:w="1337"/>
        <w:gridCol w:w="1337"/>
        <w:gridCol w:w="1337"/>
        <w:gridCol w:w="1337"/>
      </w:tblGrid>
      <w:tr>
        <w:trPr>
          <w:tblHeader w:val="true"/>
          <w:cantSplit/>
        </w:trPr>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Liability</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Creditor or beneficiary</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Amount or performance</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Arising period</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Due date</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Related asset</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Purchase Agreement source</w:t>
            </w:r>
          </w:p>
        </w:tc>
      </w:tr>
      <w:tr>
        <w:trPr>
          <w:cantSplit/>
        </w:trPr>
        <w:tc>
          <w:tcPr>
            <w:tcW w:type="dxa" w:w="1337"/>
            <w:vAlign w:val="center"/>
            <w:tcMar>
              <w:top w:w="55" w:type="dxa"/>
              <w:start w:w="70" w:type="dxa"/>
              <w:bottom w:w="55" w:type="dxa"/>
              <w:end w:w="70" w:type="dxa"/>
            </w:tcMar>
          </w:tcPr>
          <w:p>
            <w:pPr>
              <w:spacing w:after="0"/>
            </w:pPr>
            <w:r>
              <w:rPr>
                <w:rFonts w:ascii="Times New Roman" w:hAnsi="Times New Roman"/>
                <w:sz w:val="18"/>
              </w:rPr>
              <w:t>[ITEM]</w:t>
            </w:r>
          </w:p>
        </w:tc>
        <w:tc>
          <w:tcPr>
            <w:tcW w:type="dxa" w:w="1337"/>
            <w:vAlign w:val="center"/>
            <w:tcMar>
              <w:top w:w="55" w:type="dxa"/>
              <w:start w:w="70" w:type="dxa"/>
              <w:bottom w:w="55" w:type="dxa"/>
              <w:end w:w="70" w:type="dxa"/>
            </w:tcMar>
          </w:tcPr>
          <w:p>
            <w:pPr>
              <w:spacing w:after="0"/>
            </w:pPr>
            <w:r>
              <w:rPr>
                <w:rFonts w:ascii="Times New Roman" w:hAnsi="Times New Roman"/>
                <w:sz w:val="18"/>
              </w:rPr>
              <w:t>[NAME]</w:t>
            </w:r>
          </w:p>
        </w:tc>
        <w:tc>
          <w:tcPr>
            <w:tcW w:type="dxa" w:w="1337"/>
            <w:vAlign w:val="center"/>
            <w:tcMar>
              <w:top w:w="55" w:type="dxa"/>
              <w:start w:w="70" w:type="dxa"/>
              <w:bottom w:w="55" w:type="dxa"/>
              <w:end w:w="70" w:type="dxa"/>
            </w:tcMar>
          </w:tcPr>
          <w:p>
            <w:pPr>
              <w:spacing w:after="0"/>
            </w:pPr>
            <w:r>
              <w:rPr>
                <w:rFonts w:ascii="Times New Roman" w:hAnsi="Times New Roman"/>
                <w:sz w:val="18"/>
              </w:rPr>
              <w:t>[$ / ACTION]</w:t>
            </w:r>
          </w:p>
        </w:tc>
        <w:tc>
          <w:tcPr>
            <w:tcW w:type="dxa" w:w="1337"/>
            <w:vAlign w:val="center"/>
            <w:tcMar>
              <w:top w:w="55" w:type="dxa"/>
              <w:start w:w="70" w:type="dxa"/>
              <w:bottom w:w="55" w:type="dxa"/>
              <w:end w:w="70" w:type="dxa"/>
            </w:tcMar>
          </w:tcPr>
          <w:p>
            <w:pPr>
              <w:spacing w:after="0"/>
            </w:pPr>
            <w:r>
              <w:rPr>
                <w:rFonts w:ascii="Times New Roman" w:hAnsi="Times New Roman"/>
                <w:sz w:val="18"/>
              </w:rPr>
              <w:t>[PERIOD]</w:t>
            </w:r>
          </w:p>
        </w:tc>
        <w:tc>
          <w:tcPr>
            <w:tcW w:type="dxa" w:w="1337"/>
            <w:vAlign w:val="center"/>
            <w:tcMar>
              <w:top w:w="55" w:type="dxa"/>
              <w:start w:w="70" w:type="dxa"/>
              <w:bottom w:w="55" w:type="dxa"/>
              <w:end w:w="70" w:type="dxa"/>
            </w:tcMar>
          </w:tcPr>
          <w:p>
            <w:pPr>
              <w:spacing w:after="0"/>
            </w:pPr>
            <w:r>
              <w:rPr>
                <w:rFonts w:ascii="Times New Roman" w:hAnsi="Times New Roman"/>
                <w:sz w:val="18"/>
              </w:rPr>
              <w:t>[DATE]</w:t>
            </w:r>
          </w:p>
        </w:tc>
        <w:tc>
          <w:tcPr>
            <w:tcW w:type="dxa" w:w="1337"/>
            <w:vAlign w:val="center"/>
            <w:tcMar>
              <w:top w:w="55" w:type="dxa"/>
              <w:start w:w="70" w:type="dxa"/>
              <w:bottom w:w="55" w:type="dxa"/>
              <w:end w:w="70" w:type="dxa"/>
            </w:tcMar>
          </w:tcPr>
          <w:p>
            <w:pPr>
              <w:spacing w:after="0"/>
            </w:pPr>
            <w:r>
              <w:rPr>
                <w:rFonts w:ascii="Times New Roman" w:hAnsi="Times New Roman"/>
                <w:sz w:val="18"/>
              </w:rPr>
              <w:t>[ASSET]</w:t>
            </w:r>
          </w:p>
        </w:tc>
        <w:tc>
          <w:tcPr>
            <w:tcW w:type="dxa" w:w="1337"/>
            <w:vAlign w:val="center"/>
            <w:tcMar>
              <w:top w:w="55" w:type="dxa"/>
              <w:start w:w="70" w:type="dxa"/>
              <w:bottom w:w="55" w:type="dxa"/>
              <w:end w:w="70" w:type="dxa"/>
            </w:tcMar>
          </w:tcPr>
          <w:p>
            <w:pPr>
              <w:spacing w:after="0"/>
            </w:pPr>
            <w:r>
              <w:rPr>
                <w:rFonts w:ascii="Times New Roman" w:hAnsi="Times New Roman"/>
                <w:sz w:val="18"/>
              </w:rPr>
              <w:t>[§ / SCHEDULE]</w:t>
            </w:r>
          </w:p>
        </w:tc>
      </w:tr>
    </w:tbl>
    <w:p>
      <w:pPr>
        <w:widowControl/>
        <w:spacing w:after="20"/>
      </w:pPr>
    </w:p>
    <w:p>
      <w:pPr>
        <w:pStyle w:val="Heading3"/>
        <w:widowControl/>
        <w:ind w:left="0" w:firstLine="0"/>
      </w:pPr>
      <w:r>
        <w:rPr>
          <w:rFonts w:ascii="Times New Roman" w:hAnsi="Times New Roman"/>
          <w:b/>
          <w:sz w:val="22"/>
          <w:u w:val="single"/>
        </w:rPr>
        <w:t>Schedule 6 Excluded Liabilities</w:t>
      </w:r>
    </w:p>
    <w:p>
      <w:pPr>
        <w:widowControl/>
        <w:ind w:firstLine="720"/>
        <w:jc w:val="both"/>
      </w:pPr>
      <w:r>
        <w:t>List each express excluded category and specific known retained liability. State related asset, period, responsible party, reserve or payoff, claim status, and Purchase Agreement source.</w:t>
      </w:r>
    </w:p>
    <w:p>
      <w:pPr>
        <w:pStyle w:val="Heading3"/>
        <w:widowControl/>
        <w:ind w:left="0" w:firstLine="0"/>
      </w:pPr>
      <w:r>
        <w:rPr>
          <w:rFonts w:ascii="Times New Roman" w:hAnsi="Times New Roman"/>
          <w:b/>
          <w:sz w:val="22"/>
          <w:u w:val="single"/>
        </w:rPr>
        <w:t>Schedule 7 Nonassignable Assets and Interim Arrangements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337"/>
        <w:gridCol w:w="1337"/>
        <w:gridCol w:w="1337"/>
        <w:gridCol w:w="1337"/>
        <w:gridCol w:w="1337"/>
        <w:gridCol w:w="1337"/>
        <w:gridCol w:w="1337"/>
      </w:tblGrid>
      <w:tr>
        <w:trPr>
          <w:tblHeader w:val="true"/>
          <w:cantSplit/>
        </w:trPr>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Asset</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Restriction</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Consent owner and status</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Interim legal arrangement</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Revenue cost and liability allocation</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Security and data controls</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End date</w:t>
            </w:r>
          </w:p>
        </w:tc>
      </w:tr>
      <w:tr>
        <w:trPr>
          <w:cantSplit/>
        </w:trPr>
        <w:tc>
          <w:tcPr>
            <w:tcW w:type="dxa" w:w="1337"/>
            <w:vAlign w:val="center"/>
            <w:tcMar>
              <w:top w:w="55" w:type="dxa"/>
              <w:start w:w="70" w:type="dxa"/>
              <w:bottom w:w="55" w:type="dxa"/>
              <w:end w:w="70" w:type="dxa"/>
            </w:tcMar>
          </w:tcPr>
          <w:p>
            <w:pPr>
              <w:spacing w:after="0"/>
            </w:pPr>
            <w:r>
              <w:rPr>
                <w:rFonts w:ascii="Times New Roman" w:hAnsi="Times New Roman"/>
                <w:sz w:val="18"/>
              </w:rPr>
              <w:t>[ITEM]</w:t>
            </w:r>
          </w:p>
        </w:tc>
        <w:tc>
          <w:tcPr>
            <w:tcW w:type="dxa" w:w="1337"/>
            <w:vAlign w:val="center"/>
            <w:tcMar>
              <w:top w:w="55" w:type="dxa"/>
              <w:start w:w="70" w:type="dxa"/>
              <w:bottom w:w="55" w:type="dxa"/>
              <w:end w:w="70" w:type="dxa"/>
            </w:tcMar>
          </w:tcPr>
          <w:p>
            <w:pPr>
              <w:spacing w:after="0"/>
            </w:pPr>
            <w:r>
              <w:rPr>
                <w:rFonts w:ascii="Times New Roman" w:hAnsi="Times New Roman"/>
                <w:sz w:val="18"/>
              </w:rPr>
              <w:t>[TERM]</w:t>
            </w:r>
          </w:p>
        </w:tc>
        <w:tc>
          <w:tcPr>
            <w:tcW w:type="dxa" w:w="1337"/>
            <w:vAlign w:val="center"/>
            <w:tcMar>
              <w:top w:w="55" w:type="dxa"/>
              <w:start w:w="70" w:type="dxa"/>
              <w:bottom w:w="55" w:type="dxa"/>
              <w:end w:w="70" w:type="dxa"/>
            </w:tcMar>
          </w:tcPr>
          <w:p>
            <w:pPr>
              <w:spacing w:after="0"/>
            </w:pPr>
            <w:r>
              <w:rPr>
                <w:rFonts w:ascii="Times New Roman" w:hAnsi="Times New Roman"/>
                <w:sz w:val="18"/>
              </w:rPr>
              <w:t>[OWNER / STATUS]</w:t>
            </w:r>
          </w:p>
        </w:tc>
        <w:tc>
          <w:tcPr>
            <w:tcW w:type="dxa" w:w="1337"/>
            <w:vAlign w:val="center"/>
            <w:tcMar>
              <w:top w:w="55" w:type="dxa"/>
              <w:start w:w="70" w:type="dxa"/>
              <w:bottom w:w="55" w:type="dxa"/>
              <w:end w:w="70" w:type="dxa"/>
            </w:tcMar>
          </w:tcPr>
          <w:p>
            <w:pPr>
              <w:spacing w:after="0"/>
            </w:pPr>
            <w:r>
              <w:rPr>
                <w:rFonts w:ascii="Times New Roman" w:hAnsi="Times New Roman"/>
                <w:sz w:val="18"/>
              </w:rPr>
              <w:t>[ARRANGEMENT]</w:t>
            </w:r>
          </w:p>
        </w:tc>
        <w:tc>
          <w:tcPr>
            <w:tcW w:type="dxa" w:w="1337"/>
            <w:vAlign w:val="center"/>
            <w:tcMar>
              <w:top w:w="55" w:type="dxa"/>
              <w:start w:w="70" w:type="dxa"/>
              <w:bottom w:w="55" w:type="dxa"/>
              <w:end w:w="70" w:type="dxa"/>
            </w:tcMar>
          </w:tcPr>
          <w:p>
            <w:pPr>
              <w:spacing w:after="0"/>
            </w:pPr>
            <w:r>
              <w:rPr>
                <w:rFonts w:ascii="Times New Roman" w:hAnsi="Times New Roman"/>
                <w:sz w:val="18"/>
              </w:rPr>
              <w:t>[ALLOCATION]</w:t>
            </w:r>
          </w:p>
        </w:tc>
        <w:tc>
          <w:tcPr>
            <w:tcW w:type="dxa" w:w="1337"/>
            <w:vAlign w:val="center"/>
            <w:tcMar>
              <w:top w:w="55" w:type="dxa"/>
              <w:start w:w="70" w:type="dxa"/>
              <w:bottom w:w="55" w:type="dxa"/>
              <w:end w:w="70" w:type="dxa"/>
            </w:tcMar>
          </w:tcPr>
          <w:p>
            <w:pPr>
              <w:spacing w:after="0"/>
            </w:pPr>
            <w:r>
              <w:rPr>
                <w:rFonts w:ascii="Times New Roman" w:hAnsi="Times New Roman"/>
                <w:sz w:val="18"/>
              </w:rPr>
              <w:t>[CONTROLS]</w:t>
            </w:r>
          </w:p>
        </w:tc>
        <w:tc>
          <w:tcPr>
            <w:tcW w:type="dxa" w:w="1337"/>
            <w:vAlign w:val="center"/>
            <w:tcMar>
              <w:top w:w="55" w:type="dxa"/>
              <w:start w:w="70" w:type="dxa"/>
              <w:bottom w:w="55" w:type="dxa"/>
              <w:end w:w="70" w:type="dxa"/>
            </w:tcMar>
          </w:tcPr>
          <w:p>
            <w:pPr>
              <w:spacing w:after="0"/>
            </w:pPr>
            <w:r>
              <w:rPr>
                <w:rFonts w:ascii="Times New Roman" w:hAnsi="Times New Roman"/>
                <w:sz w:val="18"/>
              </w:rPr>
              <w:t>[DATE]</w:t>
            </w:r>
          </w:p>
        </w:tc>
      </w:tr>
    </w:tbl>
    <w:p>
      <w:pPr>
        <w:widowControl/>
        <w:spacing w:after="20"/>
      </w:pPr>
    </w:p>
    <w:p>
      <w:pPr>
        <w:pStyle w:val="Heading3"/>
        <w:widowControl/>
        <w:ind w:left="0" w:firstLine="0"/>
      </w:pPr>
      <w:r>
        <w:rPr>
          <w:rFonts w:ascii="Times New Roman" w:hAnsi="Times New Roman"/>
          <w:b/>
          <w:sz w:val="22"/>
          <w:u w:val="single"/>
        </w:rPr>
        <w:t>Schedule 10 Filings and Local Instruments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337"/>
        <w:gridCol w:w="1337"/>
        <w:gridCol w:w="1337"/>
        <w:gridCol w:w="1337"/>
        <w:gridCol w:w="1337"/>
        <w:gridCol w:w="1337"/>
        <w:gridCol w:w="1337"/>
      </w:tblGrid>
      <w:tr>
        <w:trPr>
          <w:tblHeader w:val="true"/>
          <w:cantSplit/>
        </w:trPr>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Asset or filing</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Jurisdiction or office</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Form and signer</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Fee or Tax</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Due date</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Condition or post-Closing</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Evidence</w:t>
            </w:r>
          </w:p>
        </w:tc>
      </w:tr>
      <w:tr>
        <w:trPr>
          <w:cantSplit/>
        </w:trPr>
        <w:tc>
          <w:tcPr>
            <w:tcW w:type="dxa" w:w="1337"/>
            <w:vAlign w:val="center"/>
            <w:tcMar>
              <w:top w:w="55" w:type="dxa"/>
              <w:start w:w="70" w:type="dxa"/>
              <w:bottom w:w="55" w:type="dxa"/>
              <w:end w:w="70" w:type="dxa"/>
            </w:tcMar>
          </w:tcPr>
          <w:p>
            <w:pPr>
              <w:spacing w:after="0"/>
            </w:pPr>
            <w:r>
              <w:rPr>
                <w:rFonts w:ascii="Times New Roman" w:hAnsi="Times New Roman"/>
                <w:sz w:val="18"/>
              </w:rPr>
              <w:t>[ITEM]</w:t>
            </w:r>
          </w:p>
        </w:tc>
        <w:tc>
          <w:tcPr>
            <w:tcW w:type="dxa" w:w="1337"/>
            <w:vAlign w:val="center"/>
            <w:tcMar>
              <w:top w:w="55" w:type="dxa"/>
              <w:start w:w="70" w:type="dxa"/>
              <w:bottom w:w="55" w:type="dxa"/>
              <w:end w:w="70" w:type="dxa"/>
            </w:tcMar>
          </w:tcPr>
          <w:p>
            <w:pPr>
              <w:spacing w:after="0"/>
            </w:pPr>
            <w:r>
              <w:rPr>
                <w:rFonts w:ascii="Times New Roman" w:hAnsi="Times New Roman"/>
                <w:sz w:val="18"/>
              </w:rPr>
              <w:t>[PLACE]</w:t>
            </w:r>
          </w:p>
        </w:tc>
        <w:tc>
          <w:tcPr>
            <w:tcW w:type="dxa" w:w="1337"/>
            <w:vAlign w:val="center"/>
            <w:tcMar>
              <w:top w:w="55" w:type="dxa"/>
              <w:start w:w="70" w:type="dxa"/>
              <w:bottom w:w="55" w:type="dxa"/>
              <w:end w:w="70" w:type="dxa"/>
            </w:tcMar>
          </w:tcPr>
          <w:p>
            <w:pPr>
              <w:spacing w:after="0"/>
            </w:pPr>
            <w:r>
              <w:rPr>
                <w:rFonts w:ascii="Times New Roman" w:hAnsi="Times New Roman"/>
                <w:sz w:val="18"/>
              </w:rPr>
              <w:t>[FORM / SIGNER]</w:t>
            </w:r>
          </w:p>
        </w:tc>
        <w:tc>
          <w:tcPr>
            <w:tcW w:type="dxa" w:w="1337"/>
            <w:vAlign w:val="center"/>
            <w:tcMar>
              <w:top w:w="55" w:type="dxa"/>
              <w:start w:w="70" w:type="dxa"/>
              <w:bottom w:w="55" w:type="dxa"/>
              <w:end w:w="70" w:type="dxa"/>
            </w:tcMar>
          </w:tcPr>
          <w:p>
            <w:pPr>
              <w:spacing w:after="0"/>
            </w:pPr>
            <w:r>
              <w:rPr>
                <w:rFonts w:ascii="Times New Roman" w:hAnsi="Times New Roman"/>
                <w:sz w:val="18"/>
              </w:rPr>
              <w:t>[$]</w:t>
            </w:r>
          </w:p>
        </w:tc>
        <w:tc>
          <w:tcPr>
            <w:tcW w:type="dxa" w:w="1337"/>
            <w:vAlign w:val="center"/>
            <w:tcMar>
              <w:top w:w="55" w:type="dxa"/>
              <w:start w:w="70" w:type="dxa"/>
              <w:bottom w:w="55" w:type="dxa"/>
              <w:end w:w="70" w:type="dxa"/>
            </w:tcMar>
          </w:tcPr>
          <w:p>
            <w:pPr>
              <w:spacing w:after="0"/>
            </w:pPr>
            <w:r>
              <w:rPr>
                <w:rFonts w:ascii="Times New Roman" w:hAnsi="Times New Roman"/>
                <w:sz w:val="18"/>
              </w:rPr>
              <w:t>[DATE]</w:t>
            </w:r>
          </w:p>
        </w:tc>
        <w:tc>
          <w:tcPr>
            <w:tcW w:type="dxa" w:w="1337"/>
            <w:vAlign w:val="center"/>
            <w:tcMar>
              <w:top w:w="55" w:type="dxa"/>
              <w:start w:w="70" w:type="dxa"/>
              <w:bottom w:w="55" w:type="dxa"/>
              <w:end w:w="70" w:type="dxa"/>
            </w:tcMar>
          </w:tcPr>
          <w:p>
            <w:pPr>
              <w:spacing w:after="0"/>
            </w:pPr>
            <w:r>
              <w:rPr>
                <w:rFonts w:ascii="Times New Roman" w:hAnsi="Times New Roman"/>
                <w:sz w:val="18"/>
              </w:rPr>
              <w:t>[TIMING]</w:t>
            </w:r>
          </w:p>
        </w:tc>
        <w:tc>
          <w:tcPr>
            <w:tcW w:type="dxa" w:w="1337"/>
            <w:vAlign w:val="center"/>
            <w:tcMar>
              <w:top w:w="55" w:type="dxa"/>
              <w:start w:w="70" w:type="dxa"/>
              <w:bottom w:w="55" w:type="dxa"/>
              <w:end w:w="70" w:type="dxa"/>
            </w:tcMar>
          </w:tcPr>
          <w:p>
            <w:pPr>
              <w:spacing w:after="0"/>
            </w:pPr>
            <w:r>
              <w:rPr>
                <w:rFonts w:ascii="Times New Roman" w:hAnsi="Times New Roman"/>
                <w:sz w:val="18"/>
              </w:rPr>
              <w:t>[RECEIPT]</w:t>
            </w:r>
          </w:p>
        </w:tc>
      </w:tr>
    </w:tbl>
    <w:p>
      <w:pPr>
        <w:widowControl/>
        <w:spacing w:after="20"/>
      </w:pPr>
    </w:p>
    <w:p>
      <w:pPr>
        <w:widowControl/>
      </w:pPr>
      <w:r>
        <w:br w:type="page"/>
      </w:r>
    </w:p>
    <w:p>
      <w:pPr>
        <w:pStyle w:val="Heading2"/>
        <w:widowControl/>
        <w:spacing w:before="1200"/>
        <w:ind w:left="0" w:firstLine="0"/>
      </w:pPr>
      <w:r>
        <w:rPr>
          <w:rFonts w:ascii="Times New Roman" w:hAnsi="Times New Roman"/>
          <w:b/>
          <w:sz w:val="22"/>
          <w:u w:val="single"/>
        </w:rPr>
        <w:t>Website Posting README — Not Part of the Instrument</w:t>
      </w:r>
    </w:p>
    <w:p>
      <w:pPr>
        <w:pStyle w:val="Heading3"/>
        <w:widowControl/>
        <w:ind w:left="0" w:firstLine="0"/>
      </w:pPr>
      <w:r>
        <w:rPr>
          <w:rFonts w:ascii="Times New Roman" w:hAnsi="Times New Roman"/>
          <w:b/>
          <w:sz w:val="22"/>
          <w:u w:val="single"/>
        </w:rPr>
        <w:t>Purpose and use boundary</w:t>
      </w:r>
    </w:p>
    <w:p>
      <w:pPr>
        <w:keepLines w:val="0"/>
        <w:widowControl/>
        <w:ind w:firstLine="720"/>
        <w:jc w:val="both"/>
      </w:pPr>
      <w:r>
        <w:t>This educational combined instrument evidences a closing transfer of specified tangible property and assignment of specified rights, together with assumption of only specified liabilities. It must sit under a controlling asset purchase agreement. It should not be used as a shortcut for incomplete asset and liability schedules or for transfers requiring deeds, IP recordings, title documents, regulated permits, or local instruments.</w:t>
      </w:r>
    </w:p>
    <w:p>
      <w:pPr>
        <w:pStyle w:val="Heading3"/>
        <w:widowControl/>
        <w:ind w:left="0" w:firstLine="0"/>
      </w:pPr>
      <w:r>
        <w:rPr>
          <w:rFonts w:ascii="Times New Roman" w:hAnsi="Times New Roman"/>
          <w:b/>
          <w:sz w:val="22"/>
          <w:u w:val="single"/>
        </w:rPr>
        <w:t>What to upload with the Word form</w:t>
      </w:r>
    </w:p>
    <w:p>
      <w:pPr>
        <w:widowControl/>
        <w:ind w:firstLine="720"/>
        <w:jc w:val="both"/>
      </w:pPr>
      <w:r>
        <w:t>In an approved system, upload the final asset purchase agreement and amendments, Disclosure Schedules, purchased and excluded asset schedules, assumed and excluded liability schedules, contract inventory, consent tracker, title and lien records, fixed-asset register, IP list, data-transfer plan, payoff evidence, and local filing requirements. Do not upload credentials, full bank details, secrets, personal data, or privileged material to an unapproved system.</w:t>
      </w:r>
    </w:p>
    <w:p>
      <w:pPr>
        <w:pStyle w:val="Heading3"/>
        <w:widowControl/>
        <w:ind w:left="0" w:firstLine="0"/>
      </w:pPr>
      <w:r>
        <w:rPr>
          <w:rFonts w:ascii="Times New Roman" w:hAnsi="Times New Roman"/>
          <w:b/>
          <w:sz w:val="22"/>
          <w:u w:val="single"/>
        </w:rPr>
        <w:t>AI completion prompt</w:t>
      </w:r>
    </w:p>
    <w:p>
      <w:pPr>
        <w:widowControl/>
        <w:ind w:firstLine="720"/>
        <w:jc w:val="both"/>
      </w:pPr>
      <w:r>
        <w:rPr>
          <w:b/>
        </w:rPr>
        <w:t>Prompt:</w:t>
      </w:r>
      <w:r>
        <w:t xml:space="preserve"> You are assisting experienced M&amp;A counsel in completing the uploaded Founder M&amp;A Assignment Assumption Agreement and Bill of Sale. Reconcile every defined term and schedule against the final asset purchase agreement. Produce an asset-perimeter matrix, liability-perimeter matrix, contract and consent register, nonassignable-asset plan, claims-transfer list, separate-instrument list, filing and Tax register, and hierarchy-conflict report. Do not invent ownership, title, consent, assignability, amount, condition, legal effectiveness, or liability. Cite the exact agreement section or supplied record for each item or state “source not provided.” Flag any asset not clearly purchased, liability not clearly assumed, claim omitted from the assignment, conflict between schedules, attempted transfer prohibited by law or contract, credential exposed, or IP/data transfer lacking a separate mechanism. Prepare a marked draft and red-flag memorandum. Do not record, file, deliver, transfer an account, contact a counterparty, or label the instrument approved.</w:t>
      </w:r>
    </w:p>
    <w:p>
      <w:pPr>
        <w:pStyle w:val="Heading3"/>
        <w:widowControl/>
        <w:ind w:left="0" w:firstLine="0"/>
      </w:pPr>
      <w:r>
        <w:rPr>
          <w:rFonts w:ascii="Times New Roman" w:hAnsi="Times New Roman"/>
          <w:b/>
          <w:sz w:val="22"/>
          <w:u w:val="single"/>
        </w:rPr>
        <w:t>Human review and expected submission</w:t>
      </w:r>
    </w:p>
    <w:p>
      <w:pPr>
        <w:widowControl/>
        <w:ind w:firstLine="720"/>
        <w:jc w:val="both"/>
      </w:pPr>
      <w:r>
        <w:t>Submit the revised Word instrument with a redline, asset and liability reconciliation, consent and nonassignable-asset plan, separate transfer instruments, filing and Tax register, execution-authority evidence, and release memorandum. Counsel must confirm the final schedule perimeter and the Purchase Agreement’s control before release.</w:t>
      </w:r>
    </w:p>
    <w:sectPr>
      <w:headerReference w:type="default" r:id="rId17"/>
      <w:headerReference w:type="first" r:id="rId18"/>
      <w:footerReference w:type="default" r:id="rId19"/>
      <w:footerReference w:type="first" r:id="rId20"/>
      <w:pgSz w:w="12240" w:h="15840"/>
      <w:pgMar w:top="1440" w:right="1440" w:bottom="1440" w:left="1440" w:header="518" w:footer="5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sz w:val="20"/>
      </w:rPr>
      <w:t>PRACTITIONER MASTER</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5.xml"/><Relationship Id="rId2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 M&amp;A Assignment Assumption Agreement and Bill of Sale</dc:title>
  <dc:subject>Founder M&amp;A practitioner master</dc:subject>
  <dc:creator/>
  <cp:keywords>Founder M&amp;A, FMA-018, practitioner master</cp:keywords>
  <dc:description/>
  <cp:lastModifiedBy/>
  <cp:revision>1</cp:revision>
  <dcterms:created xsi:type="dcterms:W3CDTF">2013-12-23T23:15:00Z</dcterms:created>
  <dcterms:modified xsi:type="dcterms:W3CDTF">2013-12-23T23:15:00Z</dcterms:modified>
  <cp:category/>
</cp:coreProperties>
</file>