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Letter of Intent Buyer Protective</w:t>
      </w:r>
    </w:p>
    <w:p>
      <w:pPr>
        <w:widowControl/>
        <w:spacing w:after="240"/>
        <w:jc w:val="center"/>
      </w:pPr>
      <w:r>
        <w:rPr>
          <w:rFonts w:ascii="Times New Roman" w:hAnsi="Times New Roman"/>
          <w:b/>
          <w:sz w:val="20"/>
        </w:rPr>
        <w:t>FMA-013  |  VERSION 1.0.0  |  7 SEPTEMBER 2026</w:t>
      </w:r>
    </w:p>
    <w:p>
      <w:pPr>
        <w:pStyle w:val="PractitionerBanner"/>
        <w:widowControl/>
        <w:shd w:fill="F2F2F2"/>
      </w:pPr>
      <w:r>
        <w:rPr>
          <w:b/>
        </w:rPr>
        <w:t>Practitioner master — separate binding and nonbinding provisions, verify authority, and complete every economic and process term before use.</w:t>
      </w:r>
      <w:r>
        <w:t xml:space="preserve"> Form FMA-013;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Letter</w:t>
      </w:r>
    </w:p>
    <w:p>
      <w:pPr>
        <w:pStyle w:val="Heading3"/>
        <w:widowControl/>
        <w:ind w:left="0" w:firstLine="0"/>
      </w:pPr>
      <w:r>
        <w:rPr>
          <w:rFonts w:ascii="Times New Roman" w:hAnsi="Times New Roman"/>
          <w:b/>
          <w:sz w:val="22"/>
          <w:u w:val="single"/>
        </w:rPr>
        <w:t>A. Transaction and economics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Buyer, target, sellers, signing authority, acquisition structure, assets or securities acquired, excluded interests, tax objective, and whether the process is bilateral or an auction.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enterprise value, Cash/Debt/Transaction Expense/Working Capital bridge, rollover, earnout, escrow, holdback, seller note, assumed liabilities, allocation, and no-double-counting rules.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financing sources, internal approvals, diligence workstreams, regulatory filings, third-party consents, founder and employee arrangements, and target timing.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or identify the confidentiality agreement and confirm standstill, clean-team, employee and customer contact, privilege, data-room, and return or destruction restrictions.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Binding effect and process protections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Mark every paragraph as binding or nonbinding; confirm no duty to negotiate, finance, approve, disclose, or close except where expressly stated.</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exclusivity scope, covered persons, existing contacts, notice, enforcement, duration, milestone, extension, fiduciary exception, and termination.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Decide expense reimbursement, deposit, break fee, governing law, forum, jury waiver, equitable relief, publicity, securities trading, and assignment.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Obtain corporate, Tax, antitrust, CFIUS, securities, employment, benefits, IP, privacy, cyber, and industry specialist review as applicable.</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Release only after defined-term, bracket, internal-consistency, signature, binding-effect, and current-law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LETTER OF INTENT</w:t>
      </w:r>
    </w:p>
    <w:p>
      <w:pPr>
        <w:widowControl/>
        <w:ind w:firstLine="720"/>
        <w:jc w:val="both"/>
      </w:pPr>
      <w:r>
        <w:t>[DATE]</w:t>
      </w:r>
    </w:p>
    <w:p>
      <w:pPr>
        <w:widowControl/>
        <w:jc w:val="left"/>
      </w:pPr>
      <w:r>
        <w:t>[SELLER OR TARGET CONTACT]</w:t>
      </w:r>
      <w:r>
        <w:br/>
      </w:r>
      <w:r>
        <w:t>[ADDRESS]</w:t>
      </w:r>
    </w:p>
    <w:p>
      <w:pPr>
        <w:widowControl/>
        <w:ind w:firstLine="720"/>
        <w:jc w:val="both"/>
      </w:pPr>
      <w:r>
        <w:t>Re: Proposed acquisition of [TARGET COMPANY / BUSINESS]</w:t>
      </w:r>
    </w:p>
    <w:p>
      <w:pPr>
        <w:widowControl/>
        <w:ind w:firstLine="720"/>
        <w:jc w:val="both"/>
      </w:pPr>
      <w:r>
        <w:t>Dear [NAME]:</w:t>
      </w:r>
    </w:p>
    <w:p>
      <w:pPr>
        <w:keepLines w:val="0"/>
        <w:widowControl/>
        <w:ind w:firstLine="720"/>
        <w:jc w:val="both"/>
      </w:pPr>
      <w:r>
        <w:t>This letter states the principal terms on which [BUYER] or a designated Affiliate (</w:t>
      </w:r>
      <w:r>
        <w:rPr>
          <w:b/>
          <w:i/>
        </w:rPr>
        <w:t>“Buyer”</w:t>
      </w:r>
      <w:r>
        <w:t xml:space="preserve">) is prepared to pursue an acquisition of [TARGET COMPANY / BUSINESS] (the </w:t>
      </w:r>
      <w:r>
        <w:rPr>
          <w:b/>
          <w:i/>
        </w:rPr>
        <w:t>“Company”</w:t>
      </w:r>
      <w:r>
        <w:t>). Sections 1 through 12 describe a proposed transaction and are nonbinding. Sections 13 through 21 are binding upon signature. No party is obligated to negotiate or complete the proposed transaction unless and until definitive agreements are signed and delivered, except for the expressly binding sections.</w:t>
      </w:r>
    </w:p>
    <w:p>
      <w:pPr>
        <w:pStyle w:val="Heading2"/>
        <w:widowControl/>
        <w:ind w:left="0" w:firstLine="0"/>
      </w:pPr>
      <w:r>
        <w:rPr>
          <w:rFonts w:ascii="Times New Roman" w:hAnsi="Times New Roman"/>
          <w:b/>
          <w:sz w:val="22"/>
          <w:u w:val="single"/>
        </w:rPr>
        <w:t>Nonbinding Transaction Terms</w:t>
      </w:r>
    </w:p>
    <w:p>
      <w:pPr>
        <w:pStyle w:val="Heading3"/>
        <w:widowControl/>
        <w:ind w:left="0" w:firstLine="0"/>
      </w:pPr>
      <w:r>
        <w:rPr>
          <w:rFonts w:ascii="Times New Roman" w:hAnsi="Times New Roman"/>
          <w:b/>
          <w:sz w:val="22"/>
          <w:u w:val="single"/>
        </w:rPr>
        <w:t>1. Transaction structure</w:t>
      </w:r>
    </w:p>
    <w:p>
      <w:pPr>
        <w:keepLines w:val="0"/>
        <w:widowControl/>
        <w:ind w:firstLine="720"/>
        <w:jc w:val="both"/>
      </w:pPr>
      <w:r>
        <w:t xml:space="preserve">Buyer proposes to acquire [all outstanding equity of the Company by stock purchase / the Company through a reverse triangular merger / substantially all operating assets and specified liabilities] (the </w:t>
      </w:r>
      <w:r>
        <w:rPr>
          <w:b/>
          <w:i/>
        </w:rPr>
        <w:t>“Transaction”</w:t>
      </w:r>
      <w:r>
        <w:t>). Buyer may select an Affiliate as acquisition entity if the change does not reduce closing certainty or materially increase Seller Tax, regulatory, or consent burden. The definitive agreement will identify excluded assets, retained liabilities, security treatment, and pre-Closing restructuring.</w:t>
      </w:r>
    </w:p>
    <w:p>
      <w:pPr>
        <w:pStyle w:val="Heading3"/>
        <w:widowControl/>
        <w:ind w:left="0" w:firstLine="0"/>
      </w:pPr>
      <w:r>
        <w:rPr>
          <w:rFonts w:ascii="Times New Roman" w:hAnsi="Times New Roman"/>
          <w:b/>
          <w:sz w:val="22"/>
          <w:u w:val="single"/>
        </w:rPr>
        <w:t>2. Valuation and price bridge</w:t>
      </w:r>
    </w:p>
    <w:p>
      <w:pPr>
        <w:widowControl/>
        <w:ind w:firstLine="720"/>
        <w:jc w:val="both"/>
      </w:pPr>
      <w:r>
        <w:t>The proposed enterprise value is $[AMOUNT], on a cash-free, debt-free basis and assuming normalized net working capital of $[TARGET]. Equity value will equal enterprise value, plus unrestricted Closing Cash, minus Closing Debt, minus Transaction Expenses, plus or minus the Working Capital Adjustment, and plus or minus only agreed items, without duplication. Exhibit A lists the included and excluded categories, measurement time, accounting hierarchy, and illustrative calculation.</w:t>
      </w:r>
    </w:p>
    <w:p>
      <w:pPr>
        <w:widowControl/>
        <w:ind w:firstLine="720"/>
        <w:jc w:val="both"/>
      </w:pPr>
      <w:r>
        <w:t>The proposal assumes: [cash at Closing]; an adjustment escrow of $[AMOUNT]; an indemnity or RWI retention escrow of $[AMOUNT]; a representative fund of $[AMOUNT]; rollover of $[AMOUNT OR %]; an earnout up to $[AMOUNT]; and a seller note of $[AMOUNT]. Each noncash component remains subject to definitive terms, Tax and securities review, and Buyer investment-committee approval.</w:t>
      </w:r>
    </w:p>
    <w:p>
      <w:pPr>
        <w:pStyle w:val="Heading3"/>
        <w:widowControl/>
        <w:ind w:left="0" w:firstLine="0"/>
      </w:pPr>
      <w:r>
        <w:rPr>
          <w:rFonts w:ascii="Times New Roman" w:hAnsi="Times New Roman"/>
          <w:b/>
          <w:sz w:val="22"/>
          <w:u w:val="single"/>
        </w:rPr>
        <w:t>3. Capitalization and allocation assumptions</w:t>
      </w:r>
    </w:p>
    <w:p>
      <w:pPr>
        <w:widowControl/>
        <w:ind w:firstLine="720"/>
        <w:jc w:val="both"/>
      </w:pPr>
      <w:r>
        <w:t>The proposal assumes the capitalization in Exhibit B is complete and that Buyer will receive [100%] of the fully diluted equity free of liens. The definitive distribution schedule will address preferred rights, options, warrants, SAFEs, notes, restricted equity, promised grants, change-in-control payments, and withholding. Compensation, retention, employment, restrictive-covenant, and rollover consideration will be identified separately from security consideration.</w:t>
      </w:r>
    </w:p>
    <w:p>
      <w:pPr>
        <w:pStyle w:val="Heading3"/>
        <w:widowControl/>
        <w:ind w:left="0" w:firstLine="0"/>
      </w:pPr>
      <w:r>
        <w:rPr>
          <w:rFonts w:ascii="Times New Roman" w:hAnsi="Times New Roman"/>
          <w:b/>
          <w:sz w:val="22"/>
          <w:u w:val="single"/>
        </w:rPr>
        <w:t>4. Purchase-price adjustment</w:t>
      </w:r>
    </w:p>
    <w:p>
      <w:pPr>
        <w:widowControl/>
        <w:ind w:firstLine="720"/>
        <w:jc w:val="both"/>
      </w:pPr>
      <w:r>
        <w:t>The definitive agreement will include an estimated Closing statement and post-Closing true-up based on explicit definitions and a sample. Buyer will receive reasonable supporting records and a right to object. Unresolved accounting disputes will be submitted to an independent accountant acting as expert. No item may be counted in Debt, Transaction Expenses, Working Capital, earnout, and indemnity more than once.</w:t>
      </w:r>
    </w:p>
    <w:p>
      <w:pPr>
        <w:pStyle w:val="Heading3"/>
        <w:widowControl/>
        <w:ind w:left="0" w:firstLine="0"/>
      </w:pPr>
      <w:r>
        <w:rPr>
          <w:rFonts w:ascii="Times New Roman" w:hAnsi="Times New Roman"/>
          <w:b/>
          <w:sz w:val="22"/>
          <w:u w:val="single"/>
        </w:rPr>
        <w:t>5. Due diligence</w:t>
      </w:r>
    </w:p>
    <w:p>
      <w:pPr>
        <w:keepLines w:val="0"/>
        <w:widowControl/>
        <w:ind w:firstLine="720"/>
        <w:jc w:val="both"/>
      </w:pPr>
      <w:r>
        <w:t>Buyer’s proposal is subject to satisfactory completion of confirmatory legal, financial, accounting, Tax, commercial, technical, product, intellectual-property, open-source, AI, privacy, cybersecurity, employment, benefits, regulatory, insurance, environmental, real-estate, compliance, capitalization, founder, and customer diligence. The parties will agree a prioritized request list, management schedule, clean-team rules, and a decision timetable. Buyer will not contact employees, customers, suppliers, lenders, landlords, or regulators without Company coordination.</w:t>
      </w:r>
    </w:p>
    <w:p>
      <w:pPr>
        <w:pStyle w:val="Heading3"/>
        <w:widowControl/>
        <w:ind w:left="0" w:firstLine="0"/>
      </w:pPr>
      <w:r>
        <w:rPr>
          <w:rFonts w:ascii="Times New Roman" w:hAnsi="Times New Roman"/>
          <w:b/>
          <w:sz w:val="22"/>
          <w:u w:val="single"/>
        </w:rPr>
        <w:t>6. Definitive agreements</w:t>
      </w:r>
    </w:p>
    <w:p>
      <w:pPr>
        <w:keepLines w:val="0"/>
        <w:widowControl/>
        <w:ind w:firstLine="720"/>
        <w:jc w:val="both"/>
      </w:pPr>
      <w:r>
        <w:t>The parties expect a buyer-prepared acquisition agreement with customary representations, covenants, conditions, termination rights, Disclosure Schedules, and ancillary documents appropriate to the Company’s size, stage, industry, diligence, and process. Material negotiation points include Knowledge, Material Adverse Effect, interim operating covenants, bring-down standards, schedule updating, regulatory efforts, fraud, nonreliance, survival, baskets, caps, special indemnities, and exclusive remedies.</w:t>
      </w:r>
    </w:p>
    <w:p>
      <w:pPr>
        <w:pStyle w:val="Heading3"/>
        <w:widowControl/>
        <w:ind w:left="0" w:firstLine="0"/>
      </w:pPr>
      <w:r>
        <w:rPr>
          <w:rFonts w:ascii="Times New Roman" w:hAnsi="Times New Roman"/>
          <w:b/>
          <w:sz w:val="22"/>
          <w:u w:val="single"/>
        </w:rPr>
        <w:t>7. Risk allocation and RWI</w:t>
      </w:r>
    </w:p>
    <w:p>
      <w:pPr>
        <w:keepLines w:val="0"/>
        <w:widowControl/>
        <w:ind w:firstLine="720"/>
        <w:jc w:val="both"/>
      </w:pPr>
      <w:r>
        <w:t>The parties will evaluate [buyer-side representation and warranty insurance / traditional seller indemnity / a hybrid]. If RWI is used, the definitive documents will address retention, exclusions, no-subrogation except Fraud, coverage of fundamental and Tax matters, seller recourse, escrow, and gaps. Buyer’s proposed seller recourse is [DESCRIPTION]. No Seller will be jointly liable for another Seller’s breach except as expressly negotiated.</w:t>
      </w:r>
    </w:p>
    <w:p>
      <w:pPr>
        <w:pStyle w:val="Heading3"/>
        <w:widowControl/>
        <w:ind w:left="0" w:firstLine="0"/>
      </w:pPr>
      <w:r>
        <w:rPr>
          <w:rFonts w:ascii="Times New Roman" w:hAnsi="Times New Roman"/>
          <w:b/>
          <w:sz w:val="22"/>
          <w:u w:val="single"/>
        </w:rPr>
        <w:t>8. Financing and approvals</w:t>
      </w:r>
    </w:p>
    <w:p>
      <w:pPr>
        <w:keepLines w:val="0"/>
        <w:widowControl/>
        <w:ind w:firstLine="720"/>
        <w:jc w:val="both"/>
      </w:pPr>
      <w:r>
        <w:t>Buyer expects to fund the Transaction with [balance-sheet cash / equity financing / debt financing]. Buyer’s obligation to close will [[not be conditioned on financing / be subject only to the conditions in attached commitment papers]]. Buyer’s internal approvals are [LIST / NONE AFTER SIGNING]. The parties will negotiate any equity commitment, debt commitment, limited guaranty, reverse termination fee, specific-performance right, and financing-cooperation covenant as an integrated package.</w:t>
      </w:r>
    </w:p>
    <w:p>
      <w:pPr>
        <w:pStyle w:val="Heading3"/>
        <w:widowControl/>
        <w:ind w:left="0" w:firstLine="0"/>
      </w:pPr>
      <w:r>
        <w:rPr>
          <w:rFonts w:ascii="Times New Roman" w:hAnsi="Times New Roman"/>
          <w:b/>
          <w:sz w:val="22"/>
          <w:u w:val="single"/>
        </w:rPr>
        <w:t>9. Regulatory matters</w:t>
      </w:r>
    </w:p>
    <w:p>
      <w:pPr>
        <w:keepLines w:val="0"/>
        <w:widowControl/>
        <w:ind w:firstLine="720"/>
        <w:jc w:val="both"/>
      </w:pPr>
      <w:r>
        <w:t>The parties will promptly assess HSR, CFIUS, foreign investment, export, sanctions, industry, securities, antitrust, and other filings. Definitive documents will allocate filing fees, strategy, control of communications, information access, timing, litigation, remedy commitments, divestiture or behavioral obligations, outside date, and failure risk. No numerical threshold in this letter substitutes for current specialist analysis.</w:t>
      </w:r>
    </w:p>
    <w:p>
      <w:pPr>
        <w:pStyle w:val="Heading3"/>
        <w:widowControl/>
        <w:ind w:left="0" w:firstLine="0"/>
      </w:pPr>
      <w:r>
        <w:rPr>
          <w:rFonts w:ascii="Times New Roman" w:hAnsi="Times New Roman"/>
          <w:b/>
          <w:sz w:val="22"/>
          <w:u w:val="single"/>
        </w:rPr>
        <w:t>10. Founder employee and retention arrangements</w:t>
      </w:r>
    </w:p>
    <w:p>
      <w:pPr>
        <w:keepLines w:val="0"/>
        <w:widowControl/>
        <w:ind w:firstLine="720"/>
        <w:jc w:val="both"/>
      </w:pPr>
      <w:r>
        <w:t>Buyer anticipates discussing employment, consulting, retention, rollover, incentive, release, and restrictive-covenant arrangements with the persons listed in Exhibit C. These arrangements are separate from the purchase price and subject to independent negotiation, board approval, applicable law, Sections 280G and 409A review, and clear allocation. Failure to reach an arrangement is a closing condition only if the definitive agreement expressly says so.</w:t>
      </w:r>
    </w:p>
    <w:p>
      <w:pPr>
        <w:pStyle w:val="Heading3"/>
        <w:widowControl/>
        <w:ind w:left="0" w:firstLine="0"/>
      </w:pPr>
      <w:r>
        <w:rPr>
          <w:rFonts w:ascii="Times New Roman" w:hAnsi="Times New Roman"/>
          <w:b/>
          <w:sz w:val="22"/>
          <w:u w:val="single"/>
        </w:rPr>
        <w:t>11. Closing conditions</w:t>
      </w:r>
    </w:p>
    <w:p>
      <w:pPr>
        <w:widowControl/>
        <w:ind w:firstLine="720"/>
        <w:jc w:val="both"/>
      </w:pPr>
      <w:r>
        <w:t>Expected conditions are required corporate and stockholder approvals; expiration of specified regulatory periods; no prohibitory order; accuracy of representations under negotiated standards; material covenant compliance; delivery of specified consents and transaction documents; agreed equity-security treatment; and no Material Adverse Effect. Financing, generalized diligence satisfaction, Buyer internal approval, and discretionary conditions will not be included unless expressly agreed in the definitive agreement.</w:t>
      </w:r>
    </w:p>
    <w:p>
      <w:pPr>
        <w:pStyle w:val="Heading3"/>
        <w:widowControl/>
        <w:ind w:left="0" w:firstLine="0"/>
      </w:pPr>
      <w:r>
        <w:rPr>
          <w:rFonts w:ascii="Times New Roman" w:hAnsi="Times New Roman"/>
          <w:b/>
          <w:sz w:val="22"/>
          <w:u w:val="single"/>
        </w:rPr>
        <w:t>12. Timing</w:t>
      </w:r>
    </w:p>
    <w:p>
      <w:pPr>
        <w:widowControl/>
        <w:ind w:firstLine="720"/>
        <w:jc w:val="both"/>
      </w:pPr>
      <w:r>
        <w:t>The proposed timetable is: management kickoff [DATE]; priority diligence complete [DATE]; first definitive draft [DATE]; principal terms resolved [DATE]; signing [DATE]; and Closing [DATE OR CONDITIONS]. Each date is a planning target, not a binding obligation. The parties will maintain a shared issues list and approvals calendar.</w:t>
      </w:r>
    </w:p>
    <w:p>
      <w:pPr>
        <w:pStyle w:val="Heading2"/>
        <w:widowControl/>
        <w:ind w:left="0" w:firstLine="0"/>
      </w:pPr>
      <w:r>
        <w:rPr>
          <w:rFonts w:ascii="Times New Roman" w:hAnsi="Times New Roman"/>
          <w:b/>
          <w:sz w:val="22"/>
          <w:u w:val="single"/>
        </w:rPr>
        <w:t>Binding Process Terms</w:t>
      </w:r>
    </w:p>
    <w:p>
      <w:pPr>
        <w:pStyle w:val="Heading3"/>
        <w:widowControl/>
        <w:ind w:left="0" w:firstLine="0"/>
      </w:pPr>
      <w:r>
        <w:rPr>
          <w:rFonts w:ascii="Times New Roman" w:hAnsi="Times New Roman"/>
          <w:b/>
          <w:sz w:val="22"/>
          <w:u w:val="single"/>
        </w:rPr>
        <w:t>13. Confidentiality and use of information</w:t>
      </w:r>
    </w:p>
    <w:p>
      <w:pPr>
        <w:widowControl/>
        <w:ind w:firstLine="720"/>
        <w:jc w:val="both"/>
      </w:pPr>
      <w:r>
        <w:t>The confidentiality agreement dated [DATE] remains in effect and applies to this letter, the Transaction, and the process. If it conflicts with this Section, [[the confidentiality agreement / this Section]] controls. Information may be used only to evaluate and negotiate the Transaction. Buyer will enforce need-to-know, clean-team, privilege, privacy, security, and securities-trading restrictions and will comply with applicable return or destruction obligations.</w:t>
      </w:r>
    </w:p>
    <w:p>
      <w:pPr>
        <w:pStyle w:val="Heading3"/>
        <w:widowControl/>
        <w:ind w:left="0" w:firstLine="0"/>
      </w:pPr>
      <w:r>
        <w:rPr>
          <w:rFonts w:ascii="Times New Roman" w:hAnsi="Times New Roman"/>
          <w:b/>
          <w:sz w:val="22"/>
          <w:u w:val="single"/>
        </w:rPr>
        <w:t>14. Exclusivity</w:t>
      </w:r>
    </w:p>
    <w:p>
      <w:pPr>
        <w:widowControl/>
        <w:ind w:firstLine="720"/>
        <w:jc w:val="both"/>
      </w:pPr>
      <w:r>
        <w:t xml:space="preserve">From signature until [DATE AND TIME ZONE] (the </w:t>
      </w:r>
      <w:r>
        <w:rPr>
          <w:b/>
          <w:i/>
        </w:rPr>
        <w:t>“Exclusivity Period”</w:t>
      </w:r>
      <w:r>
        <w:t xml:space="preserve">), the Company, Sellers, and their controlled representatives will not knowingly solicit, encourage, initiate, continue, or enter discussions or agreements concerning an Alternative Transaction; furnish nonpublic information for that purpose; waive transfer or standstill restrictions; or approve one. </w:t>
      </w:r>
      <w:r>
        <w:rPr>
          <w:b/>
          <w:i/>
        </w:rPr>
        <w:t>“Alternative Transaction”</w:t>
      </w:r>
      <w:r>
        <w:t xml:space="preserve"> means a sale, merger, recapitalization, financing with change-of-control effect, license or disposition of material IP, or transfer of [20%] or more of equity, assets, revenue, or earning power, excluding ordinary-course commercial transactions.</w:t>
      </w:r>
    </w:p>
    <w:p>
      <w:pPr>
        <w:widowControl/>
        <w:ind w:firstLine="720"/>
        <w:jc w:val="both"/>
      </w:pPr>
      <w:r>
        <w:t>Existing discussions and persons covered must be listed in Exhibit D. On signature, the Company will terminate unlisted discussions and request return or destruction where contractually entitled. It will notify Buyer within [one] Business Day of an unsolicited proposal, identifying material terms and providing nonprivileged written material, subject to the negotiated fiduciary exception. Any extension based on milestones must be objectively stated; no automatic extension arises from Buyer delay.</w:t>
      </w:r>
    </w:p>
    <w:p>
      <w:pPr>
        <w:pStyle w:val="Heading3"/>
        <w:widowControl/>
        <w:ind w:left="0" w:firstLine="0"/>
      </w:pPr>
      <w:r>
        <w:rPr>
          <w:rFonts w:ascii="Times New Roman" w:hAnsi="Times New Roman"/>
          <w:b/>
          <w:sz w:val="22"/>
          <w:u w:val="single"/>
        </w:rPr>
        <w:t>15. Access and conduct of process</w:t>
      </w:r>
    </w:p>
    <w:p>
      <w:pPr>
        <w:widowControl/>
        <w:ind w:firstLine="720"/>
        <w:jc w:val="both"/>
      </w:pPr>
      <w:r>
        <w:t>The Company will provide reasonable access requested through designated coordinators, subject to law, privilege, confidentiality, data-security, antitrust, contractual restrictions, and operational burden. Buyer will make requests proportionate and prioritized. No party obtains operational control. The Company may redact or use a clean team and may withhold privileged material while describing its general nature where lawful.</w:t>
      </w:r>
    </w:p>
    <w:p>
      <w:pPr>
        <w:pStyle w:val="Heading3"/>
        <w:widowControl/>
        <w:ind w:left="0" w:firstLine="0"/>
      </w:pPr>
      <w:r>
        <w:rPr>
          <w:rFonts w:ascii="Times New Roman" w:hAnsi="Times New Roman"/>
          <w:b/>
          <w:sz w:val="22"/>
          <w:u w:val="single"/>
        </w:rPr>
        <w:t>16. Expenses and reimbursement</w:t>
      </w:r>
    </w:p>
    <w:p>
      <w:pPr>
        <w:keepLines w:val="0"/>
        <w:widowControl/>
        <w:ind w:firstLine="720"/>
        <w:jc w:val="both"/>
      </w:pPr>
      <w:r>
        <w:t>Each party bears its own expenses. [[OPTIONAL: If the Company materially breaches Section 14 and closes an Alternative Transaction within [12] months, it will reimburse documented Buyer external expenses up to $[CAP], as liquidated reimbursement and not a penalty.]] No broker or advisor is entitled to compensation from another party based on arrangements made by the first.</w:t>
      </w:r>
    </w:p>
    <w:p>
      <w:pPr>
        <w:pStyle w:val="Heading3"/>
        <w:widowControl/>
        <w:ind w:left="0" w:firstLine="0"/>
      </w:pPr>
      <w:r>
        <w:rPr>
          <w:rFonts w:ascii="Times New Roman" w:hAnsi="Times New Roman"/>
          <w:b/>
          <w:sz w:val="22"/>
          <w:u w:val="single"/>
        </w:rPr>
        <w:t>17. Publicity and contacts</w:t>
      </w:r>
    </w:p>
    <w:p>
      <w:pPr>
        <w:widowControl/>
        <w:ind w:firstLine="720"/>
        <w:jc w:val="both"/>
      </w:pPr>
      <w:r>
        <w:t>No party will announce this letter or the proposed Transaction or use another party’s name without prior written approval, except disclosure required by law after advance consultation where practicable. Buyer will not contact Company personnel, customers, suppliers, lenders, landlords, or regulators about the Transaction without Company authorization, except Buyer’s financing sources and advisers bound by confidentiality.</w:t>
      </w:r>
    </w:p>
    <w:p>
      <w:pPr>
        <w:pStyle w:val="Heading3"/>
        <w:widowControl/>
        <w:ind w:left="0" w:firstLine="0"/>
      </w:pPr>
      <w:r>
        <w:rPr>
          <w:rFonts w:ascii="Times New Roman" w:hAnsi="Times New Roman"/>
          <w:b/>
          <w:sz w:val="22"/>
          <w:u w:val="single"/>
        </w:rPr>
        <w:t>18. No binding transaction obligation</w:t>
      </w:r>
    </w:p>
    <w:p>
      <w:pPr>
        <w:widowControl/>
        <w:ind w:firstLine="720"/>
        <w:jc w:val="both"/>
      </w:pPr>
      <w:r>
        <w:t>Sections 1 through 12 are statements of present intention only. They create no duty to negotiate in good faith, continue discussions, enter definitive agreements, finance, approve, or close. Either side may stop negotiations at any time, subject to Sections 13 through 21. No course of dealing, partial performance, email, draft, oral statement, or reliance creates a Transaction obligation. Only signed definitive agreements approved through each party’s required process can do so.</w:t>
      </w:r>
    </w:p>
    <w:p>
      <w:pPr>
        <w:pStyle w:val="Heading3"/>
        <w:widowControl/>
        <w:ind w:left="0" w:firstLine="0"/>
      </w:pPr>
      <w:r>
        <w:rPr>
          <w:rFonts w:ascii="Times New Roman" w:hAnsi="Times New Roman"/>
          <w:b/>
          <w:sz w:val="22"/>
          <w:u w:val="single"/>
        </w:rPr>
        <w:t>19. Remedies</w:t>
      </w:r>
    </w:p>
    <w:p>
      <w:pPr>
        <w:keepLines w:val="0"/>
        <w:widowControl/>
        <w:ind w:firstLine="720"/>
        <w:jc w:val="both"/>
      </w:pPr>
      <w:r>
        <w:t>The parties acknowledge breach of confidentiality or exclusivity may cause irreparable harm and that equitable relief may be available without proving actual damages or posting bond except as law requires. Remedies are cumulative for binding sections, but there may be no duplicative recovery. Any expense reimbursement is subject to the express sole-remedy treatment, if selected, in Section 16.</w:t>
      </w:r>
    </w:p>
    <w:p>
      <w:pPr>
        <w:pStyle w:val="Heading3"/>
        <w:widowControl/>
        <w:ind w:left="0" w:firstLine="0"/>
      </w:pPr>
      <w:r>
        <w:rPr>
          <w:rFonts w:ascii="Times New Roman" w:hAnsi="Times New Roman"/>
          <w:b/>
          <w:sz w:val="22"/>
          <w:u w:val="single"/>
        </w:rPr>
        <w:t>20. Governing law and forum</w:t>
      </w:r>
    </w:p>
    <w:p>
      <w:pPr>
        <w:widowControl/>
        <w:ind w:firstLine="720"/>
        <w:jc w:val="both"/>
      </w:pPr>
      <w:r>
        <w:t>The binding sections are governed by [DELAWARE] law without conflict-of-laws rules. The parties submit to exclusive jurisdiction in [COURTS], waive venue objections, and waive jury trial to the extent lawful. Notices under binding sections must be sent to the persons and addresses in Exhibit E by email with confirmation and overnight courier.</w:t>
      </w:r>
    </w:p>
    <w:p>
      <w:pPr>
        <w:pStyle w:val="Heading3"/>
        <w:widowControl/>
        <w:ind w:left="0" w:firstLine="0"/>
      </w:pPr>
      <w:r>
        <w:rPr>
          <w:rFonts w:ascii="Times New Roman" w:hAnsi="Times New Roman"/>
          <w:b/>
          <w:sz w:val="22"/>
          <w:u w:val="single"/>
        </w:rPr>
        <w:t>21. Termination assignment and counterparts</w:t>
      </w:r>
    </w:p>
    <w:p>
      <w:pPr>
        <w:widowControl/>
        <w:ind w:firstLine="720"/>
        <w:jc w:val="both"/>
      </w:pPr>
      <w:r>
        <w:t>The binding sections terminate on the earliest of definitive agreement execution, written mutual termination, or [DATE], except confidentiality, expenses, remedies, governing law, and provisions intended to survive. Buyer may assign this letter to a controlled Affiliate if Buyer remains liable. No other assignment is permitted without consent. Amendments and waivers must be written and signed. Counterparts and electronic signatures are effective.</w:t>
      </w:r>
    </w:p>
    <w:p>
      <w:pPr>
        <w:widowControl/>
        <w:ind w:firstLine="720"/>
        <w:jc w:val="both"/>
      </w:pPr>
      <w:r>
        <w:t>If these terms are acceptable, please sign below.</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4680"/>
        <w:gridCol w:w="4680"/>
      </w:tblGrid>
      <w:tr>
        <w:trPr>
          <w:cantSplit/>
        </w:trPr>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BUYER:</w:t>
            </w:r>
            <w:r>
              <w:rPr>
                <w:rFonts w:ascii="Times New Roman" w:hAnsi="Times New Roman"/>
                <w:b/>
                <w:sz w:val="22"/>
              </w:rPr>
              <w:t xml:space="preserve"> [BUYER] By: ______________________________</w:t>
            </w:r>
            <w:r>
              <w:rPr>
                <w:rFonts w:ascii="Times New Roman" w:hAnsi="Times New Roman"/>
                <w:b/>
                <w:sz w:val="22"/>
              </w:rPr>
              <w:br/>
            </w:r>
            <w:r>
              <w:rPr>
                <w:rFonts w:ascii="Times New Roman" w:hAnsi="Times New Roman"/>
                <w:b/>
                <w:sz w:val="22"/>
              </w:rPr>
              <w:t>Name: [NAME]</w:t>
            </w:r>
            <w:r>
              <w:rPr>
                <w:rFonts w:ascii="Times New Roman" w:hAnsi="Times New Roman"/>
                <w:b/>
                <w:sz w:val="22"/>
              </w:rPr>
              <w:br/>
            </w:r>
            <w:r>
              <w:rPr>
                <w:rFonts w:ascii="Times New Roman" w:hAnsi="Times New Roman"/>
                <w:b/>
                <w:sz w:val="22"/>
              </w:rPr>
              <w:t>Title: [TITLE]</w:t>
            </w:r>
          </w:p>
        </w:tc>
        <w:tc>
          <w:tcPr>
            <w:tcW w:type="dxa" w:w="4392"/>
            <w:vAlign w:val="top"/>
            <w:tcMar>
              <w:top w:w="120" w:type="dxa"/>
              <w:start w:w="80" w:type="dxa"/>
              <w:bottom w:w="240" w:type="dxa"/>
              <w:end w:w="120" w:type="dxa"/>
            </w:tcMar>
            <w:shd w:fill="DCE6F1"/>
          </w:tcPr>
          <w:p>
            <w:pPr>
              <w:keepLines/>
              <w:spacing w:after="0"/>
            </w:pPr>
            <w:r>
              <w:rPr>
                <w:rFonts w:ascii="Times New Roman" w:hAnsi="Times New Roman"/>
                <w:b/>
                <w:sz w:val="22"/>
              </w:rPr>
              <w:t>ACKNOWLEDGED AND AGREED solely as to Sections 13 through 21:</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t xml:space="preserve"> [TARGET COMPANY] 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SELLERS:</w:t>
            </w:r>
            <w:r>
              <w:rPr>
                <w:rFonts w:ascii="Times New Roman" w:hAnsi="Times New Roman"/>
                <w:sz w:val="22"/>
              </w:rPr>
              <w:t xml:space="preserve"> [IDENTIFY SIGNING SELLERS OR REPRESENTATIVE AND AUTHORITY] 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Capacity: [CAPACITY]</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Exhibit A Enterprise to Equity Value Bridge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560"/>
        <w:gridCol w:w="1560"/>
        <w:gridCol w:w="1560"/>
        <w:gridCol w:w="1560"/>
        <w:gridCol w:w="1560"/>
        <w:gridCol w:w="1560"/>
      </w:tblGrid>
      <w:tr>
        <w:trPr>
          <w:tblHeader w:val="true"/>
          <w:cantSplit/>
        </w:trPr>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Line item</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Amount</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Inclusion rule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Source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Open issue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Enterprise value</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[TERM]</w:t>
            </w:r>
          </w:p>
        </w:tc>
        <w:tc>
          <w:tcPr>
            <w:tcW w:type="dxa" w:w="1560"/>
            <w:vAlign w:val="center"/>
            <w:tcMar>
              <w:top w:w="55" w:type="dxa"/>
              <w:start w:w="70" w:type="dxa"/>
              <w:bottom w:w="55" w:type="dxa"/>
              <w:end w:w="70" w:type="dxa"/>
            </w:tcMar>
          </w:tcPr>
          <w:p>
            <w:pPr>
              <w:spacing w:after="0"/>
            </w:pPr>
            <w:r>
              <w:rPr>
                <w:rFonts w:ascii="Times New Roman" w:hAnsi="Times New Roman"/>
                <w:sz w:val="18"/>
              </w:rPr>
              <w:t>[SOURCE]</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[ISSUE / NONE]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Cash</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[TERM]</w:t>
            </w:r>
          </w:p>
        </w:tc>
        <w:tc>
          <w:tcPr>
            <w:tcW w:type="dxa" w:w="1560"/>
            <w:vAlign w:val="center"/>
            <w:tcMar>
              <w:top w:w="55" w:type="dxa"/>
              <w:start w:w="70" w:type="dxa"/>
              <w:bottom w:w="55" w:type="dxa"/>
              <w:end w:w="70" w:type="dxa"/>
            </w:tcMar>
          </w:tcPr>
          <w:p>
            <w:pPr>
              <w:spacing w:after="0"/>
            </w:pPr>
            <w:r>
              <w:rPr>
                <w:rFonts w:ascii="Times New Roman" w:hAnsi="Times New Roman"/>
                <w:sz w:val="18"/>
              </w:rPr>
              <w:t>[SOURCE]</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[ISSUE / NONE]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Debt</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[TERM]</w:t>
            </w:r>
          </w:p>
        </w:tc>
        <w:tc>
          <w:tcPr>
            <w:tcW w:type="dxa" w:w="1560"/>
            <w:vAlign w:val="center"/>
            <w:tcMar>
              <w:top w:w="55" w:type="dxa"/>
              <w:start w:w="70" w:type="dxa"/>
              <w:bottom w:w="55" w:type="dxa"/>
              <w:end w:w="70" w:type="dxa"/>
            </w:tcMar>
          </w:tcPr>
          <w:p>
            <w:pPr>
              <w:spacing w:after="0"/>
            </w:pPr>
            <w:r>
              <w:rPr>
                <w:rFonts w:ascii="Times New Roman" w:hAnsi="Times New Roman"/>
                <w:sz w:val="18"/>
              </w:rPr>
              <w:t>[SOURCE]</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[ISSUE / NONE]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Transaction Expenses</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[TERM]</w:t>
            </w:r>
          </w:p>
        </w:tc>
        <w:tc>
          <w:tcPr>
            <w:tcW w:type="dxa" w:w="1560"/>
            <w:vAlign w:val="center"/>
            <w:tcMar>
              <w:top w:w="55" w:type="dxa"/>
              <w:start w:w="70" w:type="dxa"/>
              <w:bottom w:w="55" w:type="dxa"/>
              <w:end w:w="70" w:type="dxa"/>
            </w:tcMar>
          </w:tcPr>
          <w:p>
            <w:pPr>
              <w:spacing w:after="0"/>
            </w:pPr>
            <w:r>
              <w:rPr>
                <w:rFonts w:ascii="Times New Roman" w:hAnsi="Times New Roman"/>
                <w:sz w:val="18"/>
              </w:rPr>
              <w:t>[SOURCE]</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[ISSUE / NONE]</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Working Capital</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[TARGET / ESTIMATE]</w:t>
            </w:r>
          </w:p>
        </w:tc>
        <w:tc>
          <w:tcPr>
            <w:tcW w:type="dxa" w:w="1560"/>
            <w:vAlign w:val="center"/>
            <w:tcMar>
              <w:top w:w="55" w:type="dxa"/>
              <w:start w:w="70" w:type="dxa"/>
              <w:bottom w:w="55" w:type="dxa"/>
              <w:end w:w="70" w:type="dxa"/>
            </w:tcMar>
          </w:tcPr>
          <w:p>
            <w:pPr>
              <w:spacing w:after="0"/>
            </w:pPr>
            <w:r>
              <w:rPr>
                <w:rFonts w:ascii="Times New Roman" w:hAnsi="Times New Roman"/>
                <w:sz w:val="18"/>
              </w:rPr>
              <w:t>[SOURCE]</w:t>
            </w:r>
          </w:p>
        </w:tc>
        <w:tc>
          <w:tcPr>
            <w:tcW w:type="dxa" w:w="1560"/>
            <w:vAlign w:val="center"/>
            <w:tcMar>
              <w:top w:w="55" w:type="dxa"/>
              <w:start w:w="70" w:type="dxa"/>
              <w:bottom w:w="55" w:type="dxa"/>
              <w:end w:w="70" w:type="dxa"/>
            </w:tcMar>
          </w:tcPr>
          <w:p>
            <w:pPr>
              <w:spacing w:after="0"/>
            </w:pPr>
            <w:r>
              <w:rPr>
                <w:rFonts w:ascii="Times New Roman" w:hAnsi="Times New Roman"/>
                <w:sz w:val="18"/>
              </w:rPr>
              <w:t>[OWNER]</w:t>
            </w:r>
          </w:p>
        </w:tc>
        <w:tc>
          <w:tcPr>
            <w:tcW w:type="dxa" w:w="1560"/>
            <w:vAlign w:val="center"/>
            <w:tcMar>
              <w:top w:w="55" w:type="dxa"/>
              <w:start w:w="70" w:type="dxa"/>
              <w:bottom w:w="55" w:type="dxa"/>
              <w:end w:w="70" w:type="dxa"/>
            </w:tcMar>
          </w:tcPr>
          <w:p>
            <w:pPr>
              <w:spacing w:after="0"/>
            </w:pPr>
            <w:r>
              <w:rPr>
                <w:rFonts w:ascii="Times New Roman" w:hAnsi="Times New Roman"/>
                <w:sz w:val="18"/>
              </w:rPr>
              <w:t>[ISSUE / NONE]</w:t>
            </w:r>
          </w:p>
        </w:tc>
      </w:tr>
    </w:tbl>
    <w:p>
      <w:pPr>
        <w:widowControl/>
        <w:spacing w:after="20"/>
      </w:pPr>
    </w:p>
    <w:p>
      <w:pPr>
        <w:pStyle w:val="Heading3"/>
        <w:widowControl/>
        <w:ind w:left="0" w:firstLine="0"/>
      </w:pPr>
      <w:r>
        <w:rPr>
          <w:rFonts w:ascii="Times New Roman" w:hAnsi="Times New Roman"/>
          <w:b/>
          <w:sz w:val="22"/>
          <w:u w:val="single"/>
        </w:rPr>
        <w:t>Exhibit B Capitalization Assumptions</w:t>
      </w:r>
    </w:p>
    <w:p>
      <w:pPr>
        <w:widowControl/>
        <w:ind w:firstLine="720"/>
        <w:jc w:val="both"/>
      </w:pPr>
      <w:r>
        <w:t>List authorized and outstanding securities, options, warrants, SAFEs, notes, promised grants, preferred rights, liquidation preferences, conversion, vesting, acceleration, repurchase, and consideration allocation assumptions.</w:t>
      </w:r>
    </w:p>
    <w:p>
      <w:pPr>
        <w:pStyle w:val="Heading3"/>
        <w:widowControl/>
        <w:ind w:left="0" w:firstLine="0"/>
      </w:pPr>
      <w:r>
        <w:rPr>
          <w:rFonts w:ascii="Times New Roman" w:hAnsi="Times New Roman"/>
          <w:b/>
          <w:sz w:val="22"/>
          <w:u w:val="single"/>
        </w:rPr>
        <w:t>Exhibit C Founder and Employee Discussions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560"/>
        <w:gridCol w:w="1560"/>
        <w:gridCol w:w="1560"/>
        <w:gridCol w:w="1560"/>
        <w:gridCol w:w="1560"/>
        <w:gridCol w:w="1560"/>
      </w:tblGrid>
      <w:tr>
        <w:trPr>
          <w:tblHeader w:val="true"/>
          <w:cantSplit/>
        </w:trPr>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Person</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Current role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Proposed arrangement</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Separate consideration</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Approval and specialist gate</w:t>
            </w:r>
          </w:p>
        </w:tc>
        <w:tc>
          <w:tcPr>
            <w:tcW w:type="dxa" w:w="1560"/>
            <w:vAlign w:val="center"/>
            <w:tcMar>
              <w:top w:w="55" w:type="dxa"/>
              <w:start w:w="70" w:type="dxa"/>
              <w:bottom w:w="55" w:type="dxa"/>
              <w:end w:w="70" w:type="dxa"/>
            </w:tcMar>
            <w:shd w:fill="DCE6F1"/>
          </w:tcPr>
          <w:p>
            <w:pPr>
              <w:spacing w:after="0"/>
            </w:pPr>
            <w:r>
              <w:rPr>
                <w:rFonts w:ascii="Times New Roman" w:hAnsi="Times New Roman"/>
                <w:b/>
                <w:sz w:val="18"/>
              </w:rPr>
              <w:t>Status</w:t>
            </w:r>
          </w:p>
        </w:tc>
      </w:tr>
      <w:tr>
        <w:trPr>
          <w:cantSplit/>
        </w:trPr>
        <w:tc>
          <w:tcPr>
            <w:tcW w:type="dxa" w:w="1560"/>
            <w:vAlign w:val="center"/>
            <w:tcMar>
              <w:top w:w="55" w:type="dxa"/>
              <w:start w:w="70" w:type="dxa"/>
              <w:bottom w:w="55" w:type="dxa"/>
              <w:end w:w="70" w:type="dxa"/>
            </w:tcMar>
          </w:tcPr>
          <w:p>
            <w:pPr>
              <w:spacing w:after="0"/>
            </w:pPr>
            <w:r>
              <w:rPr>
                <w:rFonts w:ascii="Times New Roman" w:hAnsi="Times New Roman"/>
                <w:sz w:val="18"/>
              </w:rPr>
              <w:t>[NAME]</w:t>
            </w:r>
          </w:p>
        </w:tc>
        <w:tc>
          <w:tcPr>
            <w:tcW w:type="dxa" w:w="1560"/>
            <w:vAlign w:val="center"/>
            <w:tcMar>
              <w:top w:w="55" w:type="dxa"/>
              <w:start w:w="70" w:type="dxa"/>
              <w:bottom w:w="55" w:type="dxa"/>
              <w:end w:w="70" w:type="dxa"/>
            </w:tcMar>
          </w:tcPr>
          <w:p>
            <w:pPr>
              <w:spacing w:after="0"/>
            </w:pPr>
            <w:r>
              <w:rPr>
                <w:rFonts w:ascii="Times New Roman" w:hAnsi="Times New Roman"/>
                <w:sz w:val="18"/>
              </w:rPr>
              <w:t>[ROLE]</w:t>
            </w:r>
          </w:p>
        </w:tc>
        <w:tc>
          <w:tcPr>
            <w:tcW w:type="dxa" w:w="1560"/>
            <w:vAlign w:val="center"/>
            <w:tcMar>
              <w:top w:w="55" w:type="dxa"/>
              <w:start w:w="70" w:type="dxa"/>
              <w:bottom w:w="55" w:type="dxa"/>
              <w:end w:w="70" w:type="dxa"/>
            </w:tcMar>
          </w:tcPr>
          <w:p>
            <w:pPr>
              <w:spacing w:after="0"/>
            </w:pPr>
            <w:r>
              <w:rPr>
                <w:rFonts w:ascii="Times New Roman" w:hAnsi="Times New Roman"/>
                <w:sz w:val="18"/>
              </w:rPr>
              <w:t>[EMPLOYMENT / RETENTION / ROLLOVER / OTHER]</w:t>
            </w:r>
          </w:p>
        </w:tc>
        <w:tc>
          <w:tcPr>
            <w:tcW w:type="dxa" w:w="1560"/>
            <w:vAlign w:val="center"/>
            <w:tcMar>
              <w:top w:w="55" w:type="dxa"/>
              <w:start w:w="70" w:type="dxa"/>
              <w:bottom w:w="55" w:type="dxa"/>
              <w:end w:w="70" w:type="dxa"/>
            </w:tcMar>
          </w:tcPr>
          <w:p>
            <w:pPr>
              <w:spacing w:after="0"/>
            </w:pPr>
            <w:r>
              <w:rPr>
                <w:rFonts w:ascii="Times New Roman" w:hAnsi="Times New Roman"/>
                <w:sz w:val="18"/>
              </w:rPr>
              <w:t>[$]</w:t>
            </w:r>
          </w:p>
        </w:tc>
        <w:tc>
          <w:tcPr>
            <w:tcW w:type="dxa" w:w="1560"/>
            <w:vAlign w:val="center"/>
            <w:tcMar>
              <w:top w:w="55" w:type="dxa"/>
              <w:start w:w="70" w:type="dxa"/>
              <w:bottom w:w="55" w:type="dxa"/>
              <w:end w:w="70" w:type="dxa"/>
            </w:tcMar>
          </w:tcPr>
          <w:p>
            <w:pPr>
              <w:spacing w:after="0"/>
            </w:pPr>
            <w:r>
              <w:rPr>
                <w:rFonts w:ascii="Times New Roman" w:hAnsi="Times New Roman"/>
                <w:sz w:val="18"/>
              </w:rPr>
              <w:t>[APPROVAL]</w:t>
            </w:r>
          </w:p>
        </w:tc>
        <w:tc>
          <w:tcPr>
            <w:tcW w:type="dxa" w:w="1560"/>
            <w:vAlign w:val="center"/>
            <w:tcMar>
              <w:top w:w="55" w:type="dxa"/>
              <w:start w:w="70" w:type="dxa"/>
              <w:bottom w:w="55" w:type="dxa"/>
              <w:end w:w="70" w:type="dxa"/>
            </w:tcMar>
          </w:tcPr>
          <w:p>
            <w:pPr>
              <w:spacing w:after="0"/>
            </w:pPr>
            <w:r>
              <w:rPr>
                <w:rFonts w:ascii="Times New Roman" w:hAnsi="Times New Roman"/>
                <w:sz w:val="18"/>
              </w:rPr>
              <w:t>[OPEN]</w:t>
            </w:r>
          </w:p>
        </w:tc>
      </w:tr>
    </w:tbl>
    <w:p>
      <w:pPr>
        <w:widowControl/>
        <w:spacing w:after="20"/>
      </w:pPr>
    </w:p>
    <w:p>
      <w:pPr>
        <w:pStyle w:val="Heading3"/>
        <w:widowControl/>
        <w:ind w:left="0" w:firstLine="0"/>
      </w:pPr>
      <w:r>
        <w:rPr>
          <w:rFonts w:ascii="Times New Roman" w:hAnsi="Times New Roman"/>
          <w:b/>
          <w:sz w:val="22"/>
          <w:u w:val="single"/>
        </w:rPr>
        <w:t>Exhibit D Existing Alternative Transaction Contacts</w:t>
      </w:r>
    </w:p>
    <w:p>
      <w:pPr>
        <w:widowControl/>
        <w:ind w:firstLine="720"/>
        <w:jc w:val="both"/>
      </w:pPr>
      <w:r>
        <w:t>Identify each permitted existing contact, last contact date, stage, materials shared, standstill or confidentiality terms, and required termination or return request.</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Letter</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is an educational buyer-oriented LOI master for a private-company acquisition. It is not a definitive acquisition agreement and should not be used where local law may impose precontractual duties, public-company rules apply, or a regulated or cross-border process requires specialist terms without review.</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In an approved environment, upload the process letter, teaser or CIM, capitalization summary, management materials, valuation model, proposed structure, confidentiality agreement, diligence findings, financing plan, internal approval requirements, and regulatory assessment. Do not upload confidential information to an unapproved AI system.</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buy-side M&amp;A counsel in completing the uploaded Founder M&amp;A Letter of Intent Buyer Protective. First separate every provision into binding and nonbinding categories and flag any language that could create an unintended duty, commitment, financing condition, approval condition, disclosure duty, or agreement to agree. Produce a missing-information questionnaire, economic bridge, structure and tax issue list, exclusivity matrix, diligence plan, regulatory and financing gate list, and conflict report against the confidentiality agreement and process letter. Do not invent facts or law. Cite the supplied source for every completion or state “source not provided.” Preserve brackets and alternatives until counsel decides. Then prepare a marked draft and a concise red-flag memorandum. Do not contact the target, submit a bid, sign, publish, or label the draft approved.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Counsel should review structure, economics, binding effect, exclusivity, financing, regulatory allocation, founder arrangements, and governing law. Submit the revised Word draft with a redline, source-attributed issue list, valuation bridge, capitalization assumptions, approval record, confidentiality conflict check, and release memorandum. Only authorized signatories may execute the final LOI.</w:t>
      </w:r>
    </w:p>
    <w:sectPr>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Letter of Intent Buyer Protective</dc:title>
  <dc:subject>Founder M&amp;A practitioner master</dc:subject>
  <dc:creator/>
  <cp:keywords>Founder M&amp;A, FMA-013, practitioner master</cp:keywords>
  <dc:description/>
  <cp:lastModifiedBy/>
  <cp:revision>1</cp:revision>
  <dcterms:created xsi:type="dcterms:W3CDTF">2013-12-23T23:15:00Z</dcterms:created>
  <dcterms:modified xsi:type="dcterms:W3CDTF">2013-12-23T23:15:00Z</dcterms:modified>
  <cp:category/>
</cp:coreProperties>
</file>