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Transition Services Agreement</w:t>
      </w:r>
    </w:p>
    <w:p>
      <w:pPr>
        <w:widowControl/>
        <w:spacing w:after="240"/>
        <w:jc w:val="center"/>
      </w:pPr>
      <w:r>
        <w:rPr>
          <w:rFonts w:ascii="Times New Roman" w:hAnsi="Times New Roman"/>
          <w:b/>
          <w:sz w:val="20"/>
        </w:rPr>
        <w:t>FMA-012  |  VERSION 1.0.0  |  7 SEPTEMBER 2026</w:t>
      </w:r>
    </w:p>
    <w:p>
      <w:pPr>
        <w:pStyle w:val="PractitionerBanner"/>
        <w:widowControl/>
        <w:shd w:fill="F2F2F2"/>
      </w:pPr>
      <w:r>
        <w:rPr>
          <w:b/>
        </w:rPr>
        <w:t>Practitioner master — complete all brackets, service schedules, dependencies, security requirements, and exit milestones before use.</w:t>
      </w:r>
      <w:r>
        <w:t xml:space="preserve"> Form FMA-012; version 1.0.0; prepared 2026-09-07. This original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Enter </w:t>
      </w:r>
      <w:r>
        <w:rPr>
          <w:b/>
        </w:rPr>
        <w:t>N/A and the reason</w:t>
      </w:r>
      <w:r>
        <w:t xml:space="preserve"> where an item does not apply.</w:t>
      </w:r>
    </w:p>
    <w:p>
      <w:pPr>
        <w:pStyle w:val="Heading3"/>
        <w:widowControl/>
        <w:ind w:left="0" w:firstLine="0"/>
      </w:pPr>
      <w:r>
        <w:rPr>
          <w:rFonts w:ascii="Times New Roman" w:hAnsi="Times New Roman"/>
          <w:b/>
          <w:sz w:val="22"/>
          <w:u w:val="single"/>
        </w:rPr>
        <w:t>A. Transaction and service perimeter</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acquisition agreement, Closing, Service Provider, Recipient, transferred business, excluded business, retained systems, and controlling document hierarchy.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Build one Service Schedule per service tower with inputs, outputs, volumes, service levels, locations, systems, personnel, dependencies, fees, term, and exit milestone.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shared systems, data, contracts, licenses, facilities, vendors, bank accounts, domains, certificates, phone numbers, and personnel that cannot be separated at Closing.</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whether any service creates regulated outsourcing, professional employer, labor, tax nexus, agency, joint-employer, money transmission, healthcare, export, or industry risk.</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 / DATE]</w:t>
            </w:r>
          </w:p>
        </w:tc>
      </w:tr>
    </w:tbl>
    <w:p>
      <w:pPr>
        <w:widowControl/>
        <w:spacing w:after="20"/>
      </w:pPr>
    </w:p>
    <w:p>
      <w:pPr>
        <w:pStyle w:val="Heading3"/>
        <w:widowControl/>
        <w:ind w:left="0" w:firstLine="0"/>
      </w:pPr>
      <w:r>
        <w:rPr>
          <w:rFonts w:ascii="Times New Roman" w:hAnsi="Times New Roman"/>
          <w:b/>
          <w:sz w:val="22"/>
          <w:u w:val="single"/>
        </w:rPr>
        <w:t>B. Operational and security design</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baseline service standard, service levels, severity categories, support hours, planned maintenance, business continuity, disaster recovery, and reporting.</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Map Recipient and third-party dependencies, consent and license needs, pass-through restrictions, cost allocation, capacity constraints, and change-control authority.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data map, roles, permitted processing, segregation, access, logging, incident notice, subprocessors, transfers, return/deletion, and security exhibit.</w:t>
            </w:r>
          </w:p>
        </w:tc>
        <w:tc>
          <w:tcPr>
            <w:tcW w:type="dxa" w:w="2448"/>
            <w:vAlign w:val="center"/>
            <w:tcMar>
              <w:top w:w="55" w:type="dxa"/>
              <w:start w:w="70" w:type="dxa"/>
              <w:bottom w:w="55" w:type="dxa"/>
              <w:end w:w="70" w:type="dxa"/>
            </w:tcMar>
          </w:tcPr>
          <w:p>
            <w:pPr>
              <w:spacing w:after="0"/>
            </w:pPr>
            <w:r>
              <w:rPr>
                <w:rFonts w:ascii="Times New Roman" w:hAnsi="Times New Roman"/>
                <w:sz w:val="17"/>
              </w:rPr>
              <w:t>[PRIVACY / SECURITY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migration plan, knowledge transfer, testing, acceptance, parallel operations, cutover, rollback, decommissioning, and stranded-cost treatment.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C. Economics, liability, and release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fixed, cost-plus, usage, pass-through, tax, invoice, dispute, true-up, currency, and no-double-charge rules; reconcile with purchase-price treatment.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Align indemnities, liability caps, excluded damages, insurance, equitable relief, force majeure, audit, and claims procedure with the acquisition agreement.</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early termination, extension, partial exit, chronic failure, suspension, regulatory termination, transition assistance, and survival.</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every bracket, cross-reference, schedule, contact, signature, and release condition; obtain responsible-lawyer approval.</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TRANSITION SERVICES AGREEMENT</w:t>
      </w:r>
    </w:p>
    <w:p>
      <w:pPr>
        <w:keepLines w:val="0"/>
        <w:widowControl/>
        <w:ind w:firstLine="720"/>
        <w:jc w:val="both"/>
      </w:pPr>
      <w:r>
        <w:t xml:space="preserve">This Transition Services Agreement (this </w:t>
      </w:r>
      <w:r>
        <w:rPr>
          <w:b/>
          <w:i/>
        </w:rPr>
        <w:t>“Agreement”</w:t>
      </w:r>
      <w:r>
        <w:t>) is entered into as of [DATE] by and between [SERVICE PROVIDER], a [JURISDICTION] [ENTITY TYPE] (</w:t>
      </w:r>
      <w:r>
        <w:rPr>
          <w:b/>
          <w:i/>
        </w:rPr>
        <w:t>“Provider”</w:t>
      </w:r>
      <w:r>
        <w:t>), and [RECIPIENT], a [JURISDICTION] [ENTITY TYPE] (</w:t>
      </w:r>
      <w:r>
        <w:rPr>
          <w:b/>
          <w:i/>
        </w:rPr>
        <w:t>“Recipient”</w:t>
      </w:r>
      <w:r>
        <w:t xml:space="preserve">). Provider and Recipient are parties to [ACQUISITION AGREEMENT] dated [DATE] (the </w:t>
      </w:r>
      <w:r>
        <w:rPr>
          <w:b/>
          <w:i/>
        </w:rPr>
        <w:t>“Acquisition Agreement”</w:t>
      </w:r>
      <w:r>
        <w:t>). Capitalized terms not defined here have the meanings in the Acquisition Agreement.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A. Under the Acquisition Agreement, Recipient acquired [BUSINESS / ASSETS / EQUITY] at the Closing.</w:t>
      </w:r>
    </w:p>
    <w:p>
      <w:pPr>
        <w:widowControl/>
        <w:ind w:left="720" w:hanging="360"/>
        <w:jc w:val="both"/>
      </w:pPr>
      <w:r>
        <w:t>B. The transferred business used certain services, systems, personnel, facilities, contracts, and infrastructure that cannot practicably be separated at Closing.</w:t>
      </w:r>
    </w:p>
    <w:p>
      <w:pPr>
        <w:widowControl/>
        <w:ind w:left="720" w:hanging="360"/>
        <w:jc w:val="both"/>
      </w:pPr>
      <w:r>
        <w:t>C. Provider will supply only the transition services expressly described in the Service Schedules while Recipient builds or obtains replacements under the Exit Plan.</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Scope and Operating Principles</w:t>
      </w:r>
    </w:p>
    <w:p>
      <w:pPr>
        <w:pStyle w:val="Heading3"/>
        <w:widowControl/>
        <w:ind w:left="0" w:firstLine="0"/>
      </w:pPr>
      <w:r>
        <w:rPr>
          <w:rFonts w:ascii="Times New Roman" w:hAnsi="Times New Roman"/>
          <w:b/>
          <w:sz w:val="22"/>
          <w:u w:val="single"/>
        </w:rPr>
        <w:t>1.1 Services</w:t>
      </w:r>
    </w:p>
    <w:p>
      <w:pPr>
        <w:widowControl/>
        <w:ind w:firstLine="720"/>
        <w:jc w:val="both"/>
      </w:pPr>
      <w:r>
        <w:t xml:space="preserve">Provider will perform each service described in a signed Service Schedule (each, a </w:t>
      </w:r>
      <w:r>
        <w:rPr>
          <w:b/>
          <w:i/>
        </w:rPr>
        <w:t>“Service”</w:t>
      </w:r>
      <w:r>
        <w:t>) during its stated Service Period. A Service Schedule must identify the service owner, scope, deliverables, inputs, exclusions, volumes, locations, systems, dependencies, service levels, fee, data categories, third parties, term, and exit milestone. Provider has no obligation to perform an implied service. If a function was inadvertently omitted but was regularly provided to the transferred business during the [six]-month period before Closing and is reasonably necessary for continuity, Recipient may request it under Section 3.3.</w:t>
      </w:r>
    </w:p>
    <w:p>
      <w:pPr>
        <w:pStyle w:val="Heading3"/>
        <w:widowControl/>
        <w:ind w:left="0" w:firstLine="0"/>
      </w:pPr>
      <w:r>
        <w:rPr>
          <w:rFonts w:ascii="Times New Roman" w:hAnsi="Times New Roman"/>
          <w:b/>
          <w:sz w:val="22"/>
          <w:u w:val="single"/>
        </w:rPr>
        <w:t>1.2 Service standard</w:t>
      </w:r>
    </w:p>
    <w:p>
      <w:pPr>
        <w:widowControl/>
        <w:ind w:firstLine="720"/>
        <w:jc w:val="both"/>
      </w:pPr>
      <w:r>
        <w:t>Provider will perform each Service with substantially the same degree of care, priority, timeliness, and skill it used for the same function for the transferred business immediately before Closing, but not less than commercially reasonable care. Provider need not improve a Service or exceed the capacity, geographic scope, volume, or hours in the applicable Service Schedule. If a quantified service level conflicts with the historic standard, the quantified level controls.</w:t>
      </w:r>
    </w:p>
    <w:p>
      <w:pPr>
        <w:pStyle w:val="Heading3"/>
        <w:widowControl/>
        <w:ind w:left="0" w:firstLine="0"/>
      </w:pPr>
      <w:r>
        <w:rPr>
          <w:rFonts w:ascii="Times New Roman" w:hAnsi="Times New Roman"/>
          <w:b/>
          <w:sz w:val="22"/>
          <w:u w:val="single"/>
        </w:rPr>
        <w:t>1.3 Recipient obligations and dependencies</w:t>
      </w:r>
    </w:p>
    <w:p>
      <w:pPr>
        <w:widowControl/>
        <w:ind w:firstLine="720"/>
        <w:jc w:val="both"/>
      </w:pPr>
      <w:r>
        <w:t>Recipient will timely provide the personnel, decisions, data, access, approvals, equipment, funding, and other dependencies identified in each Service Schedule. Provider is excused from a failure only to the extent directly caused by Recipient’s uncured dependency failure and only if Provider promptly notifies Recipient, uses reasonable efforts to mitigate, and resumes performance when the dependency is restored.</w:t>
      </w:r>
    </w:p>
    <w:p>
      <w:pPr>
        <w:pStyle w:val="Heading3"/>
        <w:widowControl/>
        <w:ind w:left="0" w:firstLine="0"/>
      </w:pPr>
      <w:r>
        <w:rPr>
          <w:rFonts w:ascii="Times New Roman" w:hAnsi="Times New Roman"/>
          <w:b/>
          <w:sz w:val="22"/>
          <w:u w:val="single"/>
        </w:rPr>
        <w:t>1.4 No operational control or agency</w:t>
      </w:r>
    </w:p>
    <w:p>
      <w:pPr>
        <w:keepLines w:val="0"/>
        <w:widowControl/>
        <w:ind w:firstLine="720"/>
        <w:jc w:val="both"/>
      </w:pPr>
      <w:r>
        <w:t>The parties remain independent contractors. Neither may bind the other. Provider does not control the transferred business, employ Recipient personnel, make fiduciary or regulated decisions for Recipient, or assume Recipient liabilities except as expressly stated. Recipient remains responsible for business decisions, customer and regulatory obligations, and the legality of its use of Services.</w:t>
      </w:r>
    </w:p>
    <w:p>
      <w:pPr>
        <w:pStyle w:val="Heading2"/>
        <w:widowControl/>
        <w:ind w:left="0" w:firstLine="0"/>
      </w:pPr>
      <w:r>
        <w:rPr>
          <w:rFonts w:ascii="Times New Roman" w:hAnsi="Times New Roman"/>
          <w:b/>
          <w:sz w:val="22"/>
          <w:u w:val="single"/>
        </w:rPr>
        <w:t>2. Service Management</w:t>
      </w:r>
    </w:p>
    <w:p>
      <w:pPr>
        <w:pStyle w:val="Heading3"/>
        <w:widowControl/>
        <w:ind w:left="0" w:firstLine="0"/>
      </w:pPr>
      <w:r>
        <w:rPr>
          <w:rFonts w:ascii="Times New Roman" w:hAnsi="Times New Roman"/>
          <w:b/>
          <w:sz w:val="22"/>
          <w:u w:val="single"/>
        </w:rPr>
        <w:t>2.1 Service managers and governance</w:t>
      </w:r>
    </w:p>
    <w:p>
      <w:pPr>
        <w:keepLines w:val="0"/>
        <w:widowControl/>
        <w:ind w:firstLine="720"/>
        <w:jc w:val="both"/>
      </w:pPr>
      <w:r>
        <w:t>Each party appoints a Transition Manager and one owner for each service tower. The managers meet [weekly] during the first [90] days and [monthly] thereafter to review performance, incidents, capacity, invoices, changes, risks, and Exit Plan progress. They will maintain a decision log, issue log, change register, and dependency register. A manager may administer but not amend this Agreement unless separately authorized.</w:t>
      </w:r>
    </w:p>
    <w:p>
      <w:pPr>
        <w:pStyle w:val="Heading3"/>
        <w:widowControl/>
        <w:ind w:left="0" w:firstLine="0"/>
      </w:pPr>
      <w:r>
        <w:rPr>
          <w:rFonts w:ascii="Times New Roman" w:hAnsi="Times New Roman"/>
          <w:b/>
          <w:sz w:val="22"/>
          <w:u w:val="single"/>
        </w:rPr>
        <w:t>2.2 Escalation</w:t>
      </w:r>
    </w:p>
    <w:p>
      <w:pPr>
        <w:widowControl/>
        <w:ind w:firstLine="720"/>
        <w:jc w:val="both"/>
      </w:pPr>
      <w:r>
        <w:t>An unresolved issue escalates from the service owners to Transition Managers after [two] Business Days, to executive sponsors after [five] Business Days, and to the dispute procedure after [ten] Business Days. Severity 1 incidents escalate immediately. Operational escalation does not postpone a contractual deadline unless the parties agree in writing.</w:t>
      </w:r>
    </w:p>
    <w:p>
      <w:pPr>
        <w:pStyle w:val="Heading3"/>
        <w:widowControl/>
        <w:ind w:left="0" w:firstLine="0"/>
      </w:pPr>
      <w:r>
        <w:rPr>
          <w:rFonts w:ascii="Times New Roman" w:hAnsi="Times New Roman"/>
          <w:b/>
          <w:sz w:val="22"/>
          <w:u w:val="single"/>
        </w:rPr>
        <w:t>2.3 Records and reports</w:t>
      </w:r>
    </w:p>
    <w:p>
      <w:pPr>
        <w:widowControl/>
        <w:ind w:firstLine="720"/>
        <w:jc w:val="both"/>
      </w:pPr>
      <w:r>
        <w:t>Provider will retain records reasonably sufficient to verify Services, service levels, pass-through costs, access, incidents, changes, and invoices for [two] years after the applicable Service Period. Provider will deliver the reports in Exhibit B. Recipient may audit those records once per year and after a material security incident or invoicing error, during normal business hours and subject to confidentiality, privilege, security, and third-party restrictions.</w:t>
      </w:r>
    </w:p>
    <w:p>
      <w:pPr>
        <w:pStyle w:val="Heading2"/>
        <w:widowControl/>
        <w:ind w:left="0" w:firstLine="0"/>
      </w:pPr>
      <w:r>
        <w:rPr>
          <w:rFonts w:ascii="Times New Roman" w:hAnsi="Times New Roman"/>
          <w:b/>
          <w:sz w:val="22"/>
          <w:u w:val="single"/>
        </w:rPr>
        <w:t>3. Changes and Omitted Services</w:t>
      </w:r>
    </w:p>
    <w:p>
      <w:pPr>
        <w:pStyle w:val="Heading3"/>
        <w:widowControl/>
        <w:ind w:left="0" w:firstLine="0"/>
      </w:pPr>
      <w:r>
        <w:rPr>
          <w:rFonts w:ascii="Times New Roman" w:hAnsi="Times New Roman"/>
          <w:b/>
          <w:sz w:val="22"/>
          <w:u w:val="single"/>
        </w:rPr>
        <w:t>3.1 Change requests</w:t>
      </w:r>
    </w:p>
    <w:p>
      <w:pPr>
        <w:widowControl/>
        <w:ind w:firstLine="720"/>
        <w:jc w:val="both"/>
      </w:pPr>
      <w:r>
        <w:t>Either party may submit a written Change Request stating the proposed scope, reason, urgency, dependencies, security and regulatory impact, fees, service levels, implementation plan, and Exit Plan effect. Neither party must implement a change until authorized representatives sign it, except emergency action permitted by Section 3.4.</w:t>
      </w:r>
    </w:p>
    <w:p>
      <w:pPr>
        <w:pStyle w:val="Heading3"/>
        <w:widowControl/>
        <w:ind w:left="0" w:firstLine="0"/>
      </w:pPr>
      <w:r>
        <w:rPr>
          <w:rFonts w:ascii="Times New Roman" w:hAnsi="Times New Roman"/>
          <w:b/>
          <w:sz w:val="22"/>
          <w:u w:val="single"/>
        </w:rPr>
        <w:t>3.2 Required changes</w:t>
      </w:r>
    </w:p>
    <w:p>
      <w:pPr>
        <w:widowControl/>
        <w:ind w:firstLine="720"/>
        <w:jc w:val="both"/>
      </w:pPr>
      <w:r>
        <w:t>Provider may require a change reasonably necessary to comply with law, maintain security, preserve a third-party license, respond to a vendor change, or protect systems. Provider will give advance notice where practicable, propose a functionally comparable solution, and allocate cost under the applicable Service Schedule. Recipient may terminate the affected Service if the change materially reduces function or materially increases fees and no reasonable alternative is agreed.</w:t>
      </w:r>
    </w:p>
    <w:p>
      <w:pPr>
        <w:pStyle w:val="Heading3"/>
        <w:widowControl/>
        <w:ind w:left="0" w:firstLine="0"/>
      </w:pPr>
      <w:r>
        <w:rPr>
          <w:rFonts w:ascii="Times New Roman" w:hAnsi="Times New Roman"/>
          <w:b/>
          <w:sz w:val="22"/>
          <w:u w:val="single"/>
        </w:rPr>
        <w:t>3.3 Omitted service process</w:t>
      </w:r>
    </w:p>
    <w:p>
      <w:pPr>
        <w:widowControl/>
        <w:ind w:firstLine="720"/>
        <w:jc w:val="both"/>
      </w:pPr>
      <w:r>
        <w:t>Recipient may request an omitted service within [90] days after Closing. The request must show historic provision and transition necessity. Provider will add it if Provider can do so without material burden, law or contract violation, or disproportionate risk. Scope, standard, price, term, and exit milestone will be documented in a Change Order. If the parties dispute historic provision, the decision log and pre-Closing operating records control before general course-of-dealing evidence.</w:t>
      </w:r>
    </w:p>
    <w:p>
      <w:pPr>
        <w:pStyle w:val="Heading3"/>
        <w:widowControl/>
        <w:ind w:left="0" w:firstLine="0"/>
      </w:pPr>
      <w:r>
        <w:rPr>
          <w:rFonts w:ascii="Times New Roman" w:hAnsi="Times New Roman"/>
          <w:b/>
          <w:sz w:val="22"/>
          <w:u w:val="single"/>
        </w:rPr>
        <w:t>3.4 Emergency changes</w:t>
      </w:r>
    </w:p>
    <w:p>
      <w:pPr>
        <w:widowControl/>
        <w:ind w:firstLine="720"/>
        <w:jc w:val="both"/>
      </w:pPr>
      <w:r>
        <w:t>Provider may take temporary action without prior approval to address imminent harm to people, systems, data, legal compliance, or business continuity. Provider will notify Recipient promptly, minimize disruption, preserve evidence, and submit a Change Request within [two] Business Days. Emergency authority is not a pricing or scope circumvention.</w:t>
      </w:r>
    </w:p>
    <w:p>
      <w:pPr>
        <w:pStyle w:val="Heading2"/>
        <w:widowControl/>
        <w:ind w:left="0" w:firstLine="0"/>
      </w:pPr>
      <w:r>
        <w:rPr>
          <w:rFonts w:ascii="Times New Roman" w:hAnsi="Times New Roman"/>
          <w:b/>
          <w:sz w:val="22"/>
          <w:u w:val="single"/>
        </w:rPr>
        <w:t>4. Personnel Facilities and Third Parties</w:t>
      </w:r>
    </w:p>
    <w:p>
      <w:pPr>
        <w:pStyle w:val="Heading3"/>
        <w:widowControl/>
        <w:ind w:left="0" w:firstLine="0"/>
      </w:pPr>
      <w:r>
        <w:rPr>
          <w:rFonts w:ascii="Times New Roman" w:hAnsi="Times New Roman"/>
          <w:b/>
          <w:sz w:val="22"/>
          <w:u w:val="single"/>
        </w:rPr>
        <w:t>4.1 Personnel</w:t>
      </w:r>
    </w:p>
    <w:p>
      <w:pPr>
        <w:widowControl/>
        <w:ind w:firstLine="720"/>
        <w:jc w:val="both"/>
      </w:pPr>
      <w:r>
        <w:t>Provider controls assignment, supervision, compensation, and replacement of its personnel. Provider will use personnel with appropriate training and access and will not remove a named key person without reasonable transition except for departure, misconduct, emergency, or legal requirement. Recipient may request removal for documented security, conduct, or performance reasons, and Provider will respond reasonably.</w:t>
      </w:r>
    </w:p>
    <w:p>
      <w:pPr>
        <w:pStyle w:val="Heading3"/>
        <w:widowControl/>
        <w:ind w:left="0" w:firstLine="0"/>
      </w:pPr>
      <w:r>
        <w:rPr>
          <w:rFonts w:ascii="Times New Roman" w:hAnsi="Times New Roman"/>
          <w:b/>
          <w:sz w:val="22"/>
          <w:u w:val="single"/>
        </w:rPr>
        <w:t>4.2 Facilities and access</w:t>
      </w:r>
    </w:p>
    <w:p>
      <w:pPr>
        <w:widowControl/>
        <w:ind w:firstLine="720"/>
        <w:jc w:val="both"/>
      </w:pPr>
      <w:r>
        <w:t>Physical and logical access is limited to the locations, systems, hours, and purposes in the Service Schedules. Each party will enforce visitor, safety, acceptable-use, least-privilege, credential, and property-return controls. Access may be suspended for a credible security or safety threat, with prompt notice and a reasonable workaround.</w:t>
      </w:r>
    </w:p>
    <w:p>
      <w:pPr>
        <w:pStyle w:val="Heading3"/>
        <w:widowControl/>
        <w:ind w:left="0" w:firstLine="0"/>
      </w:pPr>
      <w:r>
        <w:rPr>
          <w:rFonts w:ascii="Times New Roman" w:hAnsi="Times New Roman"/>
          <w:b/>
          <w:sz w:val="22"/>
          <w:u w:val="single"/>
        </w:rPr>
        <w:t>4.3 Third-party services and consents</w:t>
      </w:r>
    </w:p>
    <w:p>
      <w:pPr>
        <w:widowControl/>
        <w:ind w:firstLine="720"/>
        <w:jc w:val="both"/>
      </w:pPr>
      <w:r>
        <w:t>Provider may use existing vendors identified in the Service Schedules. It will not appoint a material new subcontractor handling Recipient data without the notice and objection process in Exhibit C. The parties will cooperate to obtain consents and replacement licenses. Provider need not breach a contract or law. If consent is unavailable, the parties will pursue a lawful operational equivalent; neither party is required to pay an unapproved fee.</w:t>
      </w:r>
    </w:p>
    <w:p>
      <w:pPr>
        <w:pStyle w:val="Heading3"/>
        <w:widowControl/>
        <w:ind w:left="0" w:firstLine="0"/>
      </w:pPr>
      <w:r>
        <w:rPr>
          <w:rFonts w:ascii="Times New Roman" w:hAnsi="Times New Roman"/>
          <w:b/>
          <w:sz w:val="22"/>
          <w:u w:val="single"/>
        </w:rPr>
        <w:t>4.4 Pass-through terms</w:t>
      </w:r>
    </w:p>
    <w:p>
      <w:pPr>
        <w:widowControl/>
        <w:ind w:firstLine="720"/>
        <w:jc w:val="both"/>
      </w:pPr>
      <w:r>
        <w:t>Recipient will comply with disclosed vendor, software, network, facility, and license restrictions applicable to its use. Provider will not impose an undisclosed term. Provider remains responsible for subcontracted performance to the same extent as its own performance, except a scheduled vendor outage for which the Service Schedule expressly allocates a different risk.</w:t>
      </w:r>
    </w:p>
    <w:p>
      <w:pPr>
        <w:pStyle w:val="Heading2"/>
        <w:widowControl/>
        <w:ind w:left="0" w:firstLine="0"/>
      </w:pPr>
      <w:r>
        <w:rPr>
          <w:rFonts w:ascii="Times New Roman" w:hAnsi="Times New Roman"/>
          <w:b/>
          <w:sz w:val="22"/>
          <w:u w:val="single"/>
        </w:rPr>
        <w:t>5. Information Technology Data and Security</w:t>
      </w:r>
    </w:p>
    <w:p>
      <w:pPr>
        <w:pStyle w:val="Heading3"/>
        <w:widowControl/>
        <w:ind w:left="0" w:firstLine="0"/>
      </w:pPr>
      <w:r>
        <w:rPr>
          <w:rFonts w:ascii="Times New Roman" w:hAnsi="Times New Roman"/>
          <w:b/>
          <w:sz w:val="22"/>
          <w:u w:val="single"/>
        </w:rPr>
        <w:t>5.1 Permitted processing and roles</w:t>
      </w:r>
    </w:p>
    <w:p>
      <w:pPr>
        <w:keepLines w:val="0"/>
        <w:widowControl/>
        <w:ind w:firstLine="720"/>
        <w:jc w:val="both"/>
      </w:pPr>
      <w:r>
        <w:t>Each party may access and process data only to perform or receive the Services, comply with law, protect rights, and execute the Exit Plan. Exhibit C identifies data categories, data subjects, systems, purposes, controller or processor roles, instructions, retention, transfers, subprocessors, and return or deletion. If the parties’ legal roles differ by jurisdiction or Service, Exhibit C will state the allocation by activity.</w:t>
      </w:r>
    </w:p>
    <w:p>
      <w:pPr>
        <w:pStyle w:val="Heading3"/>
        <w:widowControl/>
        <w:ind w:left="0" w:firstLine="0"/>
      </w:pPr>
      <w:r>
        <w:rPr>
          <w:rFonts w:ascii="Times New Roman" w:hAnsi="Times New Roman"/>
          <w:b/>
          <w:sz w:val="22"/>
          <w:u w:val="single"/>
        </w:rPr>
        <w:t>5.2 Security controls</w:t>
      </w:r>
    </w:p>
    <w:p>
      <w:pPr>
        <w:keepLines w:val="0"/>
        <w:widowControl/>
        <w:ind w:firstLine="720"/>
        <w:jc w:val="both"/>
      </w:pPr>
      <w:r>
        <w:t>Each party will maintain administrative, technical, and physical safeguards appropriate to the sensitivity of data and the risks of the Services, including identity management, least privilege, multifactor authentication where appropriate, logging, vulnerability management, encryption, secure transfer, backup, change control, and personnel obligations as specified in Exhibit C. Neither party may bypass controls or commingle data beyond the approved architecture.</w:t>
      </w:r>
    </w:p>
    <w:p>
      <w:pPr>
        <w:pStyle w:val="Heading3"/>
        <w:widowControl/>
        <w:ind w:left="0" w:firstLine="0"/>
      </w:pPr>
      <w:r>
        <w:rPr>
          <w:rFonts w:ascii="Times New Roman" w:hAnsi="Times New Roman"/>
          <w:b/>
          <w:sz w:val="22"/>
          <w:u w:val="single"/>
        </w:rPr>
        <w:t>5.3 Security incidents</w:t>
      </w:r>
    </w:p>
    <w:p>
      <w:pPr>
        <w:widowControl/>
        <w:ind w:firstLine="720"/>
        <w:jc w:val="both"/>
      </w:pPr>
      <w:r>
        <w:t>A party discovering unauthorized access, use, loss, alteration, disclosure, or material compromise affecting the other’s data or systems will notify the other without undue delay and within [24] hours after confirmation, provide known facts, preserve evidence, contain and remediate, and give updates. The parties will coordinate legally required notices; no party may name the other publicly without consent unless law requires it. Notice is not an admission of fault.</w:t>
      </w:r>
    </w:p>
    <w:p>
      <w:pPr>
        <w:pStyle w:val="Heading3"/>
        <w:widowControl/>
        <w:ind w:left="0" w:firstLine="0"/>
      </w:pPr>
      <w:r>
        <w:rPr>
          <w:rFonts w:ascii="Times New Roman" w:hAnsi="Times New Roman"/>
          <w:b/>
          <w:sz w:val="22"/>
          <w:u w:val="single"/>
        </w:rPr>
        <w:t>5.4 Data quality segregation and return</w:t>
      </w:r>
    </w:p>
    <w:p>
      <w:pPr>
        <w:widowControl/>
        <w:ind w:firstLine="720"/>
        <w:jc w:val="both"/>
      </w:pPr>
      <w:r>
        <w:t>Recipient is responsible for lawful source data and business instructions. Provider is responsible for accurately performing the agreed processing and will maintain logical segregation stated in Exhibit C. At expiration, Provider will return data in the agreed format and delete remaining copies within [30] days, except backups and legally required archives kept inaccessible and protected until ordinary deletion.</w:t>
      </w:r>
    </w:p>
    <w:p>
      <w:pPr>
        <w:pStyle w:val="Heading3"/>
        <w:widowControl/>
        <w:ind w:left="0" w:firstLine="0"/>
      </w:pPr>
      <w:r>
        <w:rPr>
          <w:rFonts w:ascii="Times New Roman" w:hAnsi="Times New Roman"/>
          <w:b/>
          <w:sz w:val="22"/>
          <w:u w:val="single"/>
        </w:rPr>
        <w:t>5.5 Privilege and regulated data</w:t>
      </w:r>
    </w:p>
    <w:p>
      <w:pPr>
        <w:keepLines w:val="0"/>
        <w:widowControl/>
        <w:ind w:firstLine="720"/>
        <w:jc w:val="both"/>
      </w:pPr>
      <w:r>
        <w:t>The parties will not intentionally exchange privileged material without the protocol in Exhibit C. Regulated data, export-controlled information, health information, payment data, biometric data, children’s data, and government information may be processed only if expressly authorized and supported by required agreements and controls.</w:t>
      </w:r>
    </w:p>
    <w:p>
      <w:pPr>
        <w:pStyle w:val="Heading2"/>
        <w:widowControl/>
        <w:ind w:left="0" w:firstLine="0"/>
      </w:pPr>
      <w:r>
        <w:rPr>
          <w:rFonts w:ascii="Times New Roman" w:hAnsi="Times New Roman"/>
          <w:b/>
          <w:sz w:val="22"/>
          <w:u w:val="single"/>
        </w:rPr>
        <w:t>6. Business Continuity and Service Levels</w:t>
      </w:r>
    </w:p>
    <w:p>
      <w:pPr>
        <w:pStyle w:val="Heading3"/>
        <w:widowControl/>
        <w:ind w:left="0" w:firstLine="0"/>
      </w:pPr>
      <w:r>
        <w:rPr>
          <w:rFonts w:ascii="Times New Roman" w:hAnsi="Times New Roman"/>
          <w:b/>
          <w:sz w:val="22"/>
          <w:u w:val="single"/>
        </w:rPr>
        <w:t>6.1 Service levels</w:t>
      </w:r>
    </w:p>
    <w:p>
      <w:pPr>
        <w:widowControl/>
        <w:ind w:firstLine="720"/>
        <w:jc w:val="both"/>
      </w:pPr>
      <w:r>
        <w:t>Exhibit B states availability, response, restoration, accuracy, throughput, delivery, support hours, maintenance, and measurement rules. Excused time is limited to scheduled maintenance, Recipient-caused failure, force majeure, and expressly identified third-party events, in each case only to the documented extent. Provider will report missed levels and a corrective-action plan.</w:t>
      </w:r>
    </w:p>
    <w:p>
      <w:pPr>
        <w:pStyle w:val="Heading3"/>
        <w:widowControl/>
        <w:ind w:left="0" w:firstLine="0"/>
      </w:pPr>
      <w:r>
        <w:rPr>
          <w:rFonts w:ascii="Times New Roman" w:hAnsi="Times New Roman"/>
          <w:b/>
          <w:sz w:val="22"/>
          <w:u w:val="single"/>
        </w:rPr>
        <w:t>6.2 Incident severity</w:t>
      </w:r>
    </w:p>
    <w:p>
      <w:pPr>
        <w:widowControl/>
        <w:ind w:firstLine="720"/>
        <w:jc w:val="both"/>
      </w:pPr>
      <w:r>
        <w:t>Severity 1 means critical loss of a Service causing material business, security, safety, or compliance impact without a workaround. Severity 2 means material degradation with a limited workaround. Severity 3 means noncritical impairment. Exhibit B states response, update, restoration target, escalation, and root-cause timing for each level.</w:t>
      </w:r>
    </w:p>
    <w:p>
      <w:pPr>
        <w:pStyle w:val="Heading3"/>
        <w:widowControl/>
        <w:ind w:left="0" w:firstLine="0"/>
      </w:pPr>
      <w:r>
        <w:rPr>
          <w:rFonts w:ascii="Times New Roman" w:hAnsi="Times New Roman"/>
          <w:b/>
          <w:sz w:val="22"/>
          <w:u w:val="single"/>
        </w:rPr>
        <w:t>6.3 Continuity and disaster recovery</w:t>
      </w:r>
    </w:p>
    <w:p>
      <w:pPr>
        <w:widowControl/>
        <w:ind w:firstLine="720"/>
        <w:jc w:val="both"/>
      </w:pPr>
      <w:r>
        <w:t>Provider will maintain the continuity and recovery capabilities listed in Exhibit B and test them [annually / during the Service Period]. Recipient will maintain its dependencies and participate in agreed tests. Following a material disruption, Provider will invoke the plan, communicate status, prioritize safety and critical functions, and document recovery decisions.</w:t>
      </w:r>
    </w:p>
    <w:p>
      <w:pPr>
        <w:pStyle w:val="Heading3"/>
        <w:widowControl/>
        <w:ind w:left="0" w:firstLine="0"/>
      </w:pPr>
      <w:r>
        <w:rPr>
          <w:rFonts w:ascii="Times New Roman" w:hAnsi="Times New Roman"/>
          <w:b/>
          <w:sz w:val="22"/>
          <w:u w:val="single"/>
        </w:rPr>
        <w:t>6.4 Chronic failure</w:t>
      </w:r>
    </w:p>
    <w:p>
      <w:pPr>
        <w:widowControl/>
        <w:ind w:firstLine="720"/>
        <w:jc w:val="both"/>
      </w:pPr>
      <w:r>
        <w:t>If a Service misses a critical level [three] times in [60] days or remains materially deficient for [ten] Business Days after notice, Recipient may require an executive remediation plan, obtain temporary alternate service where feasible, or terminate the affected Service without an early-termination fee. Service credits are [the sole monetary remedy for service-level failure / not exclusive of direct damages for a separate breach], as selected in Exhibit B.</w:t>
      </w:r>
    </w:p>
    <w:p>
      <w:pPr>
        <w:pStyle w:val="Heading2"/>
        <w:widowControl/>
        <w:ind w:left="0" w:firstLine="0"/>
      </w:pPr>
      <w:r>
        <w:rPr>
          <w:rFonts w:ascii="Times New Roman" w:hAnsi="Times New Roman"/>
          <w:b/>
          <w:sz w:val="22"/>
          <w:u w:val="single"/>
        </w:rPr>
        <w:t>7. Fees Taxes and Payment</w:t>
      </w:r>
    </w:p>
    <w:p>
      <w:pPr>
        <w:pStyle w:val="Heading3"/>
        <w:widowControl/>
        <w:ind w:left="0" w:firstLine="0"/>
      </w:pPr>
      <w:r>
        <w:rPr>
          <w:rFonts w:ascii="Times New Roman" w:hAnsi="Times New Roman"/>
          <w:b/>
          <w:sz w:val="22"/>
          <w:u w:val="single"/>
        </w:rPr>
        <w:t>7.1 Fees</w:t>
      </w:r>
    </w:p>
    <w:p>
      <w:pPr>
        <w:widowControl/>
        <w:ind w:firstLine="720"/>
        <w:jc w:val="both"/>
      </w:pPr>
      <w:r>
        <w:t>Recipient will pay the fees in each Service Schedule: [fixed / at cost / cost plus __% / usage-based]. “Cost” must identify included payroll, benefits, allocation, vendor, overhead, and excluded categories. Pass-through charges require invoices or equivalent evidence and no undisclosed markup. Provider may not charge both a fixed fee and the same cost as a pass-through.</w:t>
      </w:r>
    </w:p>
    <w:p>
      <w:pPr>
        <w:pStyle w:val="Heading3"/>
        <w:widowControl/>
        <w:ind w:left="0" w:firstLine="0"/>
      </w:pPr>
      <w:r>
        <w:rPr>
          <w:rFonts w:ascii="Times New Roman" w:hAnsi="Times New Roman"/>
          <w:b/>
          <w:sz w:val="22"/>
          <w:u w:val="single"/>
        </w:rPr>
        <w:t>7.2 Invoices and disputes</w:t>
      </w:r>
    </w:p>
    <w:p>
      <w:pPr>
        <w:widowControl/>
        <w:ind w:firstLine="720"/>
        <w:jc w:val="both"/>
      </w:pPr>
      <w:r>
        <w:t>Provider invoices [monthly in arrears] with service, period, volume, fee, pass-through support, credits, taxes, and prior adjustments. Recipient will pay undisputed amounts within [30] days. It must dispute an amount with reasonable detail within [45] days but will pay the rest. The parties will correct underpayments and overpayments promptly; Provider may not suspend critical Services over a good-faith dispute.</w:t>
      </w:r>
    </w:p>
    <w:p>
      <w:pPr>
        <w:pStyle w:val="Heading3"/>
        <w:widowControl/>
        <w:ind w:left="0" w:firstLine="0"/>
      </w:pPr>
      <w:r>
        <w:rPr>
          <w:rFonts w:ascii="Times New Roman" w:hAnsi="Times New Roman"/>
          <w:b/>
          <w:sz w:val="22"/>
          <w:u w:val="single"/>
        </w:rPr>
        <w:t>7.3 Taxes</w:t>
      </w:r>
    </w:p>
    <w:p>
      <w:pPr>
        <w:widowControl/>
        <w:ind w:firstLine="720"/>
        <w:jc w:val="both"/>
      </w:pPr>
      <w:r>
        <w:t>Fees exclude sales, use, value-added, and similar transaction Taxes, which Recipient pays except Taxes on Provider’s income, property, payroll, or personnel. Provider will separately state Taxes and cooperate on exemptions. Withholding is permitted if legally required, with receipts and reasonable cooperation. Any gross-up must be expressly selected.</w:t>
      </w:r>
    </w:p>
    <w:p>
      <w:pPr>
        <w:pStyle w:val="Heading2"/>
        <w:widowControl/>
        <w:ind w:left="0" w:firstLine="0"/>
      </w:pPr>
      <w:r>
        <w:rPr>
          <w:rFonts w:ascii="Times New Roman" w:hAnsi="Times New Roman"/>
          <w:b/>
          <w:sz w:val="22"/>
          <w:u w:val="single"/>
        </w:rPr>
        <w:t>8. Intellectual Property and Confidentiality</w:t>
      </w:r>
    </w:p>
    <w:p>
      <w:pPr>
        <w:pStyle w:val="Heading3"/>
        <w:widowControl/>
        <w:ind w:left="0" w:firstLine="0"/>
      </w:pPr>
      <w:r>
        <w:rPr>
          <w:rFonts w:ascii="Times New Roman" w:hAnsi="Times New Roman"/>
          <w:b/>
          <w:sz w:val="22"/>
          <w:u w:val="single"/>
        </w:rPr>
        <w:t>8.1 Existing materials and transition outputs</w:t>
      </w:r>
    </w:p>
    <w:p>
      <w:pPr>
        <w:keepLines w:val="0"/>
        <w:widowControl/>
        <w:ind w:firstLine="720"/>
        <w:jc w:val="both"/>
      </w:pPr>
      <w:r>
        <w:t>Each party retains its preexisting IP, tools, systems, templates, data, and improvements not created specifically for the other. Recipient owns its data and the transaction-specific deliverables identified in a Service Schedule upon payment. Provider grants Recipient a nonexclusive license to embedded Provider materials solely as needed to use those deliverables. General know-how and residual knowledge remain with the creating party, subject to confidentiality and no license to source code or personal data.</w:t>
      </w:r>
    </w:p>
    <w:p>
      <w:pPr>
        <w:pStyle w:val="Heading3"/>
        <w:widowControl/>
        <w:ind w:left="0" w:firstLine="0"/>
      </w:pPr>
      <w:r>
        <w:rPr>
          <w:rFonts w:ascii="Times New Roman" w:hAnsi="Times New Roman"/>
          <w:b/>
          <w:sz w:val="22"/>
          <w:u w:val="single"/>
        </w:rPr>
        <w:t>8.2 Limited access licenses</w:t>
      </w:r>
    </w:p>
    <w:p>
      <w:pPr>
        <w:keepLines w:val="0"/>
        <w:widowControl/>
        <w:ind w:firstLine="720"/>
        <w:jc w:val="both"/>
      </w:pPr>
      <w:r>
        <w:t>Each party grants the other a nonexclusive, nontransferable, revocable license during the applicable Service Period to use its systems, data, marks, and materials only as necessary for Services. No license permits reverse engineering, competitive use, disclosure, model training, or use after exit except as expressly stated.</w:t>
      </w:r>
    </w:p>
    <w:p>
      <w:pPr>
        <w:pStyle w:val="Heading3"/>
        <w:widowControl/>
        <w:ind w:left="0" w:firstLine="0"/>
      </w:pPr>
      <w:r>
        <w:rPr>
          <w:rFonts w:ascii="Times New Roman" w:hAnsi="Times New Roman"/>
          <w:b/>
          <w:sz w:val="22"/>
          <w:u w:val="single"/>
        </w:rPr>
        <w:t>8.3 Confidentiality</w:t>
      </w:r>
    </w:p>
    <w:p>
      <w:pPr>
        <w:widowControl/>
        <w:ind w:firstLine="720"/>
        <w:jc w:val="both"/>
      </w:pPr>
      <w:r>
        <w:t>The Acquisition Agreement’s confidentiality obligations apply. Recipient information includes business and customer data; Provider information includes retained-business data, systems, security, pricing, and methods. A recipient may disclose to bound personnel and advisers with a need to know and as law requires after notice where lawful. On termination, each party will return or destroy information subject to legal archives.</w:t>
      </w:r>
    </w:p>
    <w:p>
      <w:pPr>
        <w:pStyle w:val="Heading2"/>
        <w:widowControl/>
        <w:ind w:left="0" w:firstLine="0"/>
      </w:pPr>
      <w:r>
        <w:rPr>
          <w:rFonts w:ascii="Times New Roman" w:hAnsi="Times New Roman"/>
          <w:b/>
          <w:sz w:val="22"/>
          <w:u w:val="single"/>
        </w:rPr>
        <w:t>9. Compliance Audit and Insurance</w:t>
      </w:r>
    </w:p>
    <w:p>
      <w:pPr>
        <w:keepLines w:val="0"/>
        <w:widowControl/>
        <w:ind w:firstLine="720"/>
        <w:jc w:val="both"/>
      </w:pPr>
      <w:r>
        <w:t>Each party will comply with laws applicable to its performance, including privacy, security, employment, export, sanctions, anti-bribery, and industry requirements. Neither party is required to obtain a license for the other unless scheduled. Provider will maintain the insurance in Exhibit D, with agreed limits, carriers, evidence, and notice. Recipient audit rights will be coordinated to avoid access to unrelated Provider or third-party confidential information; independent reports may substitute where reasonably sufficient.</w:t>
      </w:r>
    </w:p>
    <w:p>
      <w:pPr>
        <w:pStyle w:val="Heading2"/>
        <w:widowControl/>
        <w:ind w:left="0" w:firstLine="0"/>
      </w:pPr>
      <w:r>
        <w:rPr>
          <w:rFonts w:ascii="Times New Roman" w:hAnsi="Times New Roman"/>
          <w:b/>
          <w:sz w:val="22"/>
          <w:u w:val="single"/>
        </w:rPr>
        <w:t>10. Indemnification and Liability</w:t>
      </w:r>
    </w:p>
    <w:p>
      <w:pPr>
        <w:pStyle w:val="Heading3"/>
        <w:widowControl/>
        <w:ind w:left="0" w:firstLine="0"/>
      </w:pPr>
      <w:r>
        <w:rPr>
          <w:rFonts w:ascii="Times New Roman" w:hAnsi="Times New Roman"/>
          <w:b/>
          <w:sz w:val="22"/>
          <w:u w:val="single"/>
        </w:rPr>
        <w:t>10.1 Indemnification</w:t>
      </w:r>
    </w:p>
    <w:p>
      <w:pPr>
        <w:widowControl/>
        <w:ind w:firstLine="720"/>
        <w:jc w:val="both"/>
      </w:pPr>
      <w:r>
        <w:t>Provider will indemnify Recipient for third-party claims arising from Provider’s gross negligence or willful misconduct, infringement by Provider-created transition deliverables, or Provider’s breach of confidentiality or data-security obligations. Recipient will indemnify Provider for third-party claims arising from unlawful Recipient instructions, Recipient materials, or Recipient’s operation of the transferred business. Procedures follow the Acquisition Agreement unless Exhibit D states a complete replacement.</w:t>
      </w:r>
    </w:p>
    <w:p>
      <w:pPr>
        <w:pStyle w:val="Heading3"/>
        <w:widowControl/>
        <w:ind w:left="0" w:firstLine="0"/>
      </w:pPr>
      <w:r>
        <w:rPr>
          <w:rFonts w:ascii="Times New Roman" w:hAnsi="Times New Roman"/>
          <w:b/>
          <w:sz w:val="22"/>
          <w:u w:val="single"/>
        </w:rPr>
        <w:t>10.2 Liability limits</w:t>
      </w:r>
    </w:p>
    <w:p>
      <w:pPr>
        <w:widowControl/>
        <w:ind w:firstLine="720"/>
        <w:jc w:val="both"/>
      </w:pPr>
      <w:r>
        <w:t>Except for excluded claims, each party’s aggregate liability is [fees paid or payable during the preceding twelve months / $AMOUNT]. Neither party is liable for punitive, exemplary, incidental, special, or consequential damages, or lost profits or revenue, except amounts paid to a third party and direct cover or restoration costs expressly included. Excluded claims are [Fraud, willful misconduct, confidentiality, data security, IP indemnity, payment obligations, bodily injury, and property damage], subject to any separate supercap in Exhibit D.</w:t>
      </w:r>
    </w:p>
    <w:p>
      <w:pPr>
        <w:pStyle w:val="Heading3"/>
        <w:widowControl/>
        <w:ind w:left="0" w:firstLine="0"/>
      </w:pPr>
      <w:r>
        <w:rPr>
          <w:rFonts w:ascii="Times New Roman" w:hAnsi="Times New Roman"/>
          <w:b/>
          <w:sz w:val="22"/>
          <w:u w:val="single"/>
        </w:rPr>
        <w:t>10.3 No expansion of acquisition remedies</w:t>
      </w:r>
    </w:p>
    <w:p>
      <w:pPr>
        <w:keepLines w:val="0"/>
        <w:widowControl/>
        <w:ind w:firstLine="720"/>
        <w:jc w:val="both"/>
      </w:pPr>
      <w:r>
        <w:t>This Agreement does not change purchase price, transferred assets, assumed liabilities, acquisition representations, indemnities, or conditions. A claim may not recover the same loss under both agreements. The Acquisition Agreement controls a conflict on transaction risk allocation; this Agreement controls the operational manner of Services.</w:t>
      </w:r>
    </w:p>
    <w:p>
      <w:pPr>
        <w:pStyle w:val="Heading2"/>
        <w:widowControl/>
        <w:ind w:left="0" w:firstLine="0"/>
      </w:pPr>
      <w:r>
        <w:rPr>
          <w:rFonts w:ascii="Times New Roman" w:hAnsi="Times New Roman"/>
          <w:b/>
          <w:sz w:val="22"/>
          <w:u w:val="single"/>
        </w:rPr>
        <w:t>11. Term Suspension and Exit</w:t>
      </w:r>
    </w:p>
    <w:p>
      <w:pPr>
        <w:pStyle w:val="Heading3"/>
        <w:widowControl/>
        <w:ind w:left="0" w:firstLine="0"/>
      </w:pPr>
      <w:r>
        <w:rPr>
          <w:rFonts w:ascii="Times New Roman" w:hAnsi="Times New Roman"/>
          <w:b/>
          <w:sz w:val="22"/>
          <w:u w:val="single"/>
        </w:rPr>
        <w:t>11.1 Service periods and extensions</w:t>
      </w:r>
    </w:p>
    <w:p>
      <w:pPr>
        <w:keepLines w:val="0"/>
        <w:widowControl/>
        <w:ind w:firstLine="720"/>
        <w:jc w:val="both"/>
      </w:pPr>
      <w:r>
        <w:t>Each Service expires on the date in its Service Schedule without further notice. Recipient may request an extension at least [60] days before expiry. Provider will consider it in good faith but need not agree if capacity, third-party rights, law, stranded cost, or security prevents extension. Any extension must state revised fees and an enforceable final exit date.</w:t>
      </w:r>
    </w:p>
    <w:p>
      <w:pPr>
        <w:pStyle w:val="Heading3"/>
        <w:widowControl/>
        <w:ind w:left="0" w:firstLine="0"/>
      </w:pPr>
      <w:r>
        <w:rPr>
          <w:rFonts w:ascii="Times New Roman" w:hAnsi="Times New Roman"/>
          <w:b/>
          <w:sz w:val="22"/>
          <w:u w:val="single"/>
        </w:rPr>
        <w:t>11.2 Early termination</w:t>
      </w:r>
    </w:p>
    <w:p>
      <w:pPr>
        <w:widowControl/>
        <w:ind w:firstLine="720"/>
        <w:jc w:val="both"/>
      </w:pPr>
      <w:r>
        <w:t>Recipient may terminate a Service on [30] days’ notice unless the Service Schedule states a minimum commitment or stranded-cost amount. Either party may terminate an affected Service for uncured material breach after [15] days, insolvency where lawful, prolonged force majeure, or legal prohibition. Critical security threats permit immediate suspension limited to the risk, with prompt notice and restoration planning.</w:t>
      </w:r>
    </w:p>
    <w:p>
      <w:pPr>
        <w:pStyle w:val="Heading3"/>
        <w:widowControl/>
        <w:ind w:left="0" w:firstLine="0"/>
      </w:pPr>
      <w:r>
        <w:rPr>
          <w:rFonts w:ascii="Times New Roman" w:hAnsi="Times New Roman"/>
          <w:b/>
          <w:sz w:val="22"/>
          <w:u w:val="single"/>
        </w:rPr>
        <w:t>11.3 Exit Plan and transition assistance</w:t>
      </w:r>
    </w:p>
    <w:p>
      <w:pPr>
        <w:widowControl/>
        <w:ind w:firstLine="720"/>
        <w:jc w:val="both"/>
      </w:pPr>
      <w:r>
        <w:t>Exhibit A is the binding Exit Plan. It identifies replacement solution, owner, milestones, data extraction, documentation, knowledge transfer, testing, parallel run, acceptance, cutover, rollback, decommissioning, credential revocation, asset return, vendor novation, and completion evidence. Provider will give the transition assistance stated there at agreed rates. Recipient’s failure to execute the Exit Plan does not automatically extend a Service.</w:t>
      </w:r>
    </w:p>
    <w:p>
      <w:pPr>
        <w:pStyle w:val="Heading3"/>
        <w:widowControl/>
        <w:ind w:left="0" w:firstLine="0"/>
      </w:pPr>
      <w:r>
        <w:rPr>
          <w:rFonts w:ascii="Times New Roman" w:hAnsi="Times New Roman"/>
          <w:b/>
          <w:sz w:val="22"/>
          <w:u w:val="single"/>
        </w:rPr>
        <w:t>11.4 Survival</w:t>
      </w:r>
    </w:p>
    <w:p>
      <w:pPr>
        <w:widowControl/>
        <w:ind w:firstLine="720"/>
        <w:jc w:val="both"/>
      </w:pPr>
      <w:r>
        <w:t>Accrued payment, confidentiality, IP ownership, data return or deletion, audit, liability, dispute, and provisions intended by nature to survive will do so for their stated periods.</w:t>
      </w:r>
    </w:p>
    <w:p>
      <w:pPr>
        <w:pStyle w:val="Heading2"/>
        <w:widowControl/>
        <w:ind w:left="0" w:firstLine="0"/>
      </w:pPr>
      <w:r>
        <w:rPr>
          <w:rFonts w:ascii="Times New Roman" w:hAnsi="Times New Roman"/>
          <w:b/>
          <w:sz w:val="22"/>
          <w:u w:val="single"/>
        </w:rPr>
        <w:t>12. Disputes and General Terms</w:t>
      </w:r>
    </w:p>
    <w:p>
      <w:pPr>
        <w:widowControl/>
        <w:ind w:firstLine="720"/>
        <w:jc w:val="both"/>
      </w:pPr>
      <w:r>
        <w:t>Operational disputes first follow Section 2.2. Unresolved disputes are governed by the Acquisition Agreement’s law, forum, jury waiver, and dispute provisions. Notices must be delivered as provided in the Acquisition Agreement, with copies to Transition Managers. Neither party may assign this Agreement without consent except with a permitted transfer of the relevant business, provided the assignor remains liable unless released. Amendments and Change Orders must be signed by authorized representatives. Waiver is written and limited. Invalid provisions are narrowed or severed without altering essential economics. Counterparts and electronic signatures are effective.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cantSplit/>
        </w:trPr>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PROVIDER:</w:t>
            </w:r>
            <w:r>
              <w:rPr>
                <w:rFonts w:ascii="Times New Roman" w:hAnsi="Times New Roman"/>
                <w:b/>
                <w:sz w:val="22"/>
              </w:rPr>
              <w:t xml:space="preserve"> [SERVICE PROVIDER]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RECIPIENT:</w:t>
            </w:r>
            <w:r>
              <w:rPr>
                <w:rFonts w:ascii="Times New Roman" w:hAnsi="Times New Roman"/>
                <w:b/>
                <w:sz w:val="22"/>
              </w:rPr>
              <w:t xml:space="preserve"> [RECIPIENT]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Exhibit A Exit Plan</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Workstream</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Provider 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Recipient 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Dependency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Test and acceptance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Cutover date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Rollback</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Completion evidence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[WORKSTREAM]</w:t>
            </w:r>
          </w:p>
        </w:tc>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[ITEM]</w:t>
            </w:r>
          </w:p>
        </w:tc>
        <w:tc>
          <w:tcPr>
            <w:tcW w:type="dxa" w:w="1170"/>
            <w:vAlign w:val="center"/>
            <w:tcMar>
              <w:top w:w="55" w:type="dxa"/>
              <w:start w:w="70" w:type="dxa"/>
              <w:bottom w:w="55" w:type="dxa"/>
              <w:end w:w="70" w:type="dxa"/>
            </w:tcMar>
          </w:tcPr>
          <w:p>
            <w:pPr>
              <w:spacing w:after="0"/>
            </w:pPr>
            <w:r>
              <w:rPr>
                <w:rFonts w:ascii="Times New Roman" w:hAnsi="Times New Roman"/>
                <w:sz w:val="18"/>
              </w:rPr>
              <w:t>[CRITERIA]</w:t>
            </w:r>
          </w:p>
        </w:tc>
        <w:tc>
          <w:tcPr>
            <w:tcW w:type="dxa" w:w="1170"/>
            <w:vAlign w:val="center"/>
            <w:tcMar>
              <w:top w:w="55" w:type="dxa"/>
              <w:start w:w="70" w:type="dxa"/>
              <w:bottom w:w="55" w:type="dxa"/>
              <w:end w:w="70" w:type="dxa"/>
            </w:tcMar>
          </w:tcPr>
          <w:p>
            <w:pPr>
              <w:spacing w:after="0"/>
            </w:pPr>
            <w:r>
              <w:rPr>
                <w:rFonts w:ascii="Times New Roman" w:hAnsi="Times New Roman"/>
                <w:sz w:val="18"/>
              </w:rPr>
              <w:t>[DATE / TZ]</w:t>
            </w:r>
          </w:p>
        </w:tc>
        <w:tc>
          <w:tcPr>
            <w:tcW w:type="dxa" w:w="1170"/>
            <w:vAlign w:val="center"/>
            <w:tcMar>
              <w:top w:w="55" w:type="dxa"/>
              <w:start w:w="70" w:type="dxa"/>
              <w:bottom w:w="55" w:type="dxa"/>
              <w:end w:w="70" w:type="dxa"/>
            </w:tcMar>
          </w:tcPr>
          <w:p>
            <w:pPr>
              <w:spacing w:after="0"/>
            </w:pPr>
            <w:r>
              <w:rPr>
                <w:rFonts w:ascii="Times New Roman" w:hAnsi="Times New Roman"/>
                <w:sz w:val="18"/>
              </w:rPr>
              <w:t>[PLAN]</w:t>
            </w:r>
          </w:p>
        </w:tc>
        <w:tc>
          <w:tcPr>
            <w:tcW w:type="dxa" w:w="1170"/>
            <w:vAlign w:val="center"/>
            <w:tcMar>
              <w:top w:w="55" w:type="dxa"/>
              <w:start w:w="70" w:type="dxa"/>
              <w:bottom w:w="55" w:type="dxa"/>
              <w:end w:w="70" w:type="dxa"/>
            </w:tcMar>
          </w:tcPr>
          <w:p>
            <w:pPr>
              <w:spacing w:after="0"/>
            </w:pPr>
            <w:r>
              <w:rPr>
                <w:rFonts w:ascii="Times New Roman" w:hAnsi="Times New Roman"/>
                <w:sz w:val="18"/>
              </w:rPr>
              <w:t>[EVIDENCE]</w:t>
            </w:r>
          </w:p>
        </w:tc>
      </w:tr>
    </w:tbl>
    <w:p>
      <w:pPr>
        <w:widowControl/>
        <w:spacing w:after="20"/>
      </w:pPr>
    </w:p>
    <w:p>
      <w:pPr>
        <w:pStyle w:val="Heading3"/>
        <w:widowControl/>
        <w:ind w:left="0" w:firstLine="0"/>
      </w:pPr>
      <w:r>
        <w:rPr>
          <w:rFonts w:ascii="Times New Roman" w:hAnsi="Times New Roman"/>
          <w:b/>
          <w:sz w:val="22"/>
          <w:u w:val="single"/>
        </w:rPr>
        <w:t>Exhibit B Service Levels and Reporting</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Service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Metric and measurement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Target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Exclusion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Response and restoration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Credit or remedy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Report</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[SERVICE]</w:t>
            </w:r>
          </w:p>
        </w:tc>
        <w:tc>
          <w:tcPr>
            <w:tcW w:type="dxa" w:w="1337"/>
            <w:vAlign w:val="center"/>
            <w:tcMar>
              <w:top w:w="55" w:type="dxa"/>
              <w:start w:w="70" w:type="dxa"/>
              <w:bottom w:w="55" w:type="dxa"/>
              <w:end w:w="70" w:type="dxa"/>
            </w:tcMar>
          </w:tcPr>
          <w:p>
            <w:pPr>
              <w:spacing w:after="0"/>
            </w:pPr>
            <w:r>
              <w:rPr>
                <w:rFonts w:ascii="Times New Roman" w:hAnsi="Times New Roman"/>
                <w:sz w:val="18"/>
              </w:rPr>
              <w:t>[METRIC / SOURCE]</w:t>
            </w:r>
          </w:p>
        </w:tc>
        <w:tc>
          <w:tcPr>
            <w:tcW w:type="dxa" w:w="1337"/>
            <w:vAlign w:val="center"/>
            <w:tcMar>
              <w:top w:w="55" w:type="dxa"/>
              <w:start w:w="70" w:type="dxa"/>
              <w:bottom w:w="55" w:type="dxa"/>
              <w:end w:w="70" w:type="dxa"/>
            </w:tcMar>
          </w:tcPr>
          <w:p>
            <w:pPr>
              <w:spacing w:after="0"/>
            </w:pPr>
            <w:r>
              <w:rPr>
                <w:rFonts w:ascii="Times New Roman" w:hAnsi="Times New Roman"/>
                <w:sz w:val="18"/>
              </w:rPr>
              <w:t>[TARGET]</w:t>
            </w:r>
          </w:p>
        </w:tc>
        <w:tc>
          <w:tcPr>
            <w:tcW w:type="dxa" w:w="1337"/>
            <w:vAlign w:val="center"/>
            <w:tcMar>
              <w:top w:w="55" w:type="dxa"/>
              <w:start w:w="70" w:type="dxa"/>
              <w:bottom w:w="55" w:type="dxa"/>
              <w:end w:w="70" w:type="dxa"/>
            </w:tcMar>
          </w:tcPr>
          <w:p>
            <w:pPr>
              <w:spacing w:after="0"/>
            </w:pPr>
            <w:r>
              <w:rPr>
                <w:rFonts w:ascii="Times New Roman" w:hAnsi="Times New Roman"/>
                <w:sz w:val="18"/>
              </w:rPr>
              <w:t>[LIMITED EXCLUSIONS]</w:t>
            </w:r>
          </w:p>
        </w:tc>
        <w:tc>
          <w:tcPr>
            <w:tcW w:type="dxa" w:w="1337"/>
            <w:vAlign w:val="center"/>
            <w:tcMar>
              <w:top w:w="55" w:type="dxa"/>
              <w:start w:w="70" w:type="dxa"/>
              <w:bottom w:w="55" w:type="dxa"/>
              <w:end w:w="70" w:type="dxa"/>
            </w:tcMar>
          </w:tcPr>
          <w:p>
            <w:pPr>
              <w:spacing w:after="0"/>
            </w:pPr>
            <w:r>
              <w:rPr>
                <w:rFonts w:ascii="Times New Roman" w:hAnsi="Times New Roman"/>
                <w:sz w:val="18"/>
              </w:rPr>
              <w:t>[TIMES]</w:t>
            </w:r>
          </w:p>
        </w:tc>
        <w:tc>
          <w:tcPr>
            <w:tcW w:type="dxa" w:w="1337"/>
            <w:vAlign w:val="center"/>
            <w:tcMar>
              <w:top w:w="55" w:type="dxa"/>
              <w:start w:w="70" w:type="dxa"/>
              <w:bottom w:w="55" w:type="dxa"/>
              <w:end w:w="70" w:type="dxa"/>
            </w:tcMar>
          </w:tcPr>
          <w:p>
            <w:pPr>
              <w:spacing w:after="0"/>
            </w:pPr>
            <w:r>
              <w:rPr>
                <w:rFonts w:ascii="Times New Roman" w:hAnsi="Times New Roman"/>
                <w:sz w:val="18"/>
              </w:rPr>
              <w:t>[TERM]</w:t>
            </w:r>
          </w:p>
        </w:tc>
        <w:tc>
          <w:tcPr>
            <w:tcW w:type="dxa" w:w="1337"/>
            <w:vAlign w:val="center"/>
            <w:tcMar>
              <w:top w:w="55" w:type="dxa"/>
              <w:start w:w="70" w:type="dxa"/>
              <w:bottom w:w="55" w:type="dxa"/>
              <w:end w:w="70" w:type="dxa"/>
            </w:tcMar>
          </w:tcPr>
          <w:p>
            <w:pPr>
              <w:spacing w:after="0"/>
            </w:pPr>
            <w:r>
              <w:rPr>
                <w:rFonts w:ascii="Times New Roman" w:hAnsi="Times New Roman"/>
                <w:sz w:val="18"/>
              </w:rPr>
              <w:t>[FREQUENCY]</w:t>
            </w:r>
          </w:p>
        </w:tc>
      </w:tr>
    </w:tbl>
    <w:p>
      <w:pPr>
        <w:widowControl/>
        <w:spacing w:after="20"/>
      </w:pPr>
    </w:p>
    <w:p>
      <w:pPr>
        <w:pStyle w:val="Heading3"/>
        <w:widowControl/>
        <w:ind w:left="0" w:firstLine="0"/>
      </w:pPr>
      <w:r>
        <w:rPr>
          <w:rFonts w:ascii="Times New Roman" w:hAnsi="Times New Roman"/>
          <w:b/>
          <w:sz w:val="22"/>
          <w:u w:val="single"/>
        </w:rPr>
        <w:t>Exhibit C Data Processing and Security Schedule</w:t>
      </w:r>
    </w:p>
    <w:p>
      <w:pPr>
        <w:widowControl/>
        <w:ind w:firstLine="720"/>
        <w:jc w:val="both"/>
      </w:pPr>
      <w:r>
        <w:t>List roles, purposes, instructions, data categories, data subjects, systems, regions, transfers, subprocessors, retention, return, deletion, access, encryption, logs, incident contacts, audits, privileged material, and regulated data. Attach the current security-control matrix and data-flow diagram.</w:t>
      </w:r>
    </w:p>
    <w:p>
      <w:pPr>
        <w:pStyle w:val="Heading3"/>
        <w:widowControl/>
        <w:ind w:left="0" w:firstLine="0"/>
      </w:pPr>
      <w:r>
        <w:rPr>
          <w:rFonts w:ascii="Times New Roman" w:hAnsi="Times New Roman"/>
          <w:b/>
          <w:sz w:val="22"/>
          <w:u w:val="single"/>
        </w:rPr>
        <w:t>Service Schedule Template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tblHeader w:val="true"/>
          <w:cantSplit/>
        </w:trPr>
        <w:tc>
          <w:tcPr>
            <w:tcW w:type="dxa" w:w="4680"/>
            <w:vAlign w:val="center"/>
            <w:tcMar>
              <w:top w:w="55" w:type="dxa"/>
              <w:start w:w="70" w:type="dxa"/>
              <w:bottom w:w="55" w:type="dxa"/>
              <w:end w:w="70" w:type="dxa"/>
            </w:tcMar>
            <w:shd w:fill="DCE6F1"/>
          </w:tcPr>
          <w:p>
            <w:pPr>
              <w:spacing w:after="0"/>
            </w:pPr>
            <w:r>
              <w:rPr>
                <w:rFonts w:ascii="Times New Roman" w:hAnsi="Times New Roman"/>
                <w:b/>
                <w:sz w:val="18"/>
              </w:rPr>
              <w:t>Field</w:t>
            </w:r>
          </w:p>
        </w:tc>
        <w:tc>
          <w:tcPr>
            <w:tcW w:type="dxa" w:w="4680"/>
            <w:vAlign w:val="center"/>
            <w:tcMar>
              <w:top w:w="55" w:type="dxa"/>
              <w:start w:w="70" w:type="dxa"/>
              <w:bottom w:w="55" w:type="dxa"/>
              <w:end w:w="70" w:type="dxa"/>
            </w:tcMar>
            <w:shd w:fill="DCE6F1"/>
          </w:tcPr>
          <w:p>
            <w:pPr>
              <w:spacing w:after="0"/>
            </w:pPr>
            <w:r>
              <w:rPr>
                <w:rFonts w:ascii="Times New Roman" w:hAnsi="Times New Roman"/>
                <w:b/>
                <w:sz w:val="18"/>
              </w:rPr>
              <w:t>Required entry</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Service and business purpose</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Included tasks and deliverables</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Exclusions</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Historic baseline and volume</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Locations systems personnel</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Recipient and third-party dependencies</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Service levels support and maintenance</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Fee taxes and pass-throughs</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Data and security classification</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Service Period exit milestone and stranded costs</w:t>
            </w:r>
          </w:p>
        </w:tc>
        <w:tc>
          <w:tcPr>
            <w:tcW w:type="dxa" w:w="4680"/>
            <w:vAlign w:val="center"/>
            <w:tcMar>
              <w:top w:w="55" w:type="dxa"/>
              <w:start w:w="70" w:type="dxa"/>
              <w:bottom w:w="55" w:type="dxa"/>
              <w:end w:w="70" w:type="dxa"/>
            </w:tcMar>
          </w:tcPr>
          <w:p>
            <w:pPr>
              <w:spacing w:after="0"/>
            </w:pPr>
            <w:r>
              <w:rPr>
                <w:rFonts w:ascii="Times New Roman" w:hAnsi="Times New Roman"/>
                <w:sz w:val="18"/>
              </w:rPr>
              <w:t>[COMPLETE]</w:t>
            </w:r>
          </w:p>
        </w:tc>
      </w:tr>
    </w:tbl>
    <w:p>
      <w:pPr>
        <w:widowControl/>
        <w:spacing w:after="20"/>
      </w:pP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form is an educational practitioner master for temporary post-acquisition services, especially carve-outs and shared-function separations. It is not a substitute for the acquisition agreement, a long-term outsourcing agreement, a data-processing addendum, or a regulated-services contract. Do not use it without complete Service Schedules and an executable Exit Plan.</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In an approved system, upload the acquisition agreement, separation perimeter, operating-model map, shared-services inventory, service baselines, vendor and license list, systems and data-flow maps, security standards, proposed fees, transition budget, Day 1 plan, and Exit Plan. Do not upload confidential or regulated data to an unapproved AI system.</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M&amp;A and technology-transactions counsel in completing the uploaded Founder M&amp;A Transition Services Agreement. Treat it as a practitioner master. First produce a service-perimeter gap list, one proposed Service Schedule per service tower, a dependency and consent register, a data and security issue list, a fee reconciliation, and an Exit Plan milestone table. Do not invent services, volumes, performance history, system rights, consents, vendor terms, fees, legal roles, security controls, or dates. Cite the supplied source for every completion or state “source not provided.” Flag any implied service, unbounded capacity, missing license, uncontrolled data flow, ambiguous charge, conflicting acquisition-agreement term, or exit dependency. Then prepare a marked completion draft and red-flag memorandum. Preserve brackets until counsel selects them. Do not label any output execution-ready, change the acquisition allocation, or contact a vendor, employee, regulator, or counterparty.</w:t>
      </w:r>
    </w:p>
    <w:p>
      <w:pPr>
        <w:pStyle w:val="Heading3"/>
        <w:widowControl/>
        <w:ind w:left="0" w:firstLine="0"/>
      </w:pPr>
      <w:r>
        <w:rPr>
          <w:rFonts w:ascii="Times New Roman" w:hAnsi="Times New Roman"/>
          <w:b/>
          <w:sz w:val="22"/>
          <w:u w:val="single"/>
        </w:rPr>
        <w:t>Required completion questions</w:t>
      </w:r>
    </w:p>
    <w:p>
      <w:pPr>
        <w:pStyle w:val="ListNumber"/>
        <w:widowControl/>
        <w:spacing w:after="40"/>
        <w:ind w:left="346" w:hanging="202"/>
      </w:pPr>
      <w:r>
        <w:t>Which services were historically supplied, at what volumes and standard, through which systems, personnel, facilities, and vendors?</w:t>
      </w:r>
    </w:p>
    <w:p>
      <w:pPr>
        <w:pStyle w:val="ListNumber"/>
        <w:widowControl/>
        <w:spacing w:after="40"/>
        <w:ind w:left="346" w:hanging="202"/>
      </w:pPr>
      <w:r>
        <w:t>What Recipient inputs and third-party consents are required, and who owns each dependency?</w:t>
      </w:r>
    </w:p>
    <w:p>
      <w:pPr>
        <w:pStyle w:val="ListNumber"/>
        <w:widowControl/>
        <w:spacing w:after="40"/>
        <w:ind w:left="346" w:hanging="202"/>
      </w:pPr>
      <w:r>
        <w:t>What data moves where, under what legal role and security control, and how is it returned or deleted?</w:t>
      </w:r>
    </w:p>
    <w:p>
      <w:pPr>
        <w:pStyle w:val="ListNumber"/>
        <w:widowControl/>
        <w:spacing w:after="40"/>
        <w:ind w:left="346" w:hanging="202"/>
      </w:pPr>
      <w:r>
        <w:t>How is each fee calculated without duplicating purchase-price or stranded-cost treatment?</w:t>
      </w:r>
    </w:p>
    <w:p>
      <w:pPr>
        <w:pStyle w:val="ListNumber"/>
        <w:widowControl/>
        <w:spacing w:after="40"/>
        <w:ind w:left="346" w:hanging="202"/>
      </w:pPr>
      <w:r>
        <w:t>What replacement solution, test, cutover, rollback, and completion evidence ends each Service?</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Counsel should submit the reviewed Word draft with all Service Schedules, Exit Plan, service-level exhibit, data and security schedule, fee model, change register, consent register, and specialist approvals. The completion package should include a redline to this master, open-issues list, source attribution, operational-owner signoff, security and privacy approval, and release memorandum. No Service should begin until the required contracts, access, consents, controls, and owners are in place.</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Transition Services Agreement</dc:title>
  <dc:subject>Founder M&amp;A practitioner master</dc:subject>
  <dc:creator/>
  <cp:keywords>Founder M&amp;A, FMA-012, practitioner master</cp:keywords>
  <dc:description/>
  <cp:lastModifiedBy/>
  <cp:revision>1</cp:revision>
  <dcterms:created xsi:type="dcterms:W3CDTF">2013-12-23T23:15:00Z</dcterms:created>
  <dcterms:modified xsi:type="dcterms:W3CDTF">2013-12-23T23:15:00Z</dcterms:modified>
  <cp:category/>
</cp:coreProperties>
</file>