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360"/>
      </w:pPr>
      <w:r>
        <w:rPr>
          <w:rFonts w:ascii="Times New Roman" w:hAnsi="Times New Roman"/>
          <w:b/>
          <w:sz w:val="28"/>
          <w:u w:val="none"/>
        </w:rPr>
        <w:t>Founder M&amp;A Stock Purchase Agreement Seller Protective Extended Form</w:t>
      </w:r>
    </w:p>
    <w:p>
      <w:pPr>
        <w:widowControl/>
        <w:spacing w:after="240"/>
        <w:jc w:val="center"/>
      </w:pPr>
      <w:r>
        <w:rPr>
          <w:rFonts w:ascii="Times New Roman" w:hAnsi="Times New Roman"/>
          <w:b/>
          <w:sz w:val="20"/>
        </w:rPr>
        <w:t>FMA-011  |  VERSION 1.0.0  |  7 SEPTEMBER 2026</w:t>
      </w:r>
    </w:p>
    <w:p>
      <w:pPr>
        <w:pStyle w:val="PractitionerBanner"/>
        <w:widowControl/>
        <w:shd w:fill="F2F2F2"/>
      </w:pPr>
      <w:r>
        <w:rPr>
          <w:b/>
        </w:rPr>
        <w:t>Practitioner master — complete all brackets, select alternatives, and obtain responsible-lawyer and specialist approval before use.</w:t>
      </w:r>
      <w:r>
        <w:t xml:space="preserve"> Form FMA-011; version 1.0.0; prepared 2026-09-07. This original form is not matter-cleared or execution-ready.</w:t>
      </w:r>
    </w:p>
    <w:p>
      <w:pPr>
        <w:pStyle w:val="Heading2"/>
        <w:widowControl/>
        <w:ind w:left="0" w:firstLine="0"/>
        <w:jc w:val="center"/>
      </w:pPr>
      <w:r>
        <w:rPr>
          <w:rFonts w:ascii="Times New Roman" w:hAnsi="Times New Roman"/>
          <w:b/>
          <w:sz w:val="24"/>
          <w:u w:val="none"/>
        </w:rPr>
        <w:t>Matter Completion Sheet — Not Part of the Agreement</w:t>
      </w:r>
    </w:p>
    <w:p>
      <w:pPr>
        <w:widowControl/>
        <w:ind w:firstLine="720"/>
        <w:jc w:val="both"/>
      </w:pPr>
      <w:r>
        <w:t xml:space="preserve">Complete every row. Enter </w:t>
      </w:r>
      <w:r>
        <w:rPr>
          <w:b/>
        </w:rPr>
        <w:t>N/A and the reason</w:t>
      </w:r>
      <w:r>
        <w:t xml:space="preserve"> where an item does not apply. A completed checklist records inputs; it does not replace legal approval.</w:t>
      </w:r>
    </w:p>
    <w:p>
      <w:pPr>
        <w:pStyle w:val="Heading3"/>
        <w:widowControl/>
        <w:ind w:left="0" w:firstLine="0"/>
      </w:pPr>
      <w:r>
        <w:rPr>
          <w:rFonts w:ascii="Times New Roman" w:hAnsi="Times New Roman"/>
          <w:b/>
          <w:sz w:val="22"/>
          <w:u w:val="single"/>
        </w:rPr>
        <w:t>A. Structure and authority</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3120"/>
        <w:gridCol w:w="3120"/>
        <w:gridCol w:w="3120"/>
      </w:tblGrid>
      <w:tr>
        <w:trPr>
          <w:tblHeader w:val="true"/>
          <w:cantSplit/>
        </w:trPr>
        <w:tc>
          <w:tcPr>
            <w:tcW w:type="dxa" w:w="792"/>
            <w:vAlign w:val="center"/>
            <w:tcMar>
              <w:top w:w="55" w:type="dxa"/>
              <w:start w:w="70" w:type="dxa"/>
              <w:bottom w:w="55" w:type="dxa"/>
              <w:end w:w="70" w:type="dxa"/>
            </w:tcMar>
            <w:shd w:fill="DCE6F1"/>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DCE6F1"/>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DCE6F1"/>
          </w:tcPr>
          <w:p>
            <w:pPr>
              <w:spacing w:after="0"/>
            </w:pPr>
            <w:r>
              <w:rPr>
                <w:rFonts w:ascii="Times New Roman" w:hAnsi="Times New Roman"/>
                <w:b/>
                <w:sz w:val="17"/>
              </w:rPr>
              <w:t>Matter-specific input, owner, or approval</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Buyer, Company, each Seller, Seller Representative, jurisdiction, capacity, signatures, and whether Buyer acquires all shares or only the scheduled block.</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Reconcile charter, bylaws, stock ledger, cap table, certificates, options, warrants, SAFEs, notes, promised grants, transfer history, ROFR, co-sale, drag-along, voting, investor-rights, and side-letter obligations.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Map every board, class, series, stockholder, spouse, investor, lender, governmental, and contractual approval, notice, waiver, or consent; identify holdouts and minority rights.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Select simultaneous or deferred Closing; complete the conditions matrix, Outside Date, signature-release protocol, funds flow, and post-Closing actions.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B. Economics and founder outcomes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3120"/>
        <w:gridCol w:w="3120"/>
        <w:gridCol w:w="3120"/>
      </w:tblGrid>
      <w:tr>
        <w:trPr>
          <w:tblHeader w:val="true"/>
          <w:cantSplit/>
        </w:trPr>
        <w:tc>
          <w:tcPr>
            <w:tcW w:type="dxa" w:w="792"/>
            <w:vAlign w:val="center"/>
            <w:tcMar>
              <w:top w:w="55" w:type="dxa"/>
              <w:start w:w="70" w:type="dxa"/>
              <w:bottom w:w="55" w:type="dxa"/>
              <w:end w:w="70" w:type="dxa"/>
            </w:tcMar>
            <w:shd w:fill="DCE6F1"/>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DCE6F1"/>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DCE6F1"/>
          </w:tcPr>
          <w:p>
            <w:pPr>
              <w:spacing w:after="0"/>
            </w:pPr>
            <w:r>
              <w:rPr>
                <w:rFonts w:ascii="Times New Roman" w:hAnsi="Times New Roman"/>
                <w:b/>
                <w:sz w:val="17"/>
              </w:rPr>
              <w:t>Matter-specific input, owner, or approval</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Approve the enterprise-to-equity value bridge, Cash, Debt, Transaction Expenses, Target Working Capital, escrows, holdbacks, representative fund, earnout, rollover, seller note, and allocation without double counting.</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Reconcile each Seller’s shares, class, basis, holding period, payment, escrow share, rollover, withholding, and Pro Rata Share to the final capitalization and funds-flow schedules.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Separate stock consideration from founder employment, consulting, retention, noncompetition, release, rollover, bonus, and expense arrangements; document independent consideration and approval where required.</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Obtain Tax advice on Sections 1202, 1045, 280G, 409A, 338(h)(10), 336(e), 453/453A, withholding, payroll, transfer Taxes, state conformity, and purchase-price allocation.</w:t>
            </w:r>
          </w:p>
        </w:tc>
        <w:tc>
          <w:tcPr>
            <w:tcW w:type="dxa" w:w="2448"/>
            <w:vAlign w:val="center"/>
            <w:tcMar>
              <w:top w:w="55" w:type="dxa"/>
              <w:start w:w="70" w:type="dxa"/>
              <w:bottom w:w="55" w:type="dxa"/>
              <w:end w:w="70" w:type="dxa"/>
            </w:tcMar>
          </w:tcPr>
          <w:p>
            <w:pPr>
              <w:spacing w:after="0"/>
            </w:pPr>
            <w:r>
              <w:rPr>
                <w:rFonts w:ascii="Times New Roman" w:hAnsi="Times New Roman"/>
                <w:sz w:val="17"/>
              </w:rPr>
              <w:t>[TAX COUNSEL / DATE]</w:t>
            </w:r>
          </w:p>
        </w:tc>
      </w:tr>
    </w:tbl>
    <w:p>
      <w:pPr>
        <w:widowControl/>
        <w:spacing w:after="20"/>
      </w:pPr>
    </w:p>
    <w:p>
      <w:pPr>
        <w:pStyle w:val="Heading3"/>
        <w:widowControl/>
        <w:ind w:left="0" w:firstLine="0"/>
      </w:pPr>
      <w:r>
        <w:rPr>
          <w:rFonts w:ascii="Times New Roman" w:hAnsi="Times New Roman"/>
          <w:b/>
          <w:sz w:val="22"/>
          <w:u w:val="single"/>
        </w:rPr>
        <w:t>C. Seller protection and release control</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3120"/>
        <w:gridCol w:w="3120"/>
        <w:gridCol w:w="3120"/>
      </w:tblGrid>
      <w:tr>
        <w:trPr>
          <w:tblHeader w:val="true"/>
          <w:cantSplit/>
        </w:trPr>
        <w:tc>
          <w:tcPr>
            <w:tcW w:type="dxa" w:w="792"/>
            <w:vAlign w:val="center"/>
            <w:tcMar>
              <w:top w:w="55" w:type="dxa"/>
              <w:start w:w="70" w:type="dxa"/>
              <w:bottom w:w="55" w:type="dxa"/>
              <w:end w:w="70" w:type="dxa"/>
            </w:tcMar>
            <w:shd w:fill="DCE6F1"/>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DCE6F1"/>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DCE6F1"/>
          </w:tcPr>
          <w:p>
            <w:pPr>
              <w:spacing w:after="0"/>
            </w:pPr>
            <w:r>
              <w:rPr>
                <w:rFonts w:ascii="Times New Roman" w:hAnsi="Times New Roman"/>
                <w:b/>
                <w:sz w:val="17"/>
              </w:rPr>
              <w:t>Matter-specific input, owner, or approval</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Choose RWI/no-recourse, traditional indemnity, or hybrid recourse; approve survival, baskets, caps, special indemnities, several liability, exclusive-remedy, no-recourse, Fraud, and subrogation terms.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Approve Company Knowledge Persons, materiality standards, Disclosure Schedule cross-references, schedule updating, bring-down standards, buyer knowledge, and no-sandbagging treatment.</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financing certainty, reverse termination fee or guaranty if used, regulatory-risk allocation, specific performance, interim consent process, and buyer-caused-condition protection.</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founder-specific protections for rollover, earnout, employment separation, tax records, privilege, D&amp;O tail, releases, restrictive covenants, and post-Closing access.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D. Review and release</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3120"/>
        <w:gridCol w:w="3120"/>
        <w:gridCol w:w="3120"/>
      </w:tblGrid>
      <w:tr>
        <w:trPr>
          <w:tblHeader w:val="true"/>
          <w:cantSplit/>
        </w:trPr>
        <w:tc>
          <w:tcPr>
            <w:tcW w:type="dxa" w:w="792"/>
            <w:vAlign w:val="center"/>
            <w:tcMar>
              <w:top w:w="55" w:type="dxa"/>
              <w:start w:w="70" w:type="dxa"/>
              <w:bottom w:w="55" w:type="dxa"/>
              <w:end w:w="70" w:type="dxa"/>
            </w:tcMar>
            <w:shd w:fill="DCE6F1"/>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DCE6F1"/>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DCE6F1"/>
          </w:tcPr>
          <w:p>
            <w:pPr>
              <w:spacing w:after="0"/>
            </w:pPr>
            <w:r>
              <w:rPr>
                <w:rFonts w:ascii="Times New Roman" w:hAnsi="Times New Roman"/>
                <w:b/>
                <w:sz w:val="17"/>
              </w:rPr>
              <w:t>Matter-specific input, owner, or approval</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Corporate lead completed definitions, brackets, cross-references, schedules, exhibits, signatures, conditions, funds flow, wire-verification, and document-hierarchy review.</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Tax, benefits, employment, antitrust, CFIUS, securities, IP, privacy, cyber, real-estate, environmental, and industry specialists approved applicable provisions.</w:t>
            </w:r>
          </w:p>
        </w:tc>
        <w:tc>
          <w:tcPr>
            <w:tcW w:type="dxa" w:w="2448"/>
            <w:vAlign w:val="center"/>
            <w:tcMar>
              <w:top w:w="55" w:type="dxa"/>
              <w:start w:w="70" w:type="dxa"/>
              <w:bottom w:w="55" w:type="dxa"/>
              <w:end w:w="70" w:type="dxa"/>
            </w:tcMar>
          </w:tcPr>
          <w:p>
            <w:pPr>
              <w:spacing w:after="0"/>
            </w:pPr>
            <w:r>
              <w:rPr>
                <w:rFonts w:ascii="Times New Roman" w:hAnsi="Times New Roman"/>
                <w:sz w:val="17"/>
              </w:rPr>
              <w:t>[SPECIALISTS / DATE OR N/A—REASON]</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Seller Representative and claims administration are authorized, funded, several, practical, and consistent with governing documents and applicable law.</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Execution copy released only after unresolved items are listed in a written release memorandum approved by responsible counsel.</w:t>
            </w:r>
          </w:p>
        </w:tc>
        <w:tc>
          <w:tcPr>
            <w:tcW w:type="dxa" w:w="2448"/>
            <w:vAlign w:val="center"/>
            <w:tcMar>
              <w:top w:w="55" w:type="dxa"/>
              <w:start w:w="70" w:type="dxa"/>
              <w:bottom w:w="55" w:type="dxa"/>
              <w:end w:w="70" w:type="dxa"/>
            </w:tcMar>
          </w:tcPr>
          <w:p>
            <w:pPr>
              <w:spacing w:after="0"/>
            </w:pPr>
            <w:r>
              <w:rPr>
                <w:rFonts w:ascii="Times New Roman" w:hAnsi="Times New Roman"/>
                <w:sz w:val="17"/>
              </w:rPr>
              <w:t>[RELEASED BY / DATE / VERSION]</w:t>
            </w:r>
          </w:p>
        </w:tc>
      </w:tr>
    </w:tbl>
    <w:p>
      <w:pPr>
        <w:widowControl/>
        <w:spacing w:after="20"/>
      </w:pPr>
    </w:p>
    <w:p>
      <w:pPr>
        <w:pStyle w:val="Heading1"/>
        <w:pageBreakBefore w:val="0"/>
        <w:widowControl/>
      </w:pPr>
      <w:r>
        <w:rPr>
          <w:rFonts w:ascii="Times New Roman" w:hAnsi="Times New Roman"/>
          <w:b/>
          <w:sz w:val="24"/>
          <w:u w:val="none"/>
        </w:rPr>
        <w:t>STOCK PURCHASE AGREEMENT</w:t>
      </w:r>
    </w:p>
    <w:p>
      <w:pPr>
        <w:keepLines w:val="0"/>
        <w:widowControl/>
        <w:ind w:firstLine="720"/>
        <w:jc w:val="both"/>
      </w:pPr>
      <w:r>
        <w:t xml:space="preserve">This Stock Purchase Agreement (this </w:t>
      </w:r>
      <w:r>
        <w:rPr>
          <w:b/>
          <w:i/>
        </w:rPr>
        <w:t>“Agreement”</w:t>
      </w:r>
      <w:r>
        <w:t>) is entered into as of [DATE] by and among [BUYER], a [JURISDICTION] [ENTITY TYPE] (</w:t>
      </w:r>
      <w:r>
        <w:rPr>
          <w:b/>
          <w:i/>
        </w:rPr>
        <w:t>“Buyer”</w:t>
      </w:r>
      <w:r>
        <w:t xml:space="preserve">), [TARGET COMPANY], a [JURISDICTION] corporation (the </w:t>
      </w:r>
      <w:r>
        <w:rPr>
          <w:b/>
          <w:i/>
        </w:rPr>
        <w:t>“Company”</w:t>
      </w:r>
      <w:r>
        <w:t xml:space="preserve">), each Person listed on Schedule A (each, a </w:t>
      </w:r>
      <w:r>
        <w:rPr>
          <w:b/>
          <w:i/>
        </w:rPr>
        <w:t>“Seller”</w:t>
      </w:r>
      <w:r>
        <w:t xml:space="preserve"> and collectively, the </w:t>
      </w:r>
      <w:r>
        <w:rPr>
          <w:b/>
          <w:i/>
        </w:rPr>
        <w:t>“Sellers”</w:t>
      </w:r>
      <w:r>
        <w:t xml:space="preserve">), and [SELLER REPRESENTATIVE], solely in the representative capacity stated in Section 11 (the </w:t>
      </w:r>
      <w:r>
        <w:rPr>
          <w:b/>
          <w:i/>
        </w:rPr>
        <w:t>“Seller Representative”</w:t>
      </w:r>
      <w:r>
        <w:t>).</w:t>
      </w:r>
    </w:p>
    <w:p>
      <w:pPr>
        <w:pStyle w:val="Heading2"/>
        <w:widowControl/>
        <w:ind w:left="0" w:firstLine="0"/>
        <w:jc w:val="center"/>
      </w:pPr>
      <w:r>
        <w:rPr>
          <w:rFonts w:ascii="Times New Roman" w:hAnsi="Times New Roman"/>
          <w:b/>
          <w:caps/>
          <w:sz w:val="22"/>
          <w:u w:val="none"/>
        </w:rPr>
        <w:t>Recitals</w:t>
      </w:r>
    </w:p>
    <w:p>
      <w:pPr>
        <w:widowControl/>
        <w:ind w:left="720" w:hanging="360"/>
        <w:jc w:val="both"/>
      </w:pPr>
      <w:r>
        <w:t xml:space="preserve">A. Each Seller owns the shares of Company capital stock listed opposite that Seller’s name on Schedule A (the </w:t>
      </w:r>
      <w:r>
        <w:rPr>
          <w:b/>
          <w:i/>
        </w:rPr>
        <w:t>“Purchased Shares”</w:t>
      </w:r>
      <w:r>
        <w:t>).</w:t>
      </w:r>
    </w:p>
    <w:p>
      <w:pPr>
        <w:widowControl/>
        <w:ind w:left="720" w:hanging="360"/>
        <w:jc w:val="both"/>
      </w:pPr>
      <w:r>
        <w:t>B. Buyer wishes to purchase, and the Sellers wish to sell, the Purchased Shares so that at Closing Buyer will own [all outstanding Company capital stock / the ownership percentage stated on Schedule A].</w:t>
      </w:r>
    </w:p>
    <w:p>
      <w:pPr>
        <w:widowControl/>
        <w:ind w:left="720" w:hanging="360"/>
        <w:jc w:val="both"/>
      </w:pPr>
      <w:r>
        <w:t>C. The board of directors of the Company and each other required corporate body has approved this Agreement and the transactions contemplated by it, subject to the actions expressly listed in Schedule 4.2.</w:t>
      </w:r>
    </w:p>
    <w:p>
      <w:pPr>
        <w:keepLines w:val="0"/>
        <w:widowControl/>
        <w:ind w:firstLine="720"/>
        <w:jc w:val="both"/>
      </w:pPr>
      <w:r>
        <w:t>The parties agree as follows.</w:t>
      </w:r>
    </w:p>
    <w:p>
      <w:pPr>
        <w:pStyle w:val="Heading2"/>
        <w:widowControl/>
        <w:ind w:left="0" w:firstLine="0"/>
      </w:pPr>
      <w:r>
        <w:rPr>
          <w:rFonts w:ascii="Times New Roman" w:hAnsi="Times New Roman"/>
          <w:b/>
          <w:sz w:val="22"/>
          <w:u w:val="single"/>
        </w:rPr>
        <w:t>1. Definitions and Interpretation</w:t>
      </w:r>
    </w:p>
    <w:p>
      <w:pPr>
        <w:pStyle w:val="Heading3"/>
        <w:widowControl/>
        <w:ind w:left="0" w:firstLine="0"/>
      </w:pPr>
      <w:r>
        <w:rPr>
          <w:rFonts w:ascii="Times New Roman" w:hAnsi="Times New Roman"/>
          <w:b/>
          <w:sz w:val="22"/>
          <w:u w:val="single"/>
        </w:rPr>
        <w:t>1.1 Selected definitions</w:t>
      </w:r>
    </w:p>
    <w:p>
      <w:pPr>
        <w:widowControl/>
        <w:ind w:firstLine="720"/>
        <w:jc w:val="both"/>
      </w:pPr>
      <w:r>
        <w:rPr>
          <w:b/>
          <w:i/>
        </w:rPr>
        <w:t>“Aggregate Purchase Price”</w:t>
      </w:r>
      <w:r>
        <w:t xml:space="preserve"> means $[BASE EQUITY VALUE], plus Closing Cash, minus Closing Debt, minus Transaction Expenses, plus or minus the Working Capital Adjustment, and plus or minus only the other line items stated in Exhibit A, in each case without duplication.</w:t>
      </w:r>
    </w:p>
    <w:p>
      <w:pPr>
        <w:widowControl/>
        <w:ind w:firstLine="720"/>
        <w:jc w:val="both"/>
      </w:pPr>
      <w:r>
        <w:rPr>
          <w:b/>
          <w:i/>
        </w:rPr>
        <w:t>“Business Day”</w:t>
      </w:r>
      <w:r>
        <w:t xml:space="preserve"> means a day other than Saturday, Sunday, or a day on which commercial banks in [NEW YORK, NEW YORK] are authorized or required to close.</w:t>
      </w:r>
    </w:p>
    <w:p>
      <w:pPr>
        <w:widowControl/>
        <w:ind w:firstLine="720"/>
        <w:jc w:val="both"/>
      </w:pPr>
      <w:r>
        <w:rPr>
          <w:b/>
          <w:i/>
        </w:rPr>
        <w:t>“Closing Cash”</w:t>
      </w:r>
      <w:r>
        <w:t xml:space="preserve"> means unrestricted cash and cash equivalents of the Company at the Measurement Time, determined under Exhibit A and excluding restricted, trapped, fiduciary, customer, and similar cash unless Exhibit A expressly includes it.</w:t>
      </w:r>
    </w:p>
    <w:p>
      <w:pPr>
        <w:widowControl/>
        <w:ind w:firstLine="720"/>
        <w:jc w:val="both"/>
      </w:pPr>
      <w:r>
        <w:rPr>
          <w:b/>
          <w:i/>
        </w:rPr>
        <w:t>“Closing Debt”</w:t>
      </w:r>
      <w:r>
        <w:t xml:space="preserve"> means only the debt and debt-like categories listed in Exhibit A at the Measurement Time, including accrued interest and specified prepayment amounts, but excluding any amount counted in Working Capital or Transaction Expenses.</w:t>
      </w:r>
    </w:p>
    <w:p>
      <w:pPr>
        <w:widowControl/>
        <w:ind w:firstLine="720"/>
        <w:jc w:val="both"/>
      </w:pPr>
      <w:r>
        <w:rPr>
          <w:b/>
          <w:i/>
        </w:rPr>
        <w:t>“Disclosure Schedules”</w:t>
      </w:r>
      <w:r>
        <w:t xml:space="preserve"> means the disclosure schedules delivered by the Company and the Sellers concurrently with this Agreement. A disclosure qualifies another provision only if its relevance is reasonably apparent on its face. A scheduled item does not create a representation or expand the scope of one.</w:t>
      </w:r>
    </w:p>
    <w:p>
      <w:pPr>
        <w:widowControl/>
        <w:ind w:firstLine="720"/>
        <w:jc w:val="both"/>
      </w:pPr>
      <w:r>
        <w:rPr>
          <w:b/>
          <w:i/>
        </w:rPr>
        <w:t>“Fraud”</w:t>
      </w:r>
      <w:r>
        <w:t xml:space="preserve"> means actual common-law fraud under the governing law committed by the Person against whom relief is sought in making an express representation in this Agreement. It excludes constructive fraud, equitable fraud, negligent misrepresentation, and fraud imputed solely by agency, except to the extent nonwaivable law requires otherwise.</w:t>
      </w:r>
    </w:p>
    <w:p>
      <w:pPr>
        <w:widowControl/>
        <w:ind w:firstLine="720"/>
        <w:jc w:val="both"/>
      </w:pPr>
      <w:r>
        <w:rPr>
          <w:b/>
          <w:i/>
        </w:rPr>
        <w:t>“Knowledge”</w:t>
      </w:r>
      <w:r>
        <w:t xml:space="preserve"> means, for the Company, the actual knowledge of the individuals listed on Schedule 1.1 after reasonable inquiry of personnel with operational responsibility for the subject and reasonable review of records ordinarily used by those individuals. For a Seller, it means that Seller’s actual knowledge.</w:t>
      </w:r>
    </w:p>
    <w:p>
      <w:pPr>
        <w:widowControl/>
        <w:ind w:firstLine="720"/>
        <w:jc w:val="both"/>
      </w:pPr>
      <w:r>
        <w:rPr>
          <w:b/>
          <w:i/>
        </w:rPr>
        <w:t>“Material Adverse Effect”</w:t>
      </w:r>
      <w:r>
        <w:t xml:space="preserve"> means an event that has had, or would reasonably be expected to have, a material adverse effect on the business, assets, liabilities, financial condition, or results of operations of the Company, taken as a whole, excluding general economic, market, industry, political, legal, public-health, cybersecurity, hostilities, natural-disaster, announcement, identity-of-Buyer, and accounting-law changes, except to the extent the Company is disproportionately affected relative to comparable companies. Failure to meet a forecast is not itself a Material Adverse Effect, although underlying causes may be considered.</w:t>
      </w:r>
    </w:p>
    <w:p>
      <w:pPr>
        <w:widowControl/>
        <w:ind w:firstLine="720"/>
        <w:jc w:val="both"/>
      </w:pPr>
      <w:r>
        <w:rPr>
          <w:b/>
          <w:i/>
        </w:rPr>
        <w:t>“Pro Rata Share”</w:t>
      </w:r>
      <w:r>
        <w:t xml:space="preserve"> means the percentage for a Seller on Schedule A, calculated under the acquisition agreement’s distribution waterfall after giving effect to class, series, liquidation-preference, option, warrant, and other security treatment.</w:t>
      </w:r>
    </w:p>
    <w:p>
      <w:pPr>
        <w:widowControl/>
        <w:ind w:firstLine="720"/>
        <w:jc w:val="both"/>
      </w:pPr>
      <w:r>
        <w:rPr>
          <w:b/>
          <w:i/>
        </w:rPr>
        <w:t>“Transaction Expenses”</w:t>
      </w:r>
      <w:r>
        <w:t xml:space="preserve"> means only unpaid Company or Seller transaction costs listed in Exhibit A, including specified advisory, legal, accounting, change-in-control, sale bonus, and employer payroll Tax amounts, but excluding costs already paid, any amount counted as Debt or Working Capital, and Buyer’s costs.</w:t>
      </w:r>
    </w:p>
    <w:p>
      <w:pPr>
        <w:pStyle w:val="Heading3"/>
        <w:widowControl/>
        <w:ind w:left="0" w:firstLine="0"/>
      </w:pPr>
      <w:r>
        <w:rPr>
          <w:rFonts w:ascii="Times New Roman" w:hAnsi="Times New Roman"/>
          <w:b/>
          <w:sz w:val="22"/>
          <w:u w:val="single"/>
        </w:rPr>
        <w:t>1.2 Interpretation and hierarchy</w:t>
      </w:r>
    </w:p>
    <w:p>
      <w:pPr>
        <w:widowControl/>
        <w:ind w:firstLine="720"/>
        <w:jc w:val="both"/>
      </w:pPr>
      <w:r>
        <w:t xml:space="preserve">Headings do not affect interpretation. </w:t>
      </w:r>
      <w:r>
        <w:rPr>
          <w:b/>
        </w:rPr>
        <w:t>Including</w:t>
      </w:r>
      <w:r>
        <w:t xml:space="preserve"> means including without limitation. </w:t>
      </w:r>
      <w:r>
        <w:rPr>
          <w:b/>
        </w:rPr>
        <w:t>Or</w:t>
      </w:r>
      <w:r>
        <w:t xml:space="preserve"> is inclusive unless context requires otherwise. References to law include amendments and successor provisions. If this Agreement conflicts with an ancillary agreement, this Agreement controls as to purchase-price, risk-allocation, conditions, and remedies unless the ancillary agreement expressly identifies the provision it overrides. Exhibit A controls calculations over general accounting language. No presumption applies against a party as drafter.</w:t>
      </w:r>
    </w:p>
    <w:p>
      <w:pPr>
        <w:pStyle w:val="Heading2"/>
        <w:widowControl/>
        <w:ind w:left="0" w:firstLine="0"/>
      </w:pPr>
      <w:r>
        <w:rPr>
          <w:rFonts w:ascii="Times New Roman" w:hAnsi="Times New Roman"/>
          <w:b/>
          <w:sz w:val="22"/>
          <w:u w:val="single"/>
        </w:rPr>
        <w:t>2. Purchase and Sale</w:t>
      </w:r>
    </w:p>
    <w:p>
      <w:pPr>
        <w:pStyle w:val="Heading3"/>
        <w:widowControl/>
        <w:ind w:left="0" w:firstLine="0"/>
      </w:pPr>
      <w:r>
        <w:rPr>
          <w:rFonts w:ascii="Times New Roman" w:hAnsi="Times New Roman"/>
          <w:b/>
          <w:sz w:val="22"/>
          <w:u w:val="single"/>
        </w:rPr>
        <w:t>2.1 Transfer of Purchased Shares</w:t>
      </w:r>
    </w:p>
    <w:p>
      <w:pPr>
        <w:widowControl/>
        <w:ind w:firstLine="720"/>
        <w:jc w:val="both"/>
      </w:pPr>
      <w:r>
        <w:t>At Closing, each Seller will sell and transfer to Buyer, and Buyer will purchase from that Seller, all of the Seller’s right, title, and interest in the Purchased Shares, free of liens other than restrictions created by securities law or Buyer. The transfer includes rights incident to the Purchased Shares after Closing but does not transfer a Seller’s separate claims or obligations unless this Agreement expressly states otherwise.</w:t>
      </w:r>
    </w:p>
    <w:p>
      <w:pPr>
        <w:pStyle w:val="Heading3"/>
        <w:widowControl/>
        <w:ind w:left="0" w:firstLine="0"/>
      </w:pPr>
      <w:r>
        <w:rPr>
          <w:rFonts w:ascii="Times New Roman" w:hAnsi="Times New Roman"/>
          <w:b/>
          <w:sz w:val="22"/>
          <w:u w:val="single"/>
        </w:rPr>
        <w:t>2.2 Schedule A controls</w:t>
      </w:r>
    </w:p>
    <w:p>
      <w:pPr>
        <w:widowControl/>
        <w:ind w:firstLine="720"/>
        <w:jc w:val="both"/>
      </w:pPr>
      <w:r>
        <w:t>Schedule A must state each Seller’s legal name, tax classification, address, class and number of shares, certificate or book-entry identifier, Pro Rata Share, cash payment, rollover, escrow and holdback contributions, representative-fund contribution, and withholding assumptions. Company counsel and an authorized officer must reconcile Schedule A to the stock ledger, cap table, charter waterfall, option and warrant treatment, transfer records, and funds flow. Corrections to ownership do not authorize an economic amendment without the approvals required by Section 12.10.</w:t>
      </w:r>
    </w:p>
    <w:p>
      <w:pPr>
        <w:pStyle w:val="Heading3"/>
        <w:widowControl/>
        <w:ind w:left="0" w:firstLine="0"/>
      </w:pPr>
      <w:r>
        <w:rPr>
          <w:rFonts w:ascii="Times New Roman" w:hAnsi="Times New Roman"/>
          <w:b/>
          <w:sz w:val="22"/>
          <w:u w:val="single"/>
        </w:rPr>
        <w:t>2.3 Equity instruments and transfer restrictions</w:t>
      </w:r>
    </w:p>
    <w:p>
      <w:pPr>
        <w:widowControl/>
        <w:ind w:firstLine="720"/>
        <w:jc w:val="both"/>
      </w:pPr>
      <w:r>
        <w:t>Before Closing, the Company and Sellers will complete Schedule 2.3, addressing exercise, conversion, cash-out, cancellation, acceleration, assumption, substitution, repayment, or preservation of every option, warrant, restricted award, SAFE, note, phantom right, promised grant, and other equity-linked right. Required ROFR, co-sale, drag-along, investor-rights, voting, class, spousal, and lien waivers must be delivered in the agreed forms. No Seller must give a broader release or personal representation merely to deliver a stock power.</w:t>
      </w:r>
    </w:p>
    <w:p>
      <w:pPr>
        <w:pStyle w:val="Heading3"/>
        <w:widowControl/>
        <w:ind w:left="0" w:firstLine="0"/>
      </w:pPr>
      <w:r>
        <w:rPr>
          <w:rFonts w:ascii="Times New Roman" w:hAnsi="Times New Roman"/>
          <w:b/>
          <w:sz w:val="22"/>
          <w:u w:val="single"/>
        </w:rPr>
        <w:t>2.4 Withholding</w:t>
      </w:r>
    </w:p>
    <w:p>
      <w:pPr>
        <w:keepLines w:val="0"/>
        <w:widowControl/>
        <w:ind w:firstLine="720"/>
        <w:jc w:val="both"/>
      </w:pPr>
      <w:r>
        <w:t>Buyer, the Company, and any payment agent may deduct Taxes required by law. Except for compensatory payments or failure to supply requested Tax forms, Buyer will give reasonable advance notice to the affected Seller, state the legal basis and estimated amount, and cooperate in good faith to reduce or eliminate withholding lawfully. Properly remitted amounts are treated as paid to that Seller.</w:t>
      </w:r>
    </w:p>
    <w:p>
      <w:pPr>
        <w:pStyle w:val="Heading2"/>
        <w:widowControl/>
        <w:ind w:left="0" w:firstLine="0"/>
      </w:pPr>
      <w:r>
        <w:rPr>
          <w:rFonts w:ascii="Times New Roman" w:hAnsi="Times New Roman"/>
          <w:b/>
          <w:sz w:val="22"/>
          <w:u w:val="single"/>
        </w:rPr>
        <w:t>3. Purchase Price and Adjustment</w:t>
      </w:r>
    </w:p>
    <w:p>
      <w:pPr>
        <w:pStyle w:val="Heading3"/>
        <w:widowControl/>
        <w:ind w:left="0" w:firstLine="0"/>
      </w:pPr>
      <w:r>
        <w:rPr>
          <w:rFonts w:ascii="Times New Roman" w:hAnsi="Times New Roman"/>
          <w:b/>
          <w:sz w:val="22"/>
          <w:u w:val="single"/>
        </w:rPr>
        <w:t>3.1 Estimated Closing Statement</w:t>
      </w:r>
    </w:p>
    <w:p>
      <w:pPr>
        <w:widowControl/>
        <w:ind w:firstLine="720"/>
        <w:jc w:val="both"/>
      </w:pPr>
      <w:r>
        <w:t>At least [five] Business Days before Closing, the Company will deliver an Estimated Closing Statement applying Exhibit A, with supporting general-ledger detail, bank evidence, payoff letters, invoices, payroll calculations, and an allocation draft. Buyer may submit specific comments by [two] Business Days before Closing. The Company will consider them in good faith, but the estimate used at Closing will be the Company’s good-faith calculation, subject to the post-Closing procedure.</w:t>
      </w:r>
    </w:p>
    <w:p>
      <w:pPr>
        <w:pStyle w:val="Heading3"/>
        <w:widowControl/>
        <w:ind w:left="0" w:firstLine="0"/>
      </w:pPr>
      <w:r>
        <w:rPr>
          <w:rFonts w:ascii="Times New Roman" w:hAnsi="Times New Roman"/>
          <w:b/>
          <w:sz w:val="22"/>
          <w:u w:val="single"/>
        </w:rPr>
        <w:t>3.2 Closing funds flow</w:t>
      </w:r>
    </w:p>
    <w:p>
      <w:pPr>
        <w:keepLines w:val="0"/>
        <w:widowControl/>
        <w:ind w:firstLine="720"/>
        <w:jc w:val="both"/>
      </w:pPr>
      <w:r>
        <w:t>Buyer will pay the estimated Aggregate Purchase Price only through the jointly approved funds flow. It will separately identify debt and expense payoffs, escrows, holdbacks, the representative fund, payments to each Seller or payment agent, rollover securities, and any seller note. Each line item must be counted once. Wire instructions must be confirmed by an independent callback to a previously verified number; emailed changes alone are ineffective.</w:t>
      </w:r>
    </w:p>
    <w:p>
      <w:pPr>
        <w:pStyle w:val="Heading3"/>
        <w:widowControl/>
        <w:ind w:left="0" w:firstLine="0"/>
      </w:pPr>
      <w:r>
        <w:rPr>
          <w:rFonts w:ascii="Times New Roman" w:hAnsi="Times New Roman"/>
          <w:b/>
          <w:sz w:val="22"/>
          <w:u w:val="single"/>
        </w:rPr>
        <w:t>3.3 Final statement and access</w:t>
      </w:r>
    </w:p>
    <w:p>
      <w:pPr>
        <w:widowControl/>
        <w:ind w:firstLine="720"/>
        <w:jc w:val="both"/>
      </w:pPr>
      <w:r>
        <w:t>Within [90] days after Closing, Buyer will deliver a final calculation with reasonable supporting detail. Buyer’s failure to deliver it on time causes the estimated calculation to become final, except for manifest mathematical error, unless the Seller Representative grants a written extension. During the [30]-day review period, Buyer will provide reasonable access to the relevant books, work papers, and personnel, subject to privilege, security, and confidentiality.</w:t>
      </w:r>
    </w:p>
    <w:p>
      <w:pPr>
        <w:pStyle w:val="Heading3"/>
        <w:widowControl/>
        <w:ind w:left="0" w:firstLine="0"/>
      </w:pPr>
      <w:r>
        <w:rPr>
          <w:rFonts w:ascii="Times New Roman" w:hAnsi="Times New Roman"/>
          <w:b/>
          <w:sz w:val="22"/>
          <w:u w:val="single"/>
        </w:rPr>
        <w:t>3.4 Objections and expert determination</w:t>
      </w:r>
    </w:p>
    <w:p>
      <w:pPr>
        <w:widowControl/>
        <w:ind w:firstLine="720"/>
        <w:jc w:val="both"/>
      </w:pPr>
      <w:r>
        <w:t>An objection must identify each disputed line, amount, reason, and proposed amount. Unobjected items become final. After [20] days of negotiation, the parties will submit only unresolved accounting items to [INDEPENDENT ACCOUNTING FIRM]. The expert acts as expert, not arbitrator; follows Exhibit A; may not decide legal liability; and may not select a result outside the parties’ positions. Fees are allocated in proportion to unsuccessful positions. Payment is due within [five] Business Days, first from adjustment escrow and then subject to the selected several-liability cap.</w:t>
      </w:r>
    </w:p>
    <w:p>
      <w:pPr>
        <w:pStyle w:val="Heading3"/>
        <w:widowControl/>
        <w:ind w:left="0" w:firstLine="0"/>
      </w:pPr>
      <w:r>
        <w:rPr>
          <w:rFonts w:ascii="Times New Roman" w:hAnsi="Times New Roman"/>
          <w:b/>
          <w:sz w:val="22"/>
          <w:u w:val="single"/>
        </w:rPr>
        <w:t>3.5 Accounting hierarchy and no double counting</w:t>
      </w:r>
    </w:p>
    <w:p>
      <w:pPr>
        <w:widowControl/>
        <w:ind w:firstLine="720"/>
        <w:jc w:val="both"/>
      </w:pPr>
      <w:r>
        <w:t>Calculations follow, in order: express line-item rules in Exhibit A; the sample calculation; the Company’s historical practices consistently applied; and GAAP only where the first three do not resolve the issue. Buyer bears purchase-accounting, financing, synergy, integration, and post-Closing operational effects. No fact may support both a purchase-price adjustment and indemnity recovery unless the first recovery failed to make Buyer whole and the agreement expressly permits the second.</w:t>
      </w:r>
    </w:p>
    <w:p>
      <w:pPr>
        <w:pStyle w:val="Heading3"/>
        <w:widowControl/>
        <w:ind w:left="0" w:firstLine="0"/>
      </w:pPr>
      <w:r>
        <w:rPr>
          <w:rFonts w:ascii="Times New Roman" w:hAnsi="Times New Roman"/>
          <w:b/>
          <w:sz w:val="22"/>
          <w:u w:val="single"/>
        </w:rPr>
        <w:t>3.6 Earnout, rollover, and seller note</w:t>
      </w:r>
    </w:p>
    <w:p>
      <w:pPr>
        <w:widowControl/>
        <w:ind w:firstLine="720"/>
        <w:jc w:val="both"/>
      </w:pPr>
      <w:r>
        <w:t>Any earnout must include objective definitions, a sample, reporting, record access, consistent accounting, dispute resolution, change-of-control treatment, acceleration, and a covenant against actions primarily intended to avoid payment. Rollover terms must identify issuer, class, capitalization, dilution, governance, information, transfer, repurchase, liquidity, drag, tag, Tax, and securities-law rights. A seller note must state principal, interest, maturity, amortization, security, guaranty, subordination, default, cure, acceleration, setoff, and amendment terms. These arrangements are separate from employment unless expressly integrated.</w:t>
      </w:r>
    </w:p>
    <w:p>
      <w:pPr>
        <w:pStyle w:val="Heading2"/>
        <w:widowControl/>
        <w:ind w:left="0" w:firstLine="0"/>
      </w:pPr>
      <w:r>
        <w:rPr>
          <w:rFonts w:ascii="Times New Roman" w:hAnsi="Times New Roman"/>
          <w:b/>
          <w:sz w:val="22"/>
          <w:u w:val="single"/>
        </w:rPr>
        <w:t>4. Company Representations and Warranties</w:t>
      </w:r>
    </w:p>
    <w:p>
      <w:pPr>
        <w:widowControl/>
        <w:ind w:firstLine="720"/>
        <w:jc w:val="both"/>
      </w:pPr>
      <w:r>
        <w:t>Except as disclosed in the Company Disclosure Schedules, the Company represents to Buyer as of signing and, subject to Section 8.2, Closing as follows.</w:t>
      </w:r>
    </w:p>
    <w:p>
      <w:pPr>
        <w:pStyle w:val="Heading3"/>
        <w:widowControl/>
        <w:ind w:left="0" w:firstLine="0"/>
      </w:pPr>
      <w:r>
        <w:rPr>
          <w:rFonts w:ascii="Times New Roman" w:hAnsi="Times New Roman"/>
          <w:b/>
          <w:sz w:val="22"/>
          <w:u w:val="single"/>
        </w:rPr>
        <w:t>4.1 Organization, authority, and subsidiaries</w:t>
      </w:r>
    </w:p>
    <w:p>
      <w:pPr>
        <w:widowControl/>
        <w:ind w:firstLine="720"/>
        <w:jc w:val="both"/>
      </w:pPr>
      <w:r>
        <w:t>The Company is duly organized, validly existing, and in good standing where that concept applies. It has power to own its assets, operate its business, execute the transaction documents, and perform them. Schedule 4.1 lists every subsidiary, jurisdiction, ownership interest, assumed name, and qualification material to the business. Required corporate actions are complete except those expressly identified on Schedule 4.1.</w:t>
      </w:r>
    </w:p>
    <w:p>
      <w:pPr>
        <w:pStyle w:val="Heading3"/>
        <w:widowControl/>
        <w:ind w:left="0" w:firstLine="0"/>
      </w:pPr>
      <w:r>
        <w:rPr>
          <w:rFonts w:ascii="Times New Roman" w:hAnsi="Times New Roman"/>
          <w:b/>
          <w:sz w:val="22"/>
          <w:u w:val="single"/>
        </w:rPr>
        <w:t>4.2 Capitalization</w:t>
      </w:r>
    </w:p>
    <w:p>
      <w:pPr>
        <w:widowControl/>
        <w:ind w:firstLine="720"/>
        <w:jc w:val="both"/>
      </w:pPr>
      <w:r>
        <w:t>Schedule 4.2 states authorized, issued, outstanding, reserved, and treasury shares by class and series; each record holder; and every option, warrant, restricted award, SAFE, note, phantom right, promised grant, repurchase right, proxy, voting arrangement, and other equity-linked obligation. Outstanding shares were duly authorized, validly issued, fully paid, and nonassessable. Except as scheduled, no person has a right to issue, redeem, repurchase, register, vote, or restrict transfer of a Company security.</w:t>
      </w:r>
    </w:p>
    <w:p>
      <w:pPr>
        <w:pStyle w:val="Heading3"/>
        <w:widowControl/>
        <w:ind w:left="0" w:firstLine="0"/>
      </w:pPr>
      <w:r>
        <w:rPr>
          <w:rFonts w:ascii="Times New Roman" w:hAnsi="Times New Roman"/>
          <w:b/>
          <w:sz w:val="22"/>
          <w:u w:val="single"/>
        </w:rPr>
        <w:t>4.3 No conflict and consents</w:t>
      </w:r>
    </w:p>
    <w:p>
      <w:pPr>
        <w:widowControl/>
        <w:ind w:firstLine="720"/>
        <w:jc w:val="both"/>
      </w:pPr>
      <w:r>
        <w:t>Execution and performance do not violate the Company’s governing documents, applicable law, or a Material Contract or create a material lien, termination, acceleration, payment, consent, or notice right, except as disclosed and except for failures not reasonably expected to be material. Required governmental and third-party consents, notices, waivers, and filings are listed on Schedule 4.3.</w:t>
      </w:r>
    </w:p>
    <w:p>
      <w:pPr>
        <w:pStyle w:val="Heading3"/>
        <w:widowControl/>
        <w:ind w:left="0" w:firstLine="0"/>
      </w:pPr>
      <w:r>
        <w:rPr>
          <w:rFonts w:ascii="Times New Roman" w:hAnsi="Times New Roman"/>
          <w:b/>
          <w:sz w:val="22"/>
          <w:u w:val="single"/>
        </w:rPr>
        <w:t>4.4 Financial statements and liabilities</w:t>
      </w:r>
    </w:p>
    <w:p>
      <w:pPr>
        <w:widowControl/>
        <w:ind w:firstLine="720"/>
        <w:jc w:val="both"/>
      </w:pPr>
      <w:r>
        <w:t>The scheduled financial statements were prepared from the Company’s books using the stated accounting basis consistently applied and fairly present in all material respects the periods shown, subject in interim statements to normal year-end adjustments and omitted notes. The Company has no liability required to be reflected under that basis except as reflected, reserved, incurred in the ordinary course since the balance-sheet date, arising under an executory contract other than breach, incurred for the transaction, or scheduled.</w:t>
      </w:r>
    </w:p>
    <w:p>
      <w:pPr>
        <w:pStyle w:val="Heading3"/>
        <w:widowControl/>
        <w:ind w:left="0" w:firstLine="0"/>
      </w:pPr>
      <w:r>
        <w:rPr>
          <w:rFonts w:ascii="Times New Roman" w:hAnsi="Times New Roman"/>
          <w:b/>
          <w:sz w:val="22"/>
          <w:u w:val="single"/>
        </w:rPr>
        <w:t>4.5 Absence of specified changes</w:t>
      </w:r>
    </w:p>
    <w:p>
      <w:pPr>
        <w:widowControl/>
        <w:ind w:firstLine="720"/>
        <w:jc w:val="both"/>
      </w:pPr>
      <w:r>
        <w:t>Since [DATE], no Material Adverse Effect has occurred. Except as scheduled, the Company has operated in the ordinary course in all material respects and has not taken an action that would require Buyer consent under Section 6.1 if taken after signing.</w:t>
      </w:r>
    </w:p>
    <w:p>
      <w:pPr>
        <w:pStyle w:val="Heading3"/>
        <w:widowControl/>
        <w:ind w:left="0" w:firstLine="0"/>
      </w:pPr>
      <w:r>
        <w:rPr>
          <w:rFonts w:ascii="Times New Roman" w:hAnsi="Times New Roman"/>
          <w:b/>
          <w:sz w:val="22"/>
          <w:u w:val="single"/>
        </w:rPr>
        <w:t>4.6 Material contracts, customers, and suppliers</w:t>
      </w:r>
    </w:p>
    <w:p>
      <w:pPr>
        <w:widowControl/>
        <w:ind w:firstLine="720"/>
        <w:jc w:val="both"/>
      </w:pPr>
      <w:r>
        <w:t>Schedule 4.6 lists contracts meeting the agreed categories and thresholds, including debt, real-estate, IP, data, AI, privacy, top customer and supplier, distribution, exclusivity, most-favored terms, noncompetition, change-of-control, related-party, government, settlement, acquisition, and unusual indemnity contracts. Each is valid and binding subject to enforceability limitations. The Company has not received unresolved written notice of material default, termination, nonrenewal, or material reduction except as scheduled.</w:t>
      </w:r>
    </w:p>
    <w:p>
      <w:pPr>
        <w:pStyle w:val="Heading3"/>
        <w:widowControl/>
        <w:ind w:left="0" w:firstLine="0"/>
      </w:pPr>
      <w:r>
        <w:rPr>
          <w:rFonts w:ascii="Times New Roman" w:hAnsi="Times New Roman"/>
          <w:b/>
          <w:sz w:val="22"/>
          <w:u w:val="single"/>
        </w:rPr>
        <w:t>4.7 Intellectual property, technology, open source, and AI</w:t>
      </w:r>
    </w:p>
    <w:p>
      <w:pPr>
        <w:widowControl/>
        <w:ind w:firstLine="720"/>
        <w:jc w:val="both"/>
      </w:pPr>
      <w:r>
        <w:t>Schedule 4.7 lists registered and material Company-owned IP, material licenses, assignments, domains, social accounts, open-source components with material obligations, AI models and material training or evaluation datasets, and unresolved claims. The Company owns or validly uses IP material to its current business. Each founder, employee, and contractor who created material Company IP executed a confidentiality and invention-assignment agreement, subject to scheduled exceptions. To Knowledge, current operations do not materially infringe another Person’s enforceable rights. The Company has not knowingly used open-source code, data, or model output in a way requiring disclosure or licensing of proprietary source code beyond disclosed obligations.</w:t>
      </w:r>
    </w:p>
    <w:p>
      <w:pPr>
        <w:pStyle w:val="Heading3"/>
        <w:widowControl/>
        <w:ind w:left="0" w:firstLine="0"/>
      </w:pPr>
      <w:r>
        <w:rPr>
          <w:rFonts w:ascii="Times New Roman" w:hAnsi="Times New Roman"/>
          <w:b/>
          <w:sz w:val="22"/>
          <w:u w:val="single"/>
        </w:rPr>
        <w:t>4.8 Privacy and cybersecurity</w:t>
      </w:r>
    </w:p>
    <w:p>
      <w:pPr>
        <w:widowControl/>
        <w:ind w:firstLine="720"/>
        <w:jc w:val="both"/>
      </w:pPr>
      <w:r>
        <w:t>During the [three]-year lookback, the Company materially complied with applicable privacy and cybersecurity laws, binding contracts, and published notices. It maintains safeguards reasonably appropriate to its data and operations. Schedule 4.8 lists material incidents, notices, investigations, claims, audits, and unresolved remediation. To Knowledge, no unauthorized access or acquisition requiring an unmade notice has occurred.</w:t>
      </w:r>
    </w:p>
    <w:p>
      <w:pPr>
        <w:pStyle w:val="Heading3"/>
        <w:widowControl/>
        <w:ind w:left="0" w:firstLine="0"/>
      </w:pPr>
      <w:r>
        <w:rPr>
          <w:rFonts w:ascii="Times New Roman" w:hAnsi="Times New Roman"/>
          <w:b/>
          <w:sz w:val="22"/>
          <w:u w:val="single"/>
        </w:rPr>
        <w:t>4.9 Personnel and benefits</w:t>
      </w:r>
    </w:p>
    <w:p>
      <w:pPr>
        <w:widowControl/>
        <w:ind w:firstLine="720"/>
        <w:jc w:val="both"/>
      </w:pPr>
      <w:r>
        <w:t>Schedule 4.9 lists employees and individual contractors, work location, classification, compensation, accrued time, leave, work authorization, commissions, bonuses, severance, change-in-control rights, and outstanding offers. The Company materially complied with applicable employment laws and paid compensation due, subject to scheduled disputes. Each material benefit plan is listed. Potential Sections 280G and 409A arrangements are identified for specialist review; no individual Tax result is represented.</w:t>
      </w:r>
    </w:p>
    <w:p>
      <w:pPr>
        <w:pStyle w:val="Heading3"/>
        <w:widowControl/>
        <w:ind w:left="0" w:firstLine="0"/>
      </w:pPr>
      <w:r>
        <w:rPr>
          <w:rFonts w:ascii="Times New Roman" w:hAnsi="Times New Roman"/>
          <w:b/>
          <w:sz w:val="22"/>
          <w:u w:val="single"/>
        </w:rPr>
        <w:t>4.10 Taxes</w:t>
      </w:r>
    </w:p>
    <w:p>
      <w:pPr>
        <w:widowControl/>
        <w:ind w:firstLine="720"/>
        <w:jc w:val="both"/>
      </w:pPr>
      <w:r>
        <w:t>The Company timely filed material Tax returns required to be filed and paid material Taxes due, subject to valid extensions and scheduled contests. Returns are correct in all material respects. Schedule 4.10 identifies audits, assessments, nexus, remote-work, sales and use Tax, payroll, Tax-sharing, deferred revenue, elections, and claimed Section 1202 status. No representation guarantees QSBS treatment to a Seller.</w:t>
      </w:r>
    </w:p>
    <w:p>
      <w:pPr>
        <w:pStyle w:val="Heading3"/>
        <w:widowControl/>
        <w:ind w:left="0" w:firstLine="0"/>
      </w:pPr>
      <w:r>
        <w:rPr>
          <w:rFonts w:ascii="Times New Roman" w:hAnsi="Times New Roman"/>
          <w:b/>
          <w:sz w:val="22"/>
          <w:u w:val="single"/>
        </w:rPr>
        <w:t>4.11 Compliance, litigation, insurance, and brokers</w:t>
      </w:r>
    </w:p>
    <w:p>
      <w:pPr>
        <w:widowControl/>
        <w:ind w:firstLine="720"/>
        <w:jc w:val="both"/>
      </w:pPr>
      <w:r>
        <w:t>The Company materially complied with applicable laws and permits during the lookback and has not received unresolved written notice of a material violation, except as scheduled. Schedule 4.11 lists material litigation, investigations, orders, insurance policies and claims, anti-bribery, sanctions, export, government-contracting, and industry-regulatory matters. Except for [BROKER], no Person is entitled to a fee from the Company or Sellers based on arrangements made by them.</w:t>
      </w:r>
    </w:p>
    <w:p>
      <w:pPr>
        <w:pStyle w:val="Heading3"/>
        <w:widowControl/>
        <w:ind w:left="0" w:firstLine="0"/>
      </w:pPr>
      <w:r>
        <w:rPr>
          <w:rFonts w:ascii="Times New Roman" w:hAnsi="Times New Roman"/>
          <w:b/>
          <w:sz w:val="22"/>
          <w:u w:val="single"/>
        </w:rPr>
        <w:t>4.12 No other Company representations</w:t>
      </w:r>
    </w:p>
    <w:p>
      <w:pPr>
        <w:widowControl/>
        <w:ind w:firstLine="720"/>
        <w:jc w:val="both"/>
      </w:pPr>
      <w:r>
        <w:t>Except for express representations in this Article and any certificate delivered under Section 8.2, neither the Company nor any other Person makes a representation concerning projections, estimates, data-room materials, management presentations, or future performance. This clause does not limit Fraud as defined in this Agreement or an express covenant.</w:t>
      </w:r>
    </w:p>
    <w:p>
      <w:pPr>
        <w:pStyle w:val="Heading2"/>
        <w:widowControl/>
        <w:ind w:left="0" w:firstLine="0"/>
      </w:pPr>
      <w:r>
        <w:rPr>
          <w:rFonts w:ascii="Times New Roman" w:hAnsi="Times New Roman"/>
          <w:b/>
          <w:sz w:val="22"/>
          <w:u w:val="single"/>
        </w:rPr>
        <w:t>5. Seller Representations and Warranties</w:t>
      </w:r>
    </w:p>
    <w:p>
      <w:pPr>
        <w:keepLines w:val="0"/>
        <w:widowControl/>
        <w:ind w:firstLine="720"/>
        <w:jc w:val="both"/>
      </w:pPr>
      <w:r>
        <w:t>Each Seller severally, only as to that Seller, represents that: the Seller has authority and capacity to enter into this Agreement; this Agreement is binding subject to enforceability limitations; the Seller owns the Purchased Shares listed for that Seller free of liens other than scheduled restrictions; the Seller has not granted an inconsistent proxy, option, transfer right, or brokerage entitlement; required spouse, trust, entity, and governing-document approvals are identified; and the Seller is not subject to an order that prevents performance. No Seller makes a Company-level representation merely because the Seller is a founder, officer, director, employee, or investor.</w:t>
      </w:r>
    </w:p>
    <w:p>
      <w:pPr>
        <w:pStyle w:val="Heading2"/>
        <w:widowControl/>
        <w:ind w:left="0" w:firstLine="0"/>
      </w:pPr>
      <w:r>
        <w:rPr>
          <w:rFonts w:ascii="Times New Roman" w:hAnsi="Times New Roman"/>
          <w:b/>
          <w:sz w:val="22"/>
          <w:u w:val="single"/>
        </w:rPr>
        <w:t>6. Covenants</w:t>
      </w:r>
    </w:p>
    <w:p>
      <w:pPr>
        <w:pStyle w:val="Heading3"/>
        <w:widowControl/>
        <w:ind w:left="0" w:firstLine="0"/>
      </w:pPr>
      <w:r>
        <w:rPr>
          <w:rFonts w:ascii="Times New Roman" w:hAnsi="Times New Roman"/>
          <w:b/>
          <w:sz w:val="22"/>
          <w:u w:val="single"/>
        </w:rPr>
        <w:t>6.1 Interim operations</w:t>
      </w:r>
    </w:p>
    <w:p>
      <w:pPr>
        <w:widowControl/>
        <w:ind w:firstLine="720"/>
        <w:jc w:val="both"/>
      </w:pPr>
      <w:r>
        <w:t>Until Closing, the Company will operate in the ordinary course in all material respects and preserve material relationships. Without Buyer’s consent, not to be unreasonably withheld, conditioned, or delayed, it will not take the actions listed on Schedule 6.1. Consent is deemed given if Buyer does not respond within [two] Business Days to a complete request, except for equity issuances, distributions, indebtedness, acquisitions, dispositions, or amendments to governing documents. The covenant will not require breach of law, fiduciary duty, contract, or emergency action reasonably taken to protect people, systems, or assets after prompt notice.</w:t>
      </w:r>
    </w:p>
    <w:p>
      <w:pPr>
        <w:pStyle w:val="Heading3"/>
        <w:widowControl/>
        <w:ind w:left="0" w:firstLine="0"/>
      </w:pPr>
      <w:r>
        <w:rPr>
          <w:rFonts w:ascii="Times New Roman" w:hAnsi="Times New Roman"/>
          <w:b/>
          <w:sz w:val="22"/>
          <w:u w:val="single"/>
        </w:rPr>
        <w:t>6.2 Access, confidentiality, and clean teams</w:t>
      </w:r>
    </w:p>
    <w:p>
      <w:pPr>
        <w:widowControl/>
        <w:ind w:firstLine="720"/>
        <w:jc w:val="both"/>
      </w:pPr>
      <w:r>
        <w:t>The Company will provide reasonable diligence access during normal operations without unreasonable disruption. Buyer will comply with the confidentiality agreement, data-room rules, privilege protections, antitrust clean-team protocols, privacy law, and cybersecurity controls. Buyer may not contact employees, customers, suppliers, regulators, or lenders without prior Company coordination. No diligence access expands a representation or transfers operational control before Closing.</w:t>
      </w:r>
    </w:p>
    <w:p>
      <w:pPr>
        <w:pStyle w:val="Heading3"/>
        <w:widowControl/>
        <w:ind w:left="0" w:firstLine="0"/>
      </w:pPr>
      <w:r>
        <w:rPr>
          <w:rFonts w:ascii="Times New Roman" w:hAnsi="Times New Roman"/>
          <w:b/>
          <w:sz w:val="22"/>
          <w:u w:val="single"/>
        </w:rPr>
        <w:t>6.3 Efforts, consents, and regulatory matters</w:t>
      </w:r>
    </w:p>
    <w:p>
      <w:pPr>
        <w:keepLines w:val="0"/>
        <w:widowControl/>
        <w:ind w:firstLine="720"/>
        <w:jc w:val="both"/>
      </w:pPr>
      <w:r>
        <w:t>Each party will use [reasonable best efforts / commercially reasonable efforts] to satisfy conditions. The regulatory-risk schedule must allocate filings, timing, control of strategy, responses, litigation, divestiture or behavioral commitments, cost limits, and cooperation. Buyer may not invoke a condition it materially caused to fail. HSR, CFIUS, foreign-investment, industry, securities, and other filings remain subject to current specialist review.</w:t>
      </w:r>
    </w:p>
    <w:p>
      <w:pPr>
        <w:pStyle w:val="Heading3"/>
        <w:widowControl/>
        <w:ind w:left="0" w:firstLine="0"/>
      </w:pPr>
      <w:r>
        <w:rPr>
          <w:rFonts w:ascii="Times New Roman" w:hAnsi="Times New Roman"/>
          <w:b/>
          <w:sz w:val="22"/>
          <w:u w:val="single"/>
        </w:rPr>
        <w:t>6.4 Exclusivity</w:t>
      </w:r>
    </w:p>
    <w:p>
      <w:pPr>
        <w:widowControl/>
        <w:ind w:firstLine="720"/>
        <w:jc w:val="both"/>
      </w:pPr>
      <w:r>
        <w:t>During the agreed period, the Company and Sellers will not knowingly solicit or enter into an Alternative Transaction, except for the fiduciary-duty and unsolicited-proposal procedures selected in Schedule 6.4. The definition, persons covered, existing-contact process, notice, information parity, match right, and termination must be explicit. This Section expires automatically on termination of this Agreement.</w:t>
      </w:r>
    </w:p>
    <w:p>
      <w:pPr>
        <w:pStyle w:val="Heading3"/>
        <w:widowControl/>
        <w:ind w:left="0" w:firstLine="0"/>
      </w:pPr>
      <w:r>
        <w:rPr>
          <w:rFonts w:ascii="Times New Roman" w:hAnsi="Times New Roman"/>
          <w:b/>
          <w:sz w:val="22"/>
          <w:u w:val="single"/>
        </w:rPr>
        <w:t>6.5 Employee and founder arrangements</w:t>
      </w:r>
    </w:p>
    <w:p>
      <w:pPr>
        <w:keepLines w:val="0"/>
        <w:widowControl/>
        <w:ind w:firstLine="720"/>
        <w:jc w:val="both"/>
      </w:pPr>
      <w:r>
        <w:t>Buyer will provide the employee-benefit treatment stated on Schedule 6.5, including service credit, deductible credit, and severance treatment, subject to plan terms and law. Employment, retention, consulting, restrictive-covenant, and rollover arrangements are separate agreements and are not conditions to payment of stock consideration unless the acquisition agreement and applicable law expressly permit that result.</w:t>
      </w:r>
    </w:p>
    <w:p>
      <w:pPr>
        <w:pStyle w:val="Heading3"/>
        <w:widowControl/>
        <w:ind w:left="0" w:firstLine="0"/>
      </w:pPr>
      <w:r>
        <w:rPr>
          <w:rFonts w:ascii="Times New Roman" w:hAnsi="Times New Roman"/>
          <w:b/>
          <w:sz w:val="22"/>
          <w:u w:val="single"/>
        </w:rPr>
        <w:t>6.6 Taxes, records, D&amp;O, privilege, and publicity</w:t>
      </w:r>
    </w:p>
    <w:p>
      <w:pPr>
        <w:keepLines w:val="0"/>
        <w:widowControl/>
        <w:ind w:firstLine="720"/>
        <w:jc w:val="both"/>
      </w:pPr>
      <w:r>
        <w:t>The parties will allocate transfer Taxes, straddle-period Taxes, refunds, audits, cooperation, elections, and filing control under Schedule 6.6. Buyer will preserve records for [seven] years and provide reasonable access. Buyer will maintain D&amp;O tail coverage for [six] years at no less favorable terms subject to the agreed premium cap and honor existing indemnification rights to the fullest lawful extent. The parties will implement the negotiated privilege and control-of-counsel arrangement, including any seller-group privilege. Public statements require joint approval except where law requires disclosure after consultation.</w:t>
      </w:r>
    </w:p>
    <w:p>
      <w:pPr>
        <w:pStyle w:val="Heading2"/>
        <w:widowControl/>
        <w:ind w:left="0" w:firstLine="0"/>
      </w:pPr>
      <w:r>
        <w:rPr>
          <w:rFonts w:ascii="Times New Roman" w:hAnsi="Times New Roman"/>
          <w:b/>
          <w:sz w:val="22"/>
          <w:u w:val="single"/>
        </w:rPr>
        <w:t>7. Indemnification and Remedies</w:t>
      </w:r>
    </w:p>
    <w:p>
      <w:pPr>
        <w:pStyle w:val="Heading3"/>
        <w:widowControl/>
        <w:ind w:left="0" w:firstLine="0"/>
      </w:pPr>
      <w:r>
        <w:rPr>
          <w:rFonts w:ascii="Times New Roman" w:hAnsi="Times New Roman"/>
          <w:b/>
          <w:sz w:val="22"/>
          <w:u w:val="single"/>
        </w:rPr>
        <w:t>7.1 Selected recourse model</w:t>
      </w:r>
    </w:p>
    <w:p>
      <w:pPr>
        <w:widowControl/>
        <w:ind w:firstLine="720"/>
        <w:jc w:val="both"/>
      </w:pPr>
      <w:r>
        <w:t xml:space="preserve">Schedule 7.1 must select one integrated model: </w:t>
      </w:r>
      <w:r>
        <w:rPr>
          <w:b/>
        </w:rPr>
        <w:t>RWI/no seller recourse</w:t>
      </w:r>
      <w:r>
        <w:t xml:space="preserve">, </w:t>
      </w:r>
      <w:r>
        <w:rPr>
          <w:b/>
        </w:rPr>
        <w:t>traditional indemnity</w:t>
      </w:r>
      <w:r>
        <w:t xml:space="preserve">, or </w:t>
      </w:r>
      <w:r>
        <w:rPr>
          <w:b/>
        </w:rPr>
        <w:t>hybrid</w:t>
      </w:r>
      <w:r>
        <w:t>. It must identify retention, policy exclusions, survival, deductible or tipping basket, cap, escrow, special indemnities, fundamental representations, covenant claims, Tax claims, recovery order, subrogation waiver, and any permitted setoff. Unselected alternatives must be deleted.</w:t>
      </w:r>
    </w:p>
    <w:p>
      <w:pPr>
        <w:pStyle w:val="Heading3"/>
        <w:widowControl/>
        <w:ind w:left="0" w:firstLine="0"/>
      </w:pPr>
      <w:r>
        <w:rPr>
          <w:rFonts w:ascii="Times New Roman" w:hAnsi="Times New Roman"/>
          <w:b/>
          <w:sz w:val="22"/>
          <w:u w:val="single"/>
        </w:rPr>
        <w:t>7.2 Several liability and limitations</w:t>
      </w:r>
    </w:p>
    <w:p>
      <w:pPr>
        <w:widowControl/>
        <w:ind w:firstLine="720"/>
        <w:jc w:val="both"/>
      </w:pPr>
      <w:r>
        <w:t>No Seller is jointly liable for another Seller’s breach. A Seller’s maximum liability is [that Seller’s proceeds / AGREED CAP], except for that Seller’s Fraud or knowing breach of that Seller’s title or authority representation. Company representation claims are allocated by Pro Rata Share and recovered only from the agreed source. Losses exclude punitive, exemplary, remote, speculative, and multiplied damages except amounts paid to third parties; diminution in value may not be calculated using a multiple unless expressly agreed.</w:t>
      </w:r>
    </w:p>
    <w:p>
      <w:pPr>
        <w:pStyle w:val="Heading3"/>
        <w:widowControl/>
        <w:ind w:left="0" w:firstLine="0"/>
      </w:pPr>
      <w:r>
        <w:rPr>
          <w:rFonts w:ascii="Times New Roman" w:hAnsi="Times New Roman"/>
          <w:b/>
          <w:sz w:val="22"/>
          <w:u w:val="single"/>
        </w:rPr>
        <w:t>7.3 Claims procedure</w:t>
      </w:r>
    </w:p>
    <w:p>
      <w:pPr>
        <w:widowControl/>
        <w:ind w:firstLine="720"/>
        <w:jc w:val="both"/>
      </w:pPr>
      <w:r>
        <w:t>A direct claim notice must state the provision, known facts, good-faith estimate, and supporting material reasonably available. Failure to give prompt notice reduces liability only to the extent of material prejudice. For third-party claims, the indemnifying party may control the defense with qualified counsel unless conflicts, equitable relief, criminal exposure, material reputational risk, or an amount above available recourse makes Seller Representative control inappropriate. No settlement may admit wrongdoing, impose nonmonetary obligations, or leave unreleased liability without consent.</w:t>
      </w:r>
    </w:p>
    <w:p>
      <w:pPr>
        <w:pStyle w:val="Heading3"/>
        <w:widowControl/>
        <w:ind w:left="0" w:firstLine="0"/>
      </w:pPr>
      <w:r>
        <w:rPr>
          <w:rFonts w:ascii="Times New Roman" w:hAnsi="Times New Roman"/>
          <w:b/>
          <w:sz w:val="22"/>
          <w:u w:val="single"/>
        </w:rPr>
        <w:t>7.4 Exclusive remedy and no recourse</w:t>
      </w:r>
    </w:p>
    <w:p>
      <w:pPr>
        <w:widowControl/>
        <w:ind w:firstLine="720"/>
        <w:jc w:val="both"/>
      </w:pPr>
      <w:r>
        <w:t>After Closing, the remedies in this Article, the purchase-price adjustment, specific performance, and express ancillary-agreement remedies are exclusive for claims arising from the transaction. No claim may be asserted against a nonparty financing source, equityholder, employee, advisor, or Affiliate except an express contractual claim against a named party or a claim for that Person’s Fraud. Nothing limits nonwaivable rights.</w:t>
      </w:r>
    </w:p>
    <w:p>
      <w:pPr>
        <w:pStyle w:val="Heading3"/>
        <w:widowControl/>
        <w:ind w:left="0" w:firstLine="0"/>
      </w:pPr>
      <w:r>
        <w:rPr>
          <w:rFonts w:ascii="Times New Roman" w:hAnsi="Times New Roman"/>
          <w:b/>
          <w:sz w:val="22"/>
          <w:u w:val="single"/>
        </w:rPr>
        <w:t>7.5 Sandbagging and mitigation</w:t>
      </w:r>
    </w:p>
    <w:p>
      <w:pPr>
        <w:widowControl/>
        <w:ind w:firstLine="720"/>
        <w:jc w:val="both"/>
      </w:pPr>
      <w:r>
        <w:t>[[SELECT: Buyer’s pre-Closing knowledge does not bar an express claim / Buyer may not recover for a matter actually known by the named individuals before signing unless expressly reserved]]. A claimant will use commercially reasonable efforts to mitigate and pursue available insurance, indemnity, and tax benefits. Recoveries are net of actual insurance and Tax benefits realized, reasonable collection costs, and subsequent reversals.</w:t>
      </w:r>
    </w:p>
    <w:p>
      <w:pPr>
        <w:pStyle w:val="Heading2"/>
        <w:widowControl/>
        <w:ind w:left="0" w:firstLine="0"/>
      </w:pPr>
      <w:r>
        <w:rPr>
          <w:rFonts w:ascii="Times New Roman" w:hAnsi="Times New Roman"/>
          <w:b/>
          <w:sz w:val="22"/>
          <w:u w:val="single"/>
        </w:rPr>
        <w:t>8. Closing Conditions</w:t>
      </w:r>
    </w:p>
    <w:p>
      <w:pPr>
        <w:pStyle w:val="Heading3"/>
        <w:widowControl/>
        <w:ind w:left="0" w:firstLine="0"/>
      </w:pPr>
      <w:r>
        <w:rPr>
          <w:rFonts w:ascii="Times New Roman" w:hAnsi="Times New Roman"/>
          <w:b/>
          <w:sz w:val="22"/>
          <w:u w:val="single"/>
        </w:rPr>
        <w:t>8.1 Conditions to all parties</w:t>
      </w:r>
    </w:p>
    <w:p>
      <w:pPr>
        <w:widowControl/>
        <w:ind w:firstLine="720"/>
        <w:jc w:val="both"/>
      </w:pPr>
      <w:r>
        <w:t>The mutual conditions are: no final nonappealable order prohibits Closing; required approvals listed on Schedule 8.1 are obtained; and the waiting periods expressly identified there expire or terminate. A voluntary agreement with a regulator is treated as an order only if Schedule 8.1 says so.</w:t>
      </w:r>
    </w:p>
    <w:p>
      <w:pPr>
        <w:pStyle w:val="Heading3"/>
        <w:widowControl/>
        <w:ind w:left="0" w:firstLine="0"/>
      </w:pPr>
      <w:r>
        <w:rPr>
          <w:rFonts w:ascii="Times New Roman" w:hAnsi="Times New Roman"/>
          <w:b/>
          <w:sz w:val="22"/>
          <w:u w:val="single"/>
        </w:rPr>
        <w:t>8.2 Buyer conditions</w:t>
      </w:r>
    </w:p>
    <w:p>
      <w:pPr>
        <w:widowControl/>
        <w:ind w:firstLine="720"/>
        <w:jc w:val="both"/>
      </w:pPr>
      <w:r>
        <w:t>Company representations must be true at signing and Closing under the negotiated bring-down standards, disregarding materiality only where expressly stated. The Company and Sellers must perform covenants in all material respects; no Material Adverse Effect must have occurred; and the Company must deliver only the certificates, instruments, consents, payoff evidence, equity cancellations, and other items specifically listed on Schedule 8.2. Receipt of financing, buyer internal approval, or completion of diligence is not a condition.</w:t>
      </w:r>
    </w:p>
    <w:p>
      <w:pPr>
        <w:pStyle w:val="Heading3"/>
        <w:widowControl/>
        <w:ind w:left="0" w:firstLine="0"/>
      </w:pPr>
      <w:r>
        <w:rPr>
          <w:rFonts w:ascii="Times New Roman" w:hAnsi="Times New Roman"/>
          <w:b/>
          <w:sz w:val="22"/>
          <w:u w:val="single"/>
        </w:rPr>
        <w:t>8.3 Seller conditions</w:t>
      </w:r>
    </w:p>
    <w:p>
      <w:pPr>
        <w:keepLines w:val="0"/>
        <w:widowControl/>
        <w:ind w:firstLine="720"/>
        <w:jc w:val="both"/>
      </w:pPr>
      <w:r>
        <w:t>Buyer representations must be true under the agreed bring-down standard; Buyer must perform covenants in all material respects; Buyer must deliver the consideration, escrow funding, rollover instruments, guaranty, certificates, and other items listed on Schedule 8.3; and the payment agent must be operational. Seller conditions may be waived only by the Seller Representative within its express authority.</w:t>
      </w:r>
    </w:p>
    <w:p>
      <w:pPr>
        <w:pStyle w:val="Heading3"/>
        <w:widowControl/>
        <w:ind w:left="0" w:firstLine="0"/>
      </w:pPr>
      <w:r>
        <w:rPr>
          <w:rFonts w:ascii="Times New Roman" w:hAnsi="Times New Roman"/>
          <w:b/>
          <w:sz w:val="22"/>
          <w:u w:val="single"/>
        </w:rPr>
        <w:t>8.4 Frustration and cure</w:t>
      </w:r>
    </w:p>
    <w:p>
      <w:pPr>
        <w:widowControl/>
        <w:ind w:firstLine="720"/>
        <w:jc w:val="both"/>
      </w:pPr>
      <w:r>
        <w:t>A party may not rely on a failed condition caused primarily by its material breach. Before termination for a curable failure, the nonbreaching party will give written notice and a [ten]-Business-Day cure period that does not extend beyond the Outside Date unless agreed.</w:t>
      </w:r>
    </w:p>
    <w:p>
      <w:pPr>
        <w:pStyle w:val="Heading2"/>
        <w:widowControl/>
        <w:ind w:left="0" w:firstLine="0"/>
      </w:pPr>
      <w:r>
        <w:rPr>
          <w:rFonts w:ascii="Times New Roman" w:hAnsi="Times New Roman"/>
          <w:b/>
          <w:sz w:val="22"/>
          <w:u w:val="single"/>
        </w:rPr>
        <w:t>9. Closing</w:t>
      </w:r>
    </w:p>
    <w:p>
      <w:pPr>
        <w:widowControl/>
        <w:ind w:firstLine="720"/>
        <w:jc w:val="both"/>
      </w:pPr>
      <w:r>
        <w:t>Closing occurs remotely at [TIME] [TIME ZONE] on [DATE / second Business Day after conditions], when the designated release coordinators confirm that signatures and funds are released under the closing agenda. Deliveries are deemed simultaneous; none is effective until all release conditions are satisfied or waived. The parties will deliver the items on Schedule 9, including stock powers or electronic transfer evidence, payoff and lien releases, officer and secretary certificates, Tax forms, equity-treatment documents, consents, resignations, escrow or payment-agent instruments, rollover documents, and the verified funds flow.</w:t>
      </w:r>
    </w:p>
    <w:p>
      <w:pPr>
        <w:pStyle w:val="Heading2"/>
        <w:widowControl/>
        <w:ind w:left="0" w:firstLine="0"/>
      </w:pPr>
      <w:r>
        <w:rPr>
          <w:rFonts w:ascii="Times New Roman" w:hAnsi="Times New Roman"/>
          <w:b/>
          <w:sz w:val="22"/>
          <w:u w:val="single"/>
        </w:rPr>
        <w:t>10. Termination</w:t>
      </w:r>
    </w:p>
    <w:p>
      <w:pPr>
        <w:keepLines w:val="0"/>
        <w:widowControl/>
        <w:ind w:firstLine="720"/>
        <w:jc w:val="both"/>
      </w:pPr>
      <w:r>
        <w:t>This Agreement may be terminated before Closing by mutual written consent; by either side if Closing has not occurred by [OUTSIDE DATE], unless that side’s material breach principally caused the failure; by either side for an uncured material breach causing a condition to fail; or under any expressly negotiated regulatory or financing provision. Termination ends obligations except confidentiality, expenses, governing law, dispute resolution, and liability for [Willful Breach / intentional material breach] before termination. Any reverse termination fee, expense reimbursement, limited guaranty, sole-remedy treatment, and specific-performance interaction must be stated in Schedule 10.</w:t>
      </w:r>
    </w:p>
    <w:p>
      <w:pPr>
        <w:pStyle w:val="Heading2"/>
        <w:widowControl/>
        <w:ind w:left="0" w:firstLine="0"/>
      </w:pPr>
      <w:r>
        <w:rPr>
          <w:rFonts w:ascii="Times New Roman" w:hAnsi="Times New Roman"/>
          <w:b/>
          <w:sz w:val="22"/>
          <w:u w:val="single"/>
        </w:rPr>
        <w:t>11. Seller Representative</w:t>
      </w:r>
    </w:p>
    <w:p>
      <w:pPr>
        <w:keepLines w:val="0"/>
        <w:widowControl/>
        <w:ind w:firstLine="720"/>
        <w:jc w:val="both"/>
      </w:pPr>
      <w:r>
        <w:t>Each Seller appoints the Seller Representative as agent to administer adjustments, escrows, claims, settlements, notices, amendments not disproportionately adverse to a Seller, and the representative fund. The appointment is coupled with an interest to the extent permitted by law. The representative may rely on professionals and is liable only for bad faith, gross negligence, or willful misconduct. Sellers reimburse approved costs from the representative fund and then severally by Pro Rata Share, subject to the agreed cap. The representative may not increase a Seller’s liability cap, alter consideration disproportionately, amend a Seller’s personal covenant, or settle a claim based on that Seller’s Fraud without that Seller’s written consent.</w:t>
      </w:r>
    </w:p>
    <w:p>
      <w:pPr>
        <w:widowControl/>
      </w:pPr>
      <w:r>
        <w:br w:type="page"/>
      </w:r>
    </w:p>
    <w:p>
      <w:pPr>
        <w:pStyle w:val="Heading2"/>
        <w:widowControl/>
        <w:ind w:left="0" w:firstLine="0"/>
      </w:pPr>
      <w:r>
        <w:rPr>
          <w:rFonts w:ascii="Times New Roman" w:hAnsi="Times New Roman"/>
          <w:b/>
          <w:sz w:val="22"/>
          <w:u w:val="single"/>
        </w:rPr>
        <w:t>12. Miscellaneous</w:t>
      </w:r>
    </w:p>
    <w:p>
      <w:pPr>
        <w:pStyle w:val="Heading3"/>
        <w:widowControl/>
        <w:ind w:left="0" w:firstLine="0"/>
      </w:pPr>
      <w:r>
        <w:rPr>
          <w:rFonts w:ascii="Times New Roman" w:hAnsi="Times New Roman"/>
          <w:b/>
          <w:sz w:val="22"/>
          <w:u w:val="single"/>
        </w:rPr>
        <w:t>12.1 Notices</w:t>
      </w:r>
    </w:p>
    <w:p>
      <w:pPr>
        <w:widowControl/>
        <w:ind w:firstLine="720"/>
        <w:jc w:val="both"/>
      </w:pPr>
      <w:r>
        <w:t>Notices must be in writing and delivered by personal delivery, nationally recognized overnight courier, or email with confirmation, to the addresses on Schedule 12.1. A litigation notice is not effective solely by email unless receipt is acknowledged.</w:t>
      </w:r>
    </w:p>
    <w:p>
      <w:pPr>
        <w:pStyle w:val="Heading3"/>
        <w:widowControl/>
        <w:ind w:left="0" w:firstLine="0"/>
      </w:pPr>
      <w:r>
        <w:rPr>
          <w:rFonts w:ascii="Times New Roman" w:hAnsi="Times New Roman"/>
          <w:b/>
          <w:sz w:val="22"/>
          <w:u w:val="single"/>
        </w:rPr>
        <w:t>12.2 Confidentiality and announcements</w:t>
      </w:r>
    </w:p>
    <w:p>
      <w:pPr>
        <w:widowControl/>
        <w:ind w:firstLine="720"/>
        <w:jc w:val="both"/>
      </w:pPr>
      <w:r>
        <w:t>The confidentiality agreement survives according to its terms and is superseded only as expressly stated. After Closing, Sellers may retain archival copies required by law or professional obligations subject to confidentiality. No party may use another’s name or marks except as approved or legally required.</w:t>
      </w:r>
    </w:p>
    <w:p>
      <w:pPr>
        <w:pStyle w:val="Heading3"/>
        <w:widowControl/>
        <w:ind w:left="0" w:firstLine="0"/>
      </w:pPr>
      <w:r>
        <w:rPr>
          <w:rFonts w:ascii="Times New Roman" w:hAnsi="Times New Roman"/>
          <w:b/>
          <w:sz w:val="22"/>
          <w:u w:val="single"/>
        </w:rPr>
        <w:t>12.3 Governing law; forum; jury waiver</w:t>
      </w:r>
    </w:p>
    <w:p>
      <w:pPr>
        <w:keepLines w:val="0"/>
        <w:widowControl/>
        <w:ind w:firstLine="720"/>
        <w:jc w:val="both"/>
      </w:pPr>
      <w:r>
        <w:t>This Agreement is governed by [DELAWARE] law without conflict-of-laws rules. Each party submits to exclusive jurisdiction in the [DELAWARE COURT OF CHANCERY, or if it lacks subject-matter jurisdiction, another Delaware state or federal court], waives objection to venue, and waives jury trial to the extent lawful. Service may be made by the notice methods plus any legally required method.</w:t>
      </w:r>
    </w:p>
    <w:p>
      <w:pPr>
        <w:pStyle w:val="Heading3"/>
        <w:widowControl/>
        <w:ind w:left="0" w:firstLine="0"/>
      </w:pPr>
      <w:r>
        <w:rPr>
          <w:rFonts w:ascii="Times New Roman" w:hAnsi="Times New Roman"/>
          <w:b/>
          <w:sz w:val="22"/>
          <w:u w:val="single"/>
        </w:rPr>
        <w:t>12.4 Specific performance</w:t>
      </w:r>
    </w:p>
    <w:p>
      <w:pPr>
        <w:keepLines w:val="0"/>
        <w:widowControl/>
        <w:ind w:firstLine="720"/>
        <w:jc w:val="both"/>
      </w:pPr>
      <w:r>
        <w:t>The parties acknowledge damages may be inadequate and agree that specific performance may be available subject to the express financing and regulatory limitations in Schedule 10. No party must prove actual damages or post bond except as law requires. A party may pursue specific performance and alternative relief, but may not receive duplicative recovery.</w:t>
      </w:r>
    </w:p>
    <w:p>
      <w:pPr>
        <w:pStyle w:val="Heading3"/>
        <w:widowControl/>
        <w:ind w:left="0" w:firstLine="0"/>
      </w:pPr>
      <w:r>
        <w:rPr>
          <w:rFonts w:ascii="Times New Roman" w:hAnsi="Times New Roman"/>
          <w:b/>
          <w:sz w:val="22"/>
          <w:u w:val="single"/>
        </w:rPr>
        <w:t>12.5 Assignment</w:t>
      </w:r>
    </w:p>
    <w:p>
      <w:pPr>
        <w:widowControl/>
        <w:ind w:firstLine="720"/>
        <w:jc w:val="both"/>
      </w:pPr>
      <w:r>
        <w:t>No party may assign this Agreement without consent, except Buyer may assign to an Affiliate or financing source if Buyer remains liable and the assignment does not delay Closing, reduce certainty, or increase Seller Tax or regulatory burden. No assignment expands recourse against a nonparty.</w:t>
      </w:r>
    </w:p>
    <w:p>
      <w:pPr>
        <w:pStyle w:val="Heading3"/>
        <w:widowControl/>
        <w:ind w:left="0" w:firstLine="0"/>
      </w:pPr>
      <w:r>
        <w:rPr>
          <w:rFonts w:ascii="Times New Roman" w:hAnsi="Times New Roman"/>
          <w:b/>
          <w:sz w:val="22"/>
          <w:u w:val="single"/>
        </w:rPr>
        <w:t>12.6 Privilege and conflicts</w:t>
      </w:r>
    </w:p>
    <w:p>
      <w:pPr>
        <w:keepLines w:val="0"/>
        <w:widowControl/>
        <w:ind w:firstLine="720"/>
        <w:jc w:val="both"/>
      </w:pPr>
      <w:r>
        <w:t>The parties must select the treatment of pre-Closing privileged communications involving Company counsel and Sellers, consistent with law and ethics. Any waiver, control, adversity consent, access protocol, and exclusion of post-Closing communications must be express. Nothing requires disclosure of privileged material without an agreed protection.</w:t>
      </w:r>
    </w:p>
    <w:p>
      <w:pPr>
        <w:pStyle w:val="Heading3"/>
        <w:widowControl/>
        <w:ind w:left="0" w:firstLine="0"/>
      </w:pPr>
      <w:r>
        <w:rPr>
          <w:rFonts w:ascii="Times New Roman" w:hAnsi="Times New Roman"/>
          <w:b/>
          <w:sz w:val="22"/>
          <w:u w:val="single"/>
        </w:rPr>
        <w:t>12.7 Entire agreement; amendments; waivers</w:t>
      </w:r>
    </w:p>
    <w:p>
      <w:pPr>
        <w:keepLines w:val="0"/>
        <w:widowControl/>
        <w:ind w:firstLine="720"/>
        <w:jc w:val="both"/>
      </w:pPr>
      <w:r>
        <w:t>This Agreement, schedules, exhibits, and identified transaction documents state the entire agreement on their subjects. An amendment must be signed by Buyer, the Company before Closing, and the Seller Representative, plus any disproportionately affected Seller. Waiver must be written and is limited to the stated instance. Electronic signatures and counterparts are effective.</w:t>
      </w:r>
    </w:p>
    <w:p>
      <w:pPr>
        <w:pStyle w:val="Heading3"/>
        <w:widowControl/>
        <w:ind w:left="0" w:firstLine="0"/>
      </w:pPr>
      <w:r>
        <w:rPr>
          <w:rFonts w:ascii="Times New Roman" w:hAnsi="Times New Roman"/>
          <w:b/>
          <w:sz w:val="22"/>
          <w:u w:val="single"/>
        </w:rPr>
        <w:t>12.8 Severability; no third-party beneficiaries</w:t>
      </w:r>
    </w:p>
    <w:p>
      <w:pPr>
        <w:widowControl/>
        <w:ind w:firstLine="720"/>
        <w:jc w:val="both"/>
      </w:pPr>
      <w:r>
        <w:t>An unenforceable provision will be enforced to the maximum lawful extent or severed without changing essential economics. There are no third-party beneficiaries except expressly identified indemnified persons, D&amp;O indemnitees, financing sources, and nonrecourse parties, each only for the stated provisions.</w:t>
      </w:r>
    </w:p>
    <w:p>
      <w:pPr>
        <w:pStyle w:val="Heading3"/>
        <w:widowControl/>
        <w:ind w:left="0" w:firstLine="0"/>
      </w:pPr>
      <w:r>
        <w:rPr>
          <w:rFonts w:ascii="Times New Roman" w:hAnsi="Times New Roman"/>
          <w:b/>
          <w:sz w:val="22"/>
          <w:u w:val="single"/>
        </w:rPr>
        <w:t>12.9 Expenses</w:t>
      </w:r>
    </w:p>
    <w:p>
      <w:pPr>
        <w:keepLines w:val="0"/>
        <w:widowControl/>
        <w:ind w:firstLine="720"/>
        <w:jc w:val="both"/>
      </w:pPr>
      <w:r>
        <w:t>Each party bears its own expenses except as expressly included in Transaction Expenses or Schedule 10. Seller Representative expenses are administered under Section 11.</w:t>
      </w:r>
    </w:p>
    <w:p>
      <w:pPr>
        <w:pStyle w:val="Heading3"/>
        <w:widowControl/>
        <w:ind w:left="0" w:firstLine="0"/>
      </w:pPr>
      <w:r>
        <w:rPr>
          <w:rFonts w:ascii="Times New Roman" w:hAnsi="Times New Roman"/>
          <w:b/>
          <w:sz w:val="22"/>
          <w:u w:val="single"/>
        </w:rPr>
        <w:t>12.10 Further assurances</w:t>
      </w:r>
    </w:p>
    <w:p>
      <w:pPr>
        <w:widowControl/>
        <w:ind w:firstLine="720"/>
        <w:jc w:val="both"/>
      </w:pPr>
      <w:r>
        <w:t>After Closing, each party will execute reasonable instruments necessary to evidence the share transfer or implement an express obligation, at the requesting party’s cost, provided no instrument expands substantive obligations, liability, or remedies.</w:t>
      </w:r>
    </w:p>
    <w:p>
      <w:pPr>
        <w:widowControl/>
        <w:sectPr>
          <w:headerReference w:type="default" r:id="rId9"/>
          <w:headerReference w:type="first" r:id="rId10"/>
          <w:footerReference w:type="default" r:id="rId11"/>
          <w:footerReference w:type="first" r:id="rId12"/>
          <w:pgSz w:w="12240" w:h="15840"/>
          <w:pgMar w:top="1440" w:right="1440" w:bottom="1440" w:left="1440" w:header="518" w:footer="518" w:gutter="0"/>
          <w:cols w:space="720"/>
          <w:titlePg/>
          <w:docGrid w:linePitch="360"/>
        </w:sectPr>
      </w:pPr>
    </w:p>
    <w:p>
      <w:pPr>
        <w:pStyle w:val="Heading2"/>
        <w:widowControl/>
        <w:ind w:left="0" w:firstLine="0"/>
      </w:pPr>
      <w:r>
        <w:rPr>
          <w:rFonts w:ascii="Times New Roman" w:hAnsi="Times New Roman"/>
          <w:b/>
          <w:sz w:val="22"/>
          <w:u w:val="single"/>
        </w:rPr>
        <w:t>Signature Page</w:t>
      </w:r>
    </w:p>
    <w:tbl>
      <w:tblPr>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4680"/>
        <w:gridCol w:w="4680"/>
      </w:tblGrid>
      <w:tr>
        <w:trPr>
          <w:cantSplit/>
        </w:trPr>
        <w:tc>
          <w:tcPr>
            <w:tcW w:type="dxa" w:w="4392"/>
            <w:vAlign w:val="top"/>
            <w:tcMar>
              <w:top w:w="120" w:type="dxa"/>
              <w:start w:w="80" w:type="dxa"/>
              <w:bottom w:w="240" w:type="dxa"/>
              <w:end w:w="120" w:type="dxa"/>
            </w:tcMar>
            <w:shd w:fill="DCE6F1"/>
          </w:tcPr>
          <w:p>
            <w:pPr>
              <w:keepLines/>
              <w:spacing w:after="0"/>
            </w:pPr>
            <w:r>
              <w:rPr>
                <w:rFonts w:ascii="Times New Roman" w:hAnsi="Times New Roman"/>
                <w:b/>
                <w:sz w:val="22"/>
              </w:rPr>
              <w:t>BUYER:</w:t>
            </w:r>
            <w:r>
              <w:rPr>
                <w:rFonts w:ascii="Times New Roman" w:hAnsi="Times New Roman"/>
                <w:b/>
                <w:sz w:val="22"/>
              </w:rPr>
              <w:t xml:space="preserve"> [BUYER] By: ______________________________</w:t>
            </w:r>
            <w:r>
              <w:rPr>
                <w:rFonts w:ascii="Times New Roman" w:hAnsi="Times New Roman"/>
                <w:b/>
                <w:sz w:val="22"/>
              </w:rPr>
              <w:br/>
            </w:r>
            <w:r>
              <w:rPr>
                <w:rFonts w:ascii="Times New Roman" w:hAnsi="Times New Roman"/>
                <w:b/>
                <w:sz w:val="22"/>
              </w:rPr>
              <w:t>Name: [NAME]</w:t>
            </w:r>
            <w:r>
              <w:rPr>
                <w:rFonts w:ascii="Times New Roman" w:hAnsi="Times New Roman"/>
                <w:b/>
                <w:sz w:val="22"/>
              </w:rPr>
              <w:br/>
            </w:r>
            <w:r>
              <w:rPr>
                <w:rFonts w:ascii="Times New Roman" w:hAnsi="Times New Roman"/>
                <w:b/>
                <w:sz w:val="22"/>
              </w:rPr>
              <w:t>Title: [TITLE]</w:t>
            </w:r>
          </w:p>
        </w:tc>
        <w:tc>
          <w:tcPr>
            <w:tcW w:type="dxa" w:w="4392"/>
            <w:vAlign w:val="top"/>
            <w:tcMar>
              <w:top w:w="120" w:type="dxa"/>
              <w:start w:w="80" w:type="dxa"/>
              <w:bottom w:w="240" w:type="dxa"/>
              <w:end w:w="120" w:type="dxa"/>
            </w:tcMar>
            <w:shd w:fill="DCE6F1"/>
          </w:tcPr>
          <w:p>
            <w:pPr>
              <w:keepLines/>
              <w:spacing w:after="0"/>
            </w:pPr>
            <w:r>
              <w:rPr>
                <w:rFonts w:ascii="Times New Roman" w:hAnsi="Times New Roman"/>
                <w:b/>
                <w:sz w:val="22"/>
              </w:rPr>
              <w:t>COMPANY:</w:t>
            </w:r>
            <w:r>
              <w:rPr>
                <w:rFonts w:ascii="Times New Roman" w:hAnsi="Times New Roman"/>
                <w:b/>
                <w:sz w:val="22"/>
              </w:rPr>
              <w:t xml:space="preserve"> [TARGET COMPANY] By: ______________________________</w:t>
            </w:r>
            <w:r>
              <w:rPr>
                <w:rFonts w:ascii="Times New Roman" w:hAnsi="Times New Roman"/>
                <w:b/>
                <w:sz w:val="22"/>
              </w:rPr>
              <w:br/>
            </w:r>
            <w:r>
              <w:rPr>
                <w:rFonts w:ascii="Times New Roman" w:hAnsi="Times New Roman"/>
                <w:b/>
                <w:sz w:val="22"/>
              </w:rPr>
              <w:t>Name: [NAME]</w:t>
            </w:r>
            <w:r>
              <w:rPr>
                <w:rFonts w:ascii="Times New Roman" w:hAnsi="Times New Roman"/>
                <w:b/>
                <w:sz w:val="22"/>
              </w:rPr>
              <w:br/>
            </w:r>
            <w:r>
              <w:rPr>
                <w:rFonts w:ascii="Times New Roman" w:hAnsi="Times New Roman"/>
                <w:b/>
                <w:sz w:val="22"/>
              </w:rPr>
              <w:t>Title: [TITLE]</w:t>
            </w:r>
          </w:p>
        </w:tc>
      </w:tr>
      <w:tr>
        <w:trPr>
          <w:cantSplit/>
        </w:trPr>
        <w:tc>
          <w:tcPr>
            <w:tcW w:type="dxa" w:w="4392"/>
            <w:vAlign w:val="top"/>
            <w:tcMar>
              <w:top w:w="120" w:type="dxa"/>
              <w:start w:w="80" w:type="dxa"/>
              <w:bottom w:w="240" w:type="dxa"/>
              <w:end w:w="120" w:type="dxa"/>
            </w:tcMar>
          </w:tcPr>
          <w:p>
            <w:pPr>
              <w:keepLines/>
              <w:spacing w:after="0"/>
            </w:pPr>
            <w:r>
              <w:rPr>
                <w:rFonts w:ascii="Times New Roman" w:hAnsi="Times New Roman"/>
                <w:b/>
                <w:sz w:val="22"/>
              </w:rPr>
              <w:t>SELLER REPRESENTATIVE:</w:t>
            </w:r>
            <w:r>
              <w:rPr>
                <w:rFonts w:ascii="Times New Roman" w:hAnsi="Times New Roman"/>
                <w:sz w:val="22"/>
              </w:rPr>
              <w:t xml:space="preserve"> [NAME], solely in the representative capacity stated in this Agreement By: ______________________________</w:t>
            </w:r>
            <w:r>
              <w:rPr>
                <w:rFonts w:ascii="Times New Roman" w:hAnsi="Times New Roman"/>
                <w:sz w:val="22"/>
              </w:rPr>
              <w:br/>
            </w:r>
            <w:r>
              <w:rPr>
                <w:rFonts w:ascii="Times New Roman" w:hAnsi="Times New Roman"/>
                <w:sz w:val="22"/>
              </w:rPr>
              <w:t>Name: [NAME]</w:t>
            </w:r>
          </w:p>
        </w:tc>
        <w:tc>
          <w:tcPr>
            <w:tcW w:type="dxa" w:w="4392"/>
            <w:vAlign w:val="top"/>
            <w:tcMar>
              <w:top w:w="120" w:type="dxa"/>
              <w:start w:w="80" w:type="dxa"/>
              <w:bottom w:w="240" w:type="dxa"/>
              <w:end w:w="120" w:type="dxa"/>
            </w:tcMar>
          </w:tcPr>
          <w:p>
            <w:pPr>
              <w:keepLines/>
              <w:spacing w:after="0"/>
            </w:pPr>
            <w:r>
              <w:rPr>
                <w:rFonts w:ascii="Times New Roman" w:hAnsi="Times New Roman"/>
                <w:b/>
                <w:sz w:val="22"/>
              </w:rPr>
              <w:t>SELLER:</w:t>
            </w:r>
            <w:r>
              <w:rPr>
                <w:rFonts w:ascii="Times New Roman" w:hAnsi="Times New Roman"/>
                <w:sz w:val="22"/>
              </w:rPr>
              <w:t xml:space="preserve"> [SELLER NAME] By: ______________________________</w:t>
            </w:r>
            <w:r>
              <w:rPr>
                <w:rFonts w:ascii="Times New Roman" w:hAnsi="Times New Roman"/>
                <w:sz w:val="22"/>
              </w:rPr>
              <w:br/>
            </w:r>
            <w:r>
              <w:rPr>
                <w:rFonts w:ascii="Times New Roman" w:hAnsi="Times New Roman"/>
                <w:sz w:val="22"/>
              </w:rPr>
              <w:t>Name: [NAME, IF ENTITY]</w:t>
            </w:r>
            <w:r>
              <w:rPr>
                <w:rFonts w:ascii="Times New Roman" w:hAnsi="Times New Roman"/>
                <w:sz w:val="22"/>
              </w:rPr>
              <w:br/>
            </w:r>
            <w:r>
              <w:rPr>
                <w:rFonts w:ascii="Times New Roman" w:hAnsi="Times New Roman"/>
                <w:sz w:val="22"/>
              </w:rPr>
              <w:t>Title: [TITLE, IF ENTITY]</w:t>
            </w:r>
          </w:p>
        </w:tc>
      </w:tr>
    </w:tbl>
    <w:p>
      <w:pPr>
        <w:widowControl/>
        <w:sectPr>
          <w:headerReference w:type="default" r:id="rId13"/>
          <w:headerReference w:type="first" r:id="rId14"/>
          <w:footerReference w:type="default" r:id="rId15"/>
          <w:footerReference w:type="first" r:id="rId16"/>
          <w:pgSz w:w="12240" w:h="15840"/>
          <w:pgMar w:top="1440" w:right="1440" w:bottom="1440" w:left="1440" w:header="518" w:footer="518" w:gutter="0"/>
          <w:cols w:space="720"/>
          <w:docGrid w:linePitch="360"/>
        </w:sectPr>
      </w:pPr>
    </w:p>
    <w:p>
      <w:pPr>
        <w:pStyle w:val="Heading2"/>
        <w:widowControl/>
        <w:spacing w:before="1200"/>
        <w:ind w:left="0" w:firstLine="0"/>
      </w:pPr>
      <w:r>
        <w:rPr>
          <w:rFonts w:ascii="Times New Roman" w:hAnsi="Times New Roman"/>
          <w:b/>
          <w:sz w:val="22"/>
          <w:u w:val="single"/>
        </w:rPr>
        <w:t>Schedules and Exhibits</w:t>
      </w:r>
    </w:p>
    <w:p>
      <w:pPr>
        <w:pStyle w:val="Heading3"/>
        <w:widowControl/>
        <w:ind w:left="0" w:firstLine="0"/>
      </w:pPr>
      <w:r>
        <w:rPr>
          <w:rFonts w:ascii="Times New Roman" w:hAnsi="Times New Roman"/>
          <w:b/>
          <w:sz w:val="22"/>
          <w:u w:val="single"/>
        </w:rPr>
        <w:t>Schedule A Purchased Shares and Consideration Allocation</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170"/>
        <w:gridCol w:w="1170"/>
        <w:gridCol w:w="1170"/>
        <w:gridCol w:w="1170"/>
        <w:gridCol w:w="1170"/>
        <w:gridCol w:w="1170"/>
        <w:gridCol w:w="1170"/>
        <w:gridCol w:w="1170"/>
      </w:tblGrid>
      <w:tr>
        <w:trPr>
          <w:tblHeader w:val="true"/>
          <w:cantSplit/>
        </w:trPr>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Seller</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Security and certificate or book entry</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Shares</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Pro Rata Share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Closing cash</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Escrow and holdback</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Rollover or note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Withholding</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[NAME]</w:t>
            </w:r>
          </w:p>
        </w:tc>
        <w:tc>
          <w:tcPr>
            <w:tcW w:type="dxa" w:w="1170"/>
            <w:vAlign w:val="center"/>
            <w:tcMar>
              <w:top w:w="55" w:type="dxa"/>
              <w:start w:w="70" w:type="dxa"/>
              <w:bottom w:w="55" w:type="dxa"/>
              <w:end w:w="70" w:type="dxa"/>
            </w:tcMar>
          </w:tcPr>
          <w:p>
            <w:pPr>
              <w:spacing w:after="0"/>
            </w:pPr>
            <w:r>
              <w:rPr>
                <w:rFonts w:ascii="Times New Roman" w:hAnsi="Times New Roman"/>
                <w:sz w:val="18"/>
              </w:rPr>
              <w:t>[CLASS / ID]</w:t>
            </w:r>
          </w:p>
        </w:tc>
        <w:tc>
          <w:tcPr>
            <w:tcW w:type="dxa" w:w="1170"/>
            <w:vAlign w:val="center"/>
            <w:tcMar>
              <w:top w:w="55" w:type="dxa"/>
              <w:start w:w="70" w:type="dxa"/>
              <w:bottom w:w="55" w:type="dxa"/>
              <w:end w:w="70" w:type="dxa"/>
            </w:tcMar>
          </w:tcPr>
          <w:p>
            <w:pPr>
              <w:spacing w:after="0"/>
            </w:pPr>
            <w:r>
              <w:rPr>
                <w:rFonts w:ascii="Times New Roman" w:hAnsi="Times New Roman"/>
                <w:sz w:val="18"/>
              </w:rPr>
              <w:t>[#]</w:t>
            </w:r>
          </w:p>
        </w:tc>
        <w:tc>
          <w:tcPr>
            <w:tcW w:type="dxa" w:w="1170"/>
            <w:vAlign w:val="center"/>
            <w:tcMar>
              <w:top w:w="55" w:type="dxa"/>
              <w:start w:w="70" w:type="dxa"/>
              <w:bottom w:w="55" w:type="dxa"/>
              <w:end w:w="70" w:type="dxa"/>
            </w:tcMar>
          </w:tcPr>
          <w:p>
            <w:pPr>
              <w:spacing w:after="0"/>
            </w:pPr>
            <w:r>
              <w:rPr>
                <w:rFonts w:ascii="Times New Roman" w:hAnsi="Times New Roman"/>
                <w:sz w:val="18"/>
              </w:rPr>
              <w:t>[%]</w:t>
            </w:r>
          </w:p>
        </w:tc>
        <w:tc>
          <w:tcPr>
            <w:tcW w:type="dxa" w:w="1170"/>
            <w:vAlign w:val="center"/>
            <w:tcMar>
              <w:top w:w="55" w:type="dxa"/>
              <w:start w:w="70" w:type="dxa"/>
              <w:bottom w:w="55" w:type="dxa"/>
              <w:end w:w="70" w:type="dxa"/>
            </w:tcMar>
          </w:tcPr>
          <w:p>
            <w:pPr>
              <w:spacing w:after="0"/>
            </w:pPr>
            <w:r>
              <w:rPr>
                <w:rFonts w:ascii="Times New Roman" w:hAnsi="Times New Roman"/>
                <w:sz w:val="18"/>
              </w:rPr>
              <w:t>[$]</w:t>
            </w:r>
          </w:p>
        </w:tc>
        <w:tc>
          <w:tcPr>
            <w:tcW w:type="dxa" w:w="1170"/>
            <w:vAlign w:val="center"/>
            <w:tcMar>
              <w:top w:w="55" w:type="dxa"/>
              <w:start w:w="70" w:type="dxa"/>
              <w:bottom w:w="55" w:type="dxa"/>
              <w:end w:w="70" w:type="dxa"/>
            </w:tcMar>
          </w:tcPr>
          <w:p>
            <w:pPr>
              <w:spacing w:after="0"/>
            </w:pPr>
            <w:r>
              <w:rPr>
                <w:rFonts w:ascii="Times New Roman" w:hAnsi="Times New Roman"/>
                <w:sz w:val="18"/>
              </w:rPr>
              <w:t>[$]</w:t>
            </w:r>
          </w:p>
        </w:tc>
        <w:tc>
          <w:tcPr>
            <w:tcW w:type="dxa" w:w="1170"/>
            <w:vAlign w:val="center"/>
            <w:tcMar>
              <w:top w:w="55" w:type="dxa"/>
              <w:start w:w="70" w:type="dxa"/>
              <w:bottom w:w="55" w:type="dxa"/>
              <w:end w:w="70" w:type="dxa"/>
            </w:tcMar>
          </w:tcPr>
          <w:p>
            <w:pPr>
              <w:spacing w:after="0"/>
            </w:pPr>
            <w:r>
              <w:rPr>
                <w:rFonts w:ascii="Times New Roman" w:hAnsi="Times New Roman"/>
                <w:sz w:val="18"/>
              </w:rPr>
              <w:t>[$ / TERMS]</w:t>
            </w:r>
          </w:p>
        </w:tc>
        <w:tc>
          <w:tcPr>
            <w:tcW w:type="dxa" w:w="1170"/>
            <w:vAlign w:val="center"/>
            <w:tcMar>
              <w:top w:w="55" w:type="dxa"/>
              <w:start w:w="70" w:type="dxa"/>
              <w:bottom w:w="55" w:type="dxa"/>
              <w:end w:w="70" w:type="dxa"/>
            </w:tcMar>
          </w:tcPr>
          <w:p>
            <w:pPr>
              <w:spacing w:after="0"/>
            </w:pPr>
            <w:r>
              <w:rPr>
                <w:rFonts w:ascii="Times New Roman" w:hAnsi="Times New Roman"/>
                <w:sz w:val="18"/>
              </w:rPr>
              <w:t>[$ / BASIS]</w:t>
            </w:r>
          </w:p>
        </w:tc>
      </w:tr>
    </w:tbl>
    <w:p>
      <w:pPr>
        <w:widowControl/>
        <w:spacing w:after="20"/>
      </w:pPr>
    </w:p>
    <w:p>
      <w:pPr>
        <w:pStyle w:val="Heading3"/>
        <w:widowControl/>
        <w:ind w:left="0" w:firstLine="0"/>
      </w:pPr>
      <w:r>
        <w:rPr>
          <w:rFonts w:ascii="Times New Roman" w:hAnsi="Times New Roman"/>
          <w:b/>
          <w:sz w:val="22"/>
          <w:u w:val="single"/>
        </w:rPr>
        <w:t>Exhibit A Purchase Price Definitions and Sample Calculation</w:t>
      </w:r>
    </w:p>
    <w:p>
      <w:pPr>
        <w:widowControl/>
        <w:ind w:firstLine="720"/>
        <w:jc w:val="both"/>
      </w:pPr>
      <w:r>
        <w:t>List every Cash, Debt, Transaction Expense, Working Capital, escrow, holdback, representative-fund, rollover, and other line item; state the accounting rule, measurement time, source record, owner, dispute treatment, and explicit exclusions. Attach a populated sample that reconciles enterprise value to each Seller’s payment without double counting.</w:t>
      </w:r>
    </w:p>
    <w:p>
      <w:pPr>
        <w:pStyle w:val="Heading3"/>
        <w:widowControl/>
        <w:ind w:left="0" w:firstLine="0"/>
      </w:pPr>
      <w:r>
        <w:rPr>
          <w:rFonts w:ascii="Times New Roman" w:hAnsi="Times New Roman"/>
          <w:b/>
          <w:sz w:val="22"/>
          <w:u w:val="single"/>
        </w:rPr>
        <w:t>Exhibit B Earnout Rollover and Seller Note Terms</w:t>
      </w:r>
    </w:p>
    <w:p>
      <w:pPr>
        <w:widowControl/>
        <w:ind w:firstLine="720"/>
        <w:jc w:val="both"/>
      </w:pPr>
      <w:r>
        <w:t>Complete only selected modules. Include definitions, cap-table or payment waterfall, operating covenants, reporting, inspection, dispute, setoff, acceleration, liquidity, dilution, governance, security, subordination, Tax, and securities-law terms.</w:t>
      </w:r>
    </w:p>
    <w:p>
      <w:pPr>
        <w:pStyle w:val="Heading3"/>
        <w:widowControl/>
        <w:ind w:left="0" w:firstLine="0"/>
      </w:pPr>
      <w:r>
        <w:rPr>
          <w:rFonts w:ascii="Times New Roman" w:hAnsi="Times New Roman"/>
          <w:b/>
          <w:sz w:val="22"/>
          <w:u w:val="single"/>
        </w:rPr>
        <w:t>Schedule 7.1 Recourse Election Matrix</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337"/>
        <w:gridCol w:w="1337"/>
        <w:gridCol w:w="1337"/>
        <w:gridCol w:w="1337"/>
        <w:gridCol w:w="1337"/>
        <w:gridCol w:w="1337"/>
        <w:gridCol w:w="1337"/>
      </w:tblGrid>
      <w:tr>
        <w:trPr>
          <w:tblHeader w:val="true"/>
          <w:cantSplit/>
        </w:trPr>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Issue</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Selected term</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Source of recovery</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Survival</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Basket or threshold</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Cap</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Approval</w:t>
            </w:r>
          </w:p>
        </w:tc>
      </w:tr>
      <w:tr>
        <w:trPr>
          <w:cantSplit/>
        </w:trPr>
        <w:tc>
          <w:tcPr>
            <w:tcW w:type="dxa" w:w="1337"/>
            <w:vAlign w:val="center"/>
            <w:tcMar>
              <w:top w:w="55" w:type="dxa"/>
              <w:start w:w="70" w:type="dxa"/>
              <w:bottom w:w="55" w:type="dxa"/>
              <w:end w:w="70" w:type="dxa"/>
            </w:tcMar>
          </w:tcPr>
          <w:p>
            <w:pPr>
              <w:spacing w:after="0"/>
            </w:pPr>
            <w:r>
              <w:rPr>
                <w:rFonts w:ascii="Times New Roman" w:hAnsi="Times New Roman"/>
                <w:sz w:val="18"/>
              </w:rPr>
              <w:t>General reps</w:t>
            </w:r>
          </w:p>
        </w:tc>
        <w:tc>
          <w:tcPr>
            <w:tcW w:type="dxa" w:w="1337"/>
            <w:vAlign w:val="center"/>
            <w:tcMar>
              <w:top w:w="55" w:type="dxa"/>
              <w:start w:w="70" w:type="dxa"/>
              <w:bottom w:w="55" w:type="dxa"/>
              <w:end w:w="70" w:type="dxa"/>
            </w:tcMar>
          </w:tcPr>
          <w:p>
            <w:pPr>
              <w:spacing w:after="0"/>
            </w:pPr>
            <w:r>
              <w:rPr>
                <w:rFonts w:ascii="Times New Roman" w:hAnsi="Times New Roman"/>
                <w:sz w:val="18"/>
              </w:rPr>
              <w:t>[TERM]</w:t>
            </w:r>
          </w:p>
        </w:tc>
        <w:tc>
          <w:tcPr>
            <w:tcW w:type="dxa" w:w="1337"/>
            <w:vAlign w:val="center"/>
            <w:tcMar>
              <w:top w:w="55" w:type="dxa"/>
              <w:start w:w="70" w:type="dxa"/>
              <w:bottom w:w="55" w:type="dxa"/>
              <w:end w:w="70" w:type="dxa"/>
            </w:tcMar>
          </w:tcPr>
          <w:p>
            <w:pPr>
              <w:spacing w:after="0"/>
            </w:pPr>
            <w:r>
              <w:rPr>
                <w:rFonts w:ascii="Times New Roman" w:hAnsi="Times New Roman"/>
                <w:sz w:val="18"/>
              </w:rPr>
              <w:t>[RWI / ESCROW / SELLERS]</w:t>
            </w:r>
          </w:p>
        </w:tc>
        <w:tc>
          <w:tcPr>
            <w:tcW w:type="dxa" w:w="1337"/>
            <w:vAlign w:val="center"/>
            <w:tcMar>
              <w:top w:w="55" w:type="dxa"/>
              <w:start w:w="70" w:type="dxa"/>
              <w:bottom w:w="55" w:type="dxa"/>
              <w:end w:w="70" w:type="dxa"/>
            </w:tcMar>
          </w:tcPr>
          <w:p>
            <w:pPr>
              <w:spacing w:after="0"/>
            </w:pPr>
            <w:r>
              <w:rPr>
                <w:rFonts w:ascii="Times New Roman" w:hAnsi="Times New Roman"/>
                <w:sz w:val="18"/>
              </w:rPr>
              <w:t>[PERIOD]</w:t>
            </w:r>
          </w:p>
        </w:tc>
        <w:tc>
          <w:tcPr>
            <w:tcW w:type="dxa" w:w="1337"/>
            <w:vAlign w:val="center"/>
            <w:tcMar>
              <w:top w:w="55" w:type="dxa"/>
              <w:start w:w="70" w:type="dxa"/>
              <w:bottom w:w="55" w:type="dxa"/>
              <w:end w:w="70" w:type="dxa"/>
            </w:tcMar>
          </w:tcPr>
          <w:p>
            <w:pPr>
              <w:spacing w:after="0"/>
            </w:pPr>
            <w:r>
              <w:rPr>
                <w:rFonts w:ascii="Times New Roman" w:hAnsi="Times New Roman"/>
                <w:sz w:val="18"/>
              </w:rPr>
              <w:t>[AMOUNT / TYPE]</w:t>
            </w:r>
          </w:p>
        </w:tc>
        <w:tc>
          <w:tcPr>
            <w:tcW w:type="dxa" w:w="1337"/>
            <w:vAlign w:val="center"/>
            <w:tcMar>
              <w:top w:w="55" w:type="dxa"/>
              <w:start w:w="70" w:type="dxa"/>
              <w:bottom w:w="55" w:type="dxa"/>
              <w:end w:w="70" w:type="dxa"/>
            </w:tcMar>
          </w:tcPr>
          <w:p>
            <w:pPr>
              <w:spacing w:after="0"/>
            </w:pPr>
            <w:r>
              <w:rPr>
                <w:rFonts w:ascii="Times New Roman" w:hAnsi="Times New Roman"/>
                <w:sz w:val="18"/>
              </w:rPr>
              <w:t>[AMOUNT]</w:t>
            </w:r>
          </w:p>
        </w:tc>
        <w:tc>
          <w:tcPr>
            <w:tcW w:type="dxa" w:w="1337"/>
            <w:vAlign w:val="center"/>
            <w:tcMar>
              <w:top w:w="55" w:type="dxa"/>
              <w:start w:w="70" w:type="dxa"/>
              <w:bottom w:w="55" w:type="dxa"/>
              <w:end w:w="70" w:type="dxa"/>
            </w:tcMar>
          </w:tcPr>
          <w:p>
            <w:pPr>
              <w:spacing w:after="0"/>
            </w:pPr>
            <w:r>
              <w:rPr>
                <w:rFonts w:ascii="Times New Roman" w:hAnsi="Times New Roman"/>
                <w:sz w:val="18"/>
              </w:rPr>
              <w:t>[LAWYER]</w:t>
            </w:r>
          </w:p>
        </w:tc>
      </w:tr>
      <w:tr>
        <w:trPr>
          <w:cantSplit/>
        </w:trPr>
        <w:tc>
          <w:tcPr>
            <w:tcW w:type="dxa" w:w="1337"/>
            <w:vAlign w:val="center"/>
            <w:tcMar>
              <w:top w:w="55" w:type="dxa"/>
              <w:start w:w="70" w:type="dxa"/>
              <w:bottom w:w="55" w:type="dxa"/>
              <w:end w:w="70" w:type="dxa"/>
            </w:tcMar>
          </w:tcPr>
          <w:p>
            <w:pPr>
              <w:spacing w:after="0"/>
            </w:pPr>
            <w:r>
              <w:rPr>
                <w:rFonts w:ascii="Times New Roman" w:hAnsi="Times New Roman"/>
                <w:sz w:val="18"/>
              </w:rPr>
              <w:t>Fundamental reps</w:t>
            </w:r>
          </w:p>
        </w:tc>
        <w:tc>
          <w:tcPr>
            <w:tcW w:type="dxa" w:w="1337"/>
            <w:vAlign w:val="center"/>
            <w:tcMar>
              <w:top w:w="55" w:type="dxa"/>
              <w:start w:w="70" w:type="dxa"/>
              <w:bottom w:w="55" w:type="dxa"/>
              <w:end w:w="70" w:type="dxa"/>
            </w:tcMar>
          </w:tcPr>
          <w:p>
            <w:pPr>
              <w:spacing w:after="0"/>
            </w:pPr>
            <w:r>
              <w:rPr>
                <w:rFonts w:ascii="Times New Roman" w:hAnsi="Times New Roman"/>
                <w:sz w:val="18"/>
              </w:rPr>
              <w:t>[TERM]</w:t>
            </w:r>
          </w:p>
        </w:tc>
        <w:tc>
          <w:tcPr>
            <w:tcW w:type="dxa" w:w="1337"/>
            <w:vAlign w:val="center"/>
            <w:tcMar>
              <w:top w:w="55" w:type="dxa"/>
              <w:start w:w="70" w:type="dxa"/>
              <w:bottom w:w="55" w:type="dxa"/>
              <w:end w:w="70" w:type="dxa"/>
            </w:tcMar>
          </w:tcPr>
          <w:p>
            <w:pPr>
              <w:spacing w:after="0"/>
            </w:pPr>
            <w:r>
              <w:rPr>
                <w:rFonts w:ascii="Times New Roman" w:hAnsi="Times New Roman"/>
                <w:sz w:val="18"/>
              </w:rPr>
              <w:t>[SOURCE]</w:t>
            </w:r>
          </w:p>
        </w:tc>
        <w:tc>
          <w:tcPr>
            <w:tcW w:type="dxa" w:w="1337"/>
            <w:vAlign w:val="center"/>
            <w:tcMar>
              <w:top w:w="55" w:type="dxa"/>
              <w:start w:w="70" w:type="dxa"/>
              <w:bottom w:w="55" w:type="dxa"/>
              <w:end w:w="70" w:type="dxa"/>
            </w:tcMar>
          </w:tcPr>
          <w:p>
            <w:pPr>
              <w:spacing w:after="0"/>
            </w:pPr>
            <w:r>
              <w:rPr>
                <w:rFonts w:ascii="Times New Roman" w:hAnsi="Times New Roman"/>
                <w:sz w:val="18"/>
              </w:rPr>
              <w:t>[PERIOD]</w:t>
            </w:r>
          </w:p>
        </w:tc>
        <w:tc>
          <w:tcPr>
            <w:tcW w:type="dxa" w:w="1337"/>
            <w:vAlign w:val="center"/>
            <w:tcMar>
              <w:top w:w="55" w:type="dxa"/>
              <w:start w:w="70" w:type="dxa"/>
              <w:bottom w:w="55" w:type="dxa"/>
              <w:end w:w="70" w:type="dxa"/>
            </w:tcMar>
          </w:tcPr>
          <w:p>
            <w:pPr>
              <w:spacing w:after="0"/>
            </w:pPr>
            <w:r>
              <w:rPr>
                <w:rFonts w:ascii="Times New Roman" w:hAnsi="Times New Roman"/>
                <w:sz w:val="18"/>
              </w:rPr>
              <w:t>[N/A / TERM]</w:t>
            </w:r>
          </w:p>
        </w:tc>
        <w:tc>
          <w:tcPr>
            <w:tcW w:type="dxa" w:w="1337"/>
            <w:vAlign w:val="center"/>
            <w:tcMar>
              <w:top w:w="55" w:type="dxa"/>
              <w:start w:w="70" w:type="dxa"/>
              <w:bottom w:w="55" w:type="dxa"/>
              <w:end w:w="70" w:type="dxa"/>
            </w:tcMar>
          </w:tcPr>
          <w:p>
            <w:pPr>
              <w:spacing w:after="0"/>
            </w:pPr>
            <w:r>
              <w:rPr>
                <w:rFonts w:ascii="Times New Roman" w:hAnsi="Times New Roman"/>
                <w:sz w:val="18"/>
              </w:rPr>
              <w:t>[AMOUNT]</w:t>
            </w:r>
          </w:p>
        </w:tc>
        <w:tc>
          <w:tcPr>
            <w:tcW w:type="dxa" w:w="1337"/>
            <w:vAlign w:val="center"/>
            <w:tcMar>
              <w:top w:w="55" w:type="dxa"/>
              <w:start w:w="70" w:type="dxa"/>
              <w:bottom w:w="55" w:type="dxa"/>
              <w:end w:w="70" w:type="dxa"/>
            </w:tcMar>
          </w:tcPr>
          <w:p>
            <w:pPr>
              <w:spacing w:after="0"/>
            </w:pPr>
            <w:r>
              <w:rPr>
                <w:rFonts w:ascii="Times New Roman" w:hAnsi="Times New Roman"/>
                <w:sz w:val="18"/>
              </w:rPr>
              <w:t>[LAWYER]</w:t>
            </w:r>
          </w:p>
        </w:tc>
      </w:tr>
      <w:tr>
        <w:trPr>
          <w:cantSplit/>
        </w:trPr>
        <w:tc>
          <w:tcPr>
            <w:tcW w:type="dxa" w:w="1337"/>
            <w:vAlign w:val="center"/>
            <w:tcMar>
              <w:top w:w="55" w:type="dxa"/>
              <w:start w:w="70" w:type="dxa"/>
              <w:bottom w:w="55" w:type="dxa"/>
              <w:end w:w="70" w:type="dxa"/>
            </w:tcMar>
          </w:tcPr>
          <w:p>
            <w:pPr>
              <w:spacing w:after="0"/>
            </w:pPr>
            <w:r>
              <w:rPr>
                <w:rFonts w:ascii="Times New Roman" w:hAnsi="Times New Roman"/>
                <w:sz w:val="18"/>
              </w:rPr>
              <w:t>Special indemnity</w:t>
            </w:r>
          </w:p>
        </w:tc>
        <w:tc>
          <w:tcPr>
            <w:tcW w:type="dxa" w:w="1337"/>
            <w:vAlign w:val="center"/>
            <w:tcMar>
              <w:top w:w="55" w:type="dxa"/>
              <w:start w:w="70" w:type="dxa"/>
              <w:bottom w:w="55" w:type="dxa"/>
              <w:end w:w="70" w:type="dxa"/>
            </w:tcMar>
          </w:tcPr>
          <w:p>
            <w:pPr>
              <w:spacing w:after="0"/>
            </w:pPr>
            <w:r>
              <w:rPr>
                <w:rFonts w:ascii="Times New Roman" w:hAnsi="Times New Roman"/>
                <w:sz w:val="18"/>
              </w:rPr>
              <w:t>[ISSUE]</w:t>
            </w:r>
          </w:p>
        </w:tc>
        <w:tc>
          <w:tcPr>
            <w:tcW w:type="dxa" w:w="1337"/>
            <w:vAlign w:val="center"/>
            <w:tcMar>
              <w:top w:w="55" w:type="dxa"/>
              <w:start w:w="70" w:type="dxa"/>
              <w:bottom w:w="55" w:type="dxa"/>
              <w:end w:w="70" w:type="dxa"/>
            </w:tcMar>
          </w:tcPr>
          <w:p>
            <w:pPr>
              <w:spacing w:after="0"/>
            </w:pPr>
            <w:r>
              <w:rPr>
                <w:rFonts w:ascii="Times New Roman" w:hAnsi="Times New Roman"/>
                <w:sz w:val="18"/>
              </w:rPr>
              <w:t>[SOURCE]</w:t>
            </w:r>
          </w:p>
        </w:tc>
        <w:tc>
          <w:tcPr>
            <w:tcW w:type="dxa" w:w="1337"/>
            <w:vAlign w:val="center"/>
            <w:tcMar>
              <w:top w:w="55" w:type="dxa"/>
              <w:start w:w="70" w:type="dxa"/>
              <w:bottom w:w="55" w:type="dxa"/>
              <w:end w:w="70" w:type="dxa"/>
            </w:tcMar>
          </w:tcPr>
          <w:p>
            <w:pPr>
              <w:spacing w:after="0"/>
            </w:pPr>
            <w:r>
              <w:rPr>
                <w:rFonts w:ascii="Times New Roman" w:hAnsi="Times New Roman"/>
                <w:sz w:val="18"/>
              </w:rPr>
              <w:t>[PERIOD]</w:t>
            </w:r>
          </w:p>
        </w:tc>
        <w:tc>
          <w:tcPr>
            <w:tcW w:type="dxa" w:w="1337"/>
            <w:vAlign w:val="center"/>
            <w:tcMar>
              <w:top w:w="55" w:type="dxa"/>
              <w:start w:w="70" w:type="dxa"/>
              <w:bottom w:w="55" w:type="dxa"/>
              <w:end w:w="70" w:type="dxa"/>
            </w:tcMar>
          </w:tcPr>
          <w:p>
            <w:pPr>
              <w:spacing w:after="0"/>
            </w:pPr>
            <w:r>
              <w:rPr>
                <w:rFonts w:ascii="Times New Roman" w:hAnsi="Times New Roman"/>
                <w:sz w:val="18"/>
              </w:rPr>
              <w:t>[TERM]</w:t>
            </w:r>
          </w:p>
        </w:tc>
        <w:tc>
          <w:tcPr>
            <w:tcW w:type="dxa" w:w="1337"/>
            <w:vAlign w:val="center"/>
            <w:tcMar>
              <w:top w:w="55" w:type="dxa"/>
              <w:start w:w="70" w:type="dxa"/>
              <w:bottom w:w="55" w:type="dxa"/>
              <w:end w:w="70" w:type="dxa"/>
            </w:tcMar>
          </w:tcPr>
          <w:p>
            <w:pPr>
              <w:spacing w:after="0"/>
            </w:pPr>
            <w:r>
              <w:rPr>
                <w:rFonts w:ascii="Times New Roman" w:hAnsi="Times New Roman"/>
                <w:sz w:val="18"/>
              </w:rPr>
              <w:t>[AMOUNT]</w:t>
            </w:r>
          </w:p>
        </w:tc>
        <w:tc>
          <w:tcPr>
            <w:tcW w:type="dxa" w:w="1337"/>
            <w:vAlign w:val="center"/>
            <w:tcMar>
              <w:top w:w="55" w:type="dxa"/>
              <w:start w:w="70" w:type="dxa"/>
              <w:bottom w:w="55" w:type="dxa"/>
              <w:end w:w="70" w:type="dxa"/>
            </w:tcMar>
          </w:tcPr>
          <w:p>
            <w:pPr>
              <w:spacing w:after="0"/>
            </w:pPr>
            <w:r>
              <w:rPr>
                <w:rFonts w:ascii="Times New Roman" w:hAnsi="Times New Roman"/>
                <w:sz w:val="18"/>
              </w:rPr>
              <w:t>[SPECIALIST]</w:t>
            </w:r>
          </w:p>
        </w:tc>
      </w:tr>
    </w:tbl>
    <w:p>
      <w:pPr>
        <w:widowControl/>
        <w:spacing w:after="20"/>
      </w:pPr>
    </w:p>
    <w:p>
      <w:pPr>
        <w:pStyle w:val="Heading3"/>
        <w:widowControl/>
        <w:ind w:left="0" w:firstLine="0"/>
      </w:pPr>
      <w:r>
        <w:rPr>
          <w:rFonts w:ascii="Times New Roman" w:hAnsi="Times New Roman"/>
          <w:b/>
          <w:sz w:val="22"/>
          <w:u w:val="single"/>
        </w:rPr>
        <w:t>Schedule 8 Conditions and Deliverables Matrix</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337"/>
        <w:gridCol w:w="1337"/>
        <w:gridCol w:w="1337"/>
        <w:gridCol w:w="1337"/>
        <w:gridCol w:w="1337"/>
        <w:gridCol w:w="1337"/>
        <w:gridCol w:w="1337"/>
      </w:tblGrid>
      <w:tr>
        <w:trPr>
          <w:tblHeader w:val="true"/>
          <w:cantSplit/>
        </w:trPr>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Item</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Beneficiary</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Owner</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Due date and time</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Evidence</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Waiver authority</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Status</w:t>
            </w:r>
          </w:p>
        </w:tc>
      </w:tr>
      <w:tr>
        <w:trPr>
          <w:cantSplit/>
        </w:trPr>
        <w:tc>
          <w:tcPr>
            <w:tcW w:type="dxa" w:w="1337"/>
            <w:vAlign w:val="center"/>
            <w:tcMar>
              <w:top w:w="55" w:type="dxa"/>
              <w:start w:w="70" w:type="dxa"/>
              <w:bottom w:w="55" w:type="dxa"/>
              <w:end w:w="70" w:type="dxa"/>
            </w:tcMar>
          </w:tcPr>
          <w:p>
            <w:pPr>
              <w:spacing w:after="0"/>
            </w:pPr>
            <w:r>
              <w:rPr>
                <w:rFonts w:ascii="Times New Roman" w:hAnsi="Times New Roman"/>
                <w:sz w:val="18"/>
              </w:rPr>
              <w:t>[ITEM]</w:t>
            </w:r>
          </w:p>
        </w:tc>
        <w:tc>
          <w:tcPr>
            <w:tcW w:type="dxa" w:w="1337"/>
            <w:vAlign w:val="center"/>
            <w:tcMar>
              <w:top w:w="55" w:type="dxa"/>
              <w:start w:w="70" w:type="dxa"/>
              <w:bottom w:w="55" w:type="dxa"/>
              <w:end w:w="70" w:type="dxa"/>
            </w:tcMar>
          </w:tcPr>
          <w:p>
            <w:pPr>
              <w:spacing w:after="0"/>
            </w:pPr>
            <w:r>
              <w:rPr>
                <w:rFonts w:ascii="Times New Roman" w:hAnsi="Times New Roman"/>
                <w:sz w:val="18"/>
              </w:rPr>
              <w:t>[BUYER / SELLERS / MUTUAL]</w:t>
            </w:r>
          </w:p>
        </w:tc>
        <w:tc>
          <w:tcPr>
            <w:tcW w:type="dxa" w:w="1337"/>
            <w:vAlign w:val="center"/>
            <w:tcMar>
              <w:top w:w="55" w:type="dxa"/>
              <w:start w:w="70" w:type="dxa"/>
              <w:bottom w:w="55" w:type="dxa"/>
              <w:end w:w="70" w:type="dxa"/>
            </w:tcMar>
          </w:tcPr>
          <w:p>
            <w:pPr>
              <w:spacing w:after="0"/>
            </w:pPr>
            <w:r>
              <w:rPr>
                <w:rFonts w:ascii="Times New Roman" w:hAnsi="Times New Roman"/>
                <w:sz w:val="18"/>
              </w:rPr>
              <w:t>[OWNER]</w:t>
            </w:r>
          </w:p>
        </w:tc>
        <w:tc>
          <w:tcPr>
            <w:tcW w:type="dxa" w:w="1337"/>
            <w:vAlign w:val="center"/>
            <w:tcMar>
              <w:top w:w="55" w:type="dxa"/>
              <w:start w:w="70" w:type="dxa"/>
              <w:bottom w:w="55" w:type="dxa"/>
              <w:end w:w="70" w:type="dxa"/>
            </w:tcMar>
          </w:tcPr>
          <w:p>
            <w:pPr>
              <w:spacing w:after="0"/>
            </w:pPr>
            <w:r>
              <w:rPr>
                <w:rFonts w:ascii="Times New Roman" w:hAnsi="Times New Roman"/>
                <w:sz w:val="18"/>
              </w:rPr>
              <w:t>[DATE / TIME ZONE]</w:t>
            </w:r>
          </w:p>
        </w:tc>
        <w:tc>
          <w:tcPr>
            <w:tcW w:type="dxa" w:w="1337"/>
            <w:vAlign w:val="center"/>
            <w:tcMar>
              <w:top w:w="55" w:type="dxa"/>
              <w:start w:w="70" w:type="dxa"/>
              <w:bottom w:w="55" w:type="dxa"/>
              <w:end w:w="70" w:type="dxa"/>
            </w:tcMar>
          </w:tcPr>
          <w:p>
            <w:pPr>
              <w:spacing w:after="0"/>
            </w:pPr>
            <w:r>
              <w:rPr>
                <w:rFonts w:ascii="Times New Roman" w:hAnsi="Times New Roman"/>
                <w:sz w:val="18"/>
              </w:rPr>
              <w:t>[DOCUMENT / FILING / PAYMENT]</w:t>
            </w:r>
          </w:p>
        </w:tc>
        <w:tc>
          <w:tcPr>
            <w:tcW w:type="dxa" w:w="1337"/>
            <w:vAlign w:val="center"/>
            <w:tcMar>
              <w:top w:w="55" w:type="dxa"/>
              <w:start w:w="70" w:type="dxa"/>
              <w:bottom w:w="55" w:type="dxa"/>
              <w:end w:w="70" w:type="dxa"/>
            </w:tcMar>
          </w:tcPr>
          <w:p>
            <w:pPr>
              <w:spacing w:after="0"/>
            </w:pPr>
            <w:r>
              <w:rPr>
                <w:rFonts w:ascii="Times New Roman" w:hAnsi="Times New Roman"/>
                <w:sz w:val="18"/>
              </w:rPr>
              <w:t>[PERSON]</w:t>
            </w:r>
          </w:p>
        </w:tc>
        <w:tc>
          <w:tcPr>
            <w:tcW w:type="dxa" w:w="1337"/>
            <w:vAlign w:val="center"/>
            <w:tcMar>
              <w:top w:w="55" w:type="dxa"/>
              <w:start w:w="70" w:type="dxa"/>
              <w:bottom w:w="55" w:type="dxa"/>
              <w:end w:w="70" w:type="dxa"/>
            </w:tcMar>
          </w:tcPr>
          <w:p>
            <w:pPr>
              <w:spacing w:after="0"/>
            </w:pPr>
            <w:r>
              <w:rPr>
                <w:rFonts w:ascii="Times New Roman" w:hAnsi="Times New Roman"/>
                <w:sz w:val="18"/>
              </w:rPr>
              <w:t>[OPEN / COMPLETE]</w:t>
            </w:r>
          </w:p>
        </w:tc>
      </w:tr>
    </w:tbl>
    <w:p>
      <w:pPr>
        <w:widowControl/>
        <w:spacing w:after="20"/>
      </w:pPr>
    </w:p>
    <w:p>
      <w:pPr>
        <w:widowControl/>
      </w:pPr>
      <w:r>
        <w:br w:type="page"/>
      </w:r>
    </w:p>
    <w:p>
      <w:pPr>
        <w:pStyle w:val="Heading2"/>
        <w:widowControl/>
        <w:spacing w:before="1200"/>
        <w:ind w:left="0" w:firstLine="0"/>
      </w:pPr>
      <w:r>
        <w:rPr>
          <w:rFonts w:ascii="Times New Roman" w:hAnsi="Times New Roman"/>
          <w:b/>
          <w:sz w:val="22"/>
          <w:u w:val="single"/>
        </w:rPr>
        <w:t>Website Posting README — Not Part of the Agreement</w:t>
      </w:r>
    </w:p>
    <w:p>
      <w:pPr>
        <w:pStyle w:val="Heading3"/>
        <w:widowControl/>
        <w:ind w:left="0" w:firstLine="0"/>
      </w:pPr>
      <w:r>
        <w:rPr>
          <w:rFonts w:ascii="Times New Roman" w:hAnsi="Times New Roman"/>
          <w:b/>
          <w:sz w:val="22"/>
          <w:u w:val="single"/>
        </w:rPr>
        <w:t>Purpose and use boundary</w:t>
      </w:r>
    </w:p>
    <w:p>
      <w:pPr>
        <w:keepLines w:val="0"/>
        <w:widowControl/>
        <w:ind w:firstLine="720"/>
        <w:jc w:val="both"/>
      </w:pPr>
      <w:r>
        <w:t>This page and downloadable Word form are a founder-focused practitioner master for a private-company stock sale. They are an educational starting point, not legal advice and not an execution copy. Do not use this form for a public company, regulated or cross-border transaction, tender offer, distressed sale, partial-interest purchase with unresolved minority rights, or a deal whose governing documents or law require a different structure without specialist counsel.</w:t>
      </w:r>
    </w:p>
    <w:p>
      <w:pPr>
        <w:pStyle w:val="Heading3"/>
        <w:widowControl/>
        <w:ind w:left="0" w:firstLine="0"/>
      </w:pPr>
      <w:r>
        <w:rPr>
          <w:rFonts w:ascii="Times New Roman" w:hAnsi="Times New Roman"/>
          <w:b/>
          <w:sz w:val="22"/>
          <w:u w:val="single"/>
        </w:rPr>
        <w:t>What to upload with the Word form</w:t>
      </w:r>
    </w:p>
    <w:p>
      <w:pPr>
        <w:widowControl/>
        <w:ind w:firstLine="720"/>
        <w:jc w:val="both"/>
      </w:pPr>
      <w:r>
        <w:t>Use only an AI system approved for the confidentiality level of the matter. Upload the clean Word master, signed term sheet or LOI, current charter and bylaws, stock ledger, fully diluted cap table, equity and investor agreements, proposed purchase-price bridge, funds-flow draft, diligence issue list, Disclosure Schedules, RWI or escrow term sheet, and known regulatory and Tax analyses. Do not upload privileged, personal, export-controlled, health, security, or client-confidential information to an unapproved system.</w:t>
      </w:r>
    </w:p>
    <w:p>
      <w:pPr>
        <w:pStyle w:val="Heading3"/>
        <w:widowControl/>
        <w:ind w:left="0" w:firstLine="0"/>
      </w:pPr>
      <w:r>
        <w:rPr>
          <w:rFonts w:ascii="Times New Roman" w:hAnsi="Times New Roman"/>
          <w:b/>
          <w:sz w:val="22"/>
          <w:u w:val="single"/>
        </w:rPr>
        <w:t>AI completion prompt</w:t>
      </w:r>
    </w:p>
    <w:p>
      <w:pPr>
        <w:widowControl/>
        <w:ind w:firstLine="720"/>
        <w:jc w:val="both"/>
      </w:pPr>
      <w:r>
        <w:rPr>
          <w:b/>
        </w:rPr>
        <w:t>Prompt:</w:t>
      </w:r>
      <w:r>
        <w:t xml:space="preserve"> You are assisting experienced M&amp;A counsel in completing the uploaded Founder M&amp;A Stock Purchase Agreement Seller Protective Extended Form. Treat the Word form as a practitioner master, not an approved execution draft. Review it against the uploaded source documents. First produce: (1) a missing-information questionnaire; (2) a conflict and inconsistency list; (3) a bracket-and-election register; (4) a defined-term, cross-reference, schedule, exhibit, signature, condition, and funds-flow defect list; and (5) a founder-impact and specialist-review issue list. Do not invent facts, parties, amounts, dates, approvals, legal conclusions, Tax treatment, or regulatory status. For every proposed completion, identify the controlling source document and page or state “source not provided.” Preserve alternatives until counsel selects them. Then prepare a marked completion draft and a separate red-flag memorandum explaining material changes, negotiation posture, missing evidence, and unresolved law. Keep the practitioner notice and this README. Do not produce or label an execution copy, remove brackets silently, contact any person, upload anywhere, or release signatures or funds. Stop and ask targeted questions when sources conflict or an approval is missing.</w:t>
      </w:r>
    </w:p>
    <w:p>
      <w:pPr>
        <w:pStyle w:val="Heading3"/>
        <w:widowControl/>
        <w:ind w:left="0" w:firstLine="0"/>
      </w:pPr>
      <w:r>
        <w:rPr>
          <w:rFonts w:ascii="Times New Roman" w:hAnsi="Times New Roman"/>
          <w:b/>
          <w:sz w:val="22"/>
          <w:u w:val="single"/>
        </w:rPr>
        <w:t>Required completion questions</w:t>
      </w:r>
    </w:p>
    <w:p>
      <w:pPr>
        <w:pStyle w:val="ListNumber"/>
        <w:widowControl/>
        <w:spacing w:after="40"/>
        <w:ind w:left="346" w:hanging="202"/>
      </w:pPr>
      <w:r>
        <w:t>Who owns every outstanding or promised equity-linked security, and what consent, waiver, drag, ROFR, co-sale, spouse, trust, or lien issue affects transfer?</w:t>
      </w:r>
    </w:p>
    <w:p>
      <w:pPr>
        <w:pStyle w:val="ListNumber"/>
        <w:widowControl/>
        <w:spacing w:after="40"/>
        <w:ind w:left="346" w:hanging="202"/>
      </w:pPr>
      <w:r>
        <w:t>What precise bridge converts enterprise value to each Seller’s payment, and can every line be traced once to the funds flow?</w:t>
      </w:r>
    </w:p>
    <w:p>
      <w:pPr>
        <w:pStyle w:val="ListNumber"/>
        <w:widowControl/>
        <w:spacing w:after="40"/>
        <w:ind w:left="346" w:hanging="202"/>
      </w:pPr>
      <w:r>
        <w:t>Which representations, survival periods, baskets, caps, escrows, RWI exclusions, and special indemnities are selected?</w:t>
      </w:r>
    </w:p>
    <w:p>
      <w:pPr>
        <w:pStyle w:val="ListNumber"/>
        <w:widowControl/>
        <w:spacing w:after="40"/>
        <w:ind w:left="346" w:hanging="202"/>
      </w:pPr>
      <w:r>
        <w:t>Which founder employment, rollover, earnout, restrictive-covenant, release, or retention terms are separate from stock consideration?</w:t>
      </w:r>
    </w:p>
    <w:p>
      <w:pPr>
        <w:pStyle w:val="ListNumber"/>
        <w:widowControl/>
        <w:spacing w:after="40"/>
        <w:ind w:left="346" w:hanging="202"/>
      </w:pPr>
      <w:r>
        <w:t>Which approvals, conditions, regulatory filings, Tax elections, specialist opinions, and closing deliveries remain open?</w:t>
      </w:r>
    </w:p>
    <w:p>
      <w:pPr>
        <w:pStyle w:val="Heading3"/>
        <w:widowControl/>
        <w:ind w:left="0" w:firstLine="0"/>
      </w:pPr>
      <w:r>
        <w:rPr>
          <w:rFonts w:ascii="Times New Roman" w:hAnsi="Times New Roman"/>
          <w:b/>
          <w:sz w:val="22"/>
          <w:u w:val="single"/>
        </w:rPr>
        <w:t>Human review and submission workflow</w:t>
      </w:r>
    </w:p>
    <w:p>
      <w:pPr>
        <w:pStyle w:val="ListNumber"/>
        <w:widowControl/>
        <w:spacing w:after="40"/>
        <w:ind w:left="346" w:hanging="202"/>
      </w:pPr>
      <w:r>
        <w:t>Counsel answers the questionnaire and approves the deal structure before substantive AI completion.</w:t>
      </w:r>
    </w:p>
    <w:p>
      <w:pPr>
        <w:pStyle w:val="ListNumber"/>
        <w:widowControl/>
        <w:spacing w:after="40"/>
        <w:ind w:left="346" w:hanging="202"/>
      </w:pPr>
      <w:r>
        <w:t>The drafting team reconciles the cap table, Schedule A, purchase-price bridge, funds flow, equity treatment, and signatures independently.</w:t>
      </w:r>
    </w:p>
    <w:p>
      <w:pPr>
        <w:pStyle w:val="ListNumber"/>
        <w:widowControl/>
        <w:spacing w:after="40"/>
        <w:ind w:left="346" w:hanging="202"/>
      </w:pPr>
      <w:r>
        <w:t>Specialists review every applicable Tax, benefits, employment, antitrust, CFIUS, securities, IP, privacy, cyber, real-estate, environmental, and industry issue.</w:t>
      </w:r>
    </w:p>
    <w:p>
      <w:pPr>
        <w:pStyle w:val="ListNumber"/>
        <w:widowControl/>
        <w:spacing w:after="40"/>
        <w:ind w:left="346" w:hanging="202"/>
      </w:pPr>
      <w:r>
        <w:t>Counsel reviews a redline against this master, resolves every bracket, validates current law, and records deviations in the release memorandum.</w:t>
      </w:r>
    </w:p>
    <w:p>
      <w:pPr>
        <w:pStyle w:val="ListNumber"/>
        <w:widowControl/>
        <w:spacing w:after="40"/>
        <w:ind w:left="346" w:hanging="202"/>
      </w:pPr>
      <w:r>
        <w:t>Submit the reviewed Word draft together with the issue list, completion sources, schedules, exhibits, and approvals. Release an execution copy only through the matter’s authorized closing process.</w:t>
      </w:r>
    </w:p>
    <w:p>
      <w:pPr>
        <w:pStyle w:val="Heading3"/>
        <w:widowControl/>
        <w:ind w:left="0" w:firstLine="0"/>
      </w:pPr>
      <w:r>
        <w:rPr>
          <w:rFonts w:ascii="Times New Roman" w:hAnsi="Times New Roman"/>
          <w:b/>
          <w:sz w:val="22"/>
          <w:u w:val="single"/>
        </w:rPr>
        <w:t>Expected output package</w:t>
      </w:r>
    </w:p>
    <w:p>
      <w:pPr>
        <w:widowControl/>
        <w:ind w:firstLine="720"/>
        <w:jc w:val="both"/>
      </w:pPr>
      <w:r>
        <w:t>The completion package should contain: a source-attributed missing-information questionnaire; marked and clean Word drafts; a redline to this master; completed schedules and exhibits; a defined-term and cross-reference report; a founder-impact memorandum; a specialist-approval record; a signature and authority matrix; a closing checklist; and a versioned release memorandum. No output is approved for signing merely because an AI system generated it.</w:t>
      </w:r>
    </w:p>
    <w:sectPr>
      <w:headerReference w:type="default" r:id="rId17"/>
      <w:headerReference w:type="first" r:id="rId18"/>
      <w:footerReference w:type="default" r:id="rId19"/>
      <w:footerReference w:type="first" r:id="rId20"/>
      <w:pgSz w:w="12240" w:h="15840"/>
      <w:pgMar w:top="1440" w:right="1440" w:bottom="1440" w:left="1440" w:header="518" w:footer="5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sz w:val="20"/>
      </w:rPr>
      <w:t>PRACTITIONER MASTER</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5.xml"/><Relationship Id="rId2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 M&amp;A Stock Purchase Agreement Seller Protective Extended Form</dc:title>
  <dc:subject>Founder M&amp;A practitioner master</dc:subject>
  <dc:creator/>
  <cp:keywords>Founder M&amp;A, FMA-011, practitioner master</cp:keywords>
  <dc:description/>
  <cp:lastModifiedBy/>
  <cp:revision>1</cp:revision>
  <dcterms:created xsi:type="dcterms:W3CDTF">2013-12-23T23:15:00Z</dcterms:created>
  <dcterms:modified xsi:type="dcterms:W3CDTF">2013-12-23T23:15:00Z</dcterms:modified>
  <cp:category/>
</cp:coreProperties>
</file>