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Contract Review, Approval, Signature Authority, and Intake Policy</w:t>
      </w:r>
    </w:p>
    <w:p>
      <w:r>
        <w:rPr>
          <w:rFonts w:ascii="Calibri" w:hAnsi="Calibri" w:eastAsia="Calibri"/>
          <w:b w:val="0"/>
          <w:i w:val="0"/>
          <w:color w:val="5B6573"/>
          <w:sz w:val="24"/>
        </w:rPr>
        <w:t>A startup-ready deal-governance package that routes contracts through intake, risk tiering, functional review, negotiation, approvals, signature authority, repository controls, obligations, renewals, amendments, deviations, and emergency exceptions.</w:t>
      </w:r>
    </w:p>
    <w:tbl>
      <w:tblPr>
        <w:tblStyle w:val="TableGrid"/>
        <w:tblW w:type="dxa" w:w="9360"/>
        <w:jc w:val="left"/>
        <w:tblLayout w:type="fixed"/>
        <w:tblLook w:firstColumn="1" w:firstRow="1" w:lastColumn="0" w:lastRow="0" w:noHBand="0" w:noVBand="1" w:val="04A0"/>
        <w:tblInd w:w="120" w:type="dxa"/>
      </w:tblPr>
      <w:tblGrid>
        <w:gridCol w:w="1500"/>
        <w:gridCol w:w="3180"/>
        <w:gridCol w:w="1500"/>
        <w:gridCol w:w="3180"/>
      </w:tblGrid>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FORM ID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EF-070</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VERSION</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3.0.0</w:t>
            </w:r>
          </w:p>
        </w:tc>
      </w:tr>
      <w:tr>
        <w:trPr>
          <w:cantSplit/>
          <w:trHeight w:hRule="atLeast"/>
        </w:trPr>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STATUS</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Practitioner master</w:t>
            </w:r>
          </w:p>
        </w:tc>
        <w:tc>
          <w:tcPr>
            <w:tcW w:type="dxa" w:w="1500"/>
            <w:shd w:fill="F2F4F7"/>
            <w:vAlign w:val="top"/>
            <w:tcMar>
              <w:top w:w="80" w:type="dxa"/>
              <w:bottom w:w="80" w:type="dxa"/>
              <w:start w:w="120" w:type="dxa"/>
              <w:end w:w="120" w:type="dxa"/>
            </w:tcMar>
          </w:tcPr>
          <w:p>
            <w:r>
              <w:rPr>
                <w:rFonts w:ascii="Calibri" w:hAnsi="Calibri" w:eastAsia="Calibri"/>
                <w:b/>
                <w:i w:val="0"/>
                <w:color w:val="17365D"/>
                <w:sz w:val="17"/>
              </w:rPr>
              <w:t>PREPARED</w:t>
            </w:r>
          </w:p>
        </w:tc>
        <w:tc>
          <w:tcPr>
            <w:tcW w:type="dxa" w:w="3180"/>
            <w:vAlign w:val="top"/>
            <w:tcMar>
              <w:top w:w="80" w:type="dxa"/>
              <w:bottom w:w="80" w:type="dxa"/>
              <w:start w:w="120" w:type="dxa"/>
              <w:end w:w="120" w:type="dxa"/>
            </w:tcMar>
          </w:tcPr>
          <w:p>
            <w:r>
              <w:rPr>
                <w:rFonts w:ascii="Calibri" w:hAnsi="Calibri" w:eastAsia="Calibri"/>
                <w:b w:val="0"/>
                <w:i w:val="0"/>
                <w:color w:val="111111"/>
                <w:sz w:val="17"/>
              </w:rPr>
              <w:t>2026-08-28</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IMPORTANT — NOT EXECUTION-READY.  </w:t>
            </w:r>
            <w:r>
              <w:rPr>
                <w:rFonts w:ascii="Calibri" w:hAnsi="Calibri" w:eastAsia="Calibri"/>
                <w:b w:val="0"/>
                <w:i w:val="0"/>
                <w:color w:val="111111"/>
                <w:sz w:val="21"/>
              </w:rPr>
              <w:t>This original practitioner master is for study and drafting. Complete verified facts, select and delete alternatives, reconcile every schedule and related workflow, update law and technical standards, obtain relevant specialist review, and secure responsible-lawyer approval before use. It is not legal advice and does not establish that a matter complies with law.</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D9EAF7"/>
          </w:tcPr>
          <w:p>
            <w:r>
              <w:rPr>
                <w:rFonts w:ascii="Calibri" w:hAnsi="Calibri" w:eastAsia="Calibri"/>
                <w:b/>
                <w:i w:val="0"/>
                <w:color w:val="17365D"/>
                <w:sz w:val="21"/>
              </w:rPr>
              <w:t xml:space="preserve">MODULE CONTROL.  </w:t>
            </w:r>
            <w:r>
              <w:rPr>
                <w:rFonts w:ascii="Calibri" w:hAnsi="Calibri" w:eastAsia="Calibri"/>
                <w:b w:val="0"/>
                <w:i w:val="0"/>
                <w:color w:val="111111"/>
                <w:sz w:val="21"/>
              </w:rPr>
              <w:t>Set thresholds for the actual company stage and do not give apparent authority casually. This policy should align with board delegations, bank mandates, procurement and sales systems, insurance, privacy/security, records, and entity law. It is an internal control—not a representation to counterparties that unauthorized agreements are necessarily unenforceable.</w:t>
            </w:r>
          </w:p>
        </w:tc>
      </w:tr>
    </w:tbl>
    <w:p/>
    <w:p>
      <w:pPr>
        <w:pStyle w:val="Heading1"/>
      </w:pPr>
      <w:r>
        <w:t>1. Matter Control Sheet</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rHeight w:hRule="atLeast"/>
          <w:tblHeader w:val="true"/>
          <w:cantSplit/>
        </w:trPr>
        <w:tc>
          <w:tcPr>
            <w:tcW w:type="dxa" w:w="2600"/>
            <w:shd w:fill="F2F4F7"/>
            <w:vAlign w:val="top"/>
            <w:tcMar>
              <w:top w:w="80" w:type="dxa"/>
              <w:bottom w:w="80" w:type="dxa"/>
              <w:start w:w="120" w:type="dxa"/>
              <w:end w:w="120" w:type="dxa"/>
            </w:tcMar>
          </w:tcPr>
          <w:p>
            <w:r>
              <w:rPr>
                <w:rFonts w:ascii="Calibri" w:hAnsi="Calibri" w:eastAsia="Calibri"/>
                <w:b/>
                <w:i w:val="0"/>
                <w:color w:val="17365D"/>
                <w:sz w:val="18"/>
              </w:rPr>
              <w:t>Matter variable</w:t>
            </w:r>
          </w:p>
        </w:tc>
        <w:tc>
          <w:tcPr>
            <w:tcW w:type="dxa" w:w="6760"/>
            <w:shd w:fill="F2F4F7"/>
            <w:vAlign w:val="top"/>
            <w:tcMar>
              <w:top w:w="80" w:type="dxa"/>
              <w:bottom w:w="80" w:type="dxa"/>
              <w:start w:w="120" w:type="dxa"/>
              <w:end w:w="120" w:type="dxa"/>
            </w:tcMar>
          </w:tcPr>
          <w:p>
            <w:r>
              <w:rPr>
                <w:rFonts w:ascii="Calibri" w:hAnsi="Calibri" w:eastAsia="Calibri"/>
                <w:b/>
                <w:i w:val="0"/>
                <w:color w:val="17365D"/>
                <w:sz w:val="18"/>
              </w:rPr>
              <w:t>Required completion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Covered entities / business units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ENTITIES; SUBSIDIARIES; LOCATIONS]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Policy owner</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[LEGAL / CFO / OPERATIONS]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Intake system</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[PORTAL / TICKET / EMAIL; REQUIRED DATA]</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Risk tiers</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[LOW / STANDARD / HIGH / BOARD-RESERVED]</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Approval matrix</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[VALUE, TERM, LIABILITY, DATA, IP, REGULATED, EXCEPTIONS]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Signature authority</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[TITLE / DOLLAR / DOCUMENT / ENTITY / DELEGATION]</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Repository / CLM</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[SYSTEM OF RECORD; METADATA; ACCESS]</w:t>
            </w:r>
          </w:p>
        </w:tc>
      </w:tr>
      <w:tr>
        <w:trPr>
          <w:cantSplit/>
          <w:trHeight w:hRule="atLeast"/>
        </w:trPr>
        <w:tc>
          <w:tcPr>
            <w:tcW w:type="dxa" w:w="2600"/>
            <w:vAlign w:val="top"/>
            <w:tcMar>
              <w:top w:w="80" w:type="dxa"/>
              <w:bottom w:w="80" w:type="dxa"/>
              <w:start w:w="120" w:type="dxa"/>
              <w:end w:w="120" w:type="dxa"/>
            </w:tcMar>
          </w:tcPr>
          <w:p>
            <w:pPr>
              <w:spacing w:after="40"/>
            </w:pPr>
            <w:r>
              <w:rPr>
                <w:rFonts w:ascii="Calibri" w:hAnsi="Calibri" w:eastAsia="Calibri"/>
                <w:b w:val="0"/>
                <w:i w:val="0"/>
                <w:color w:val="111111"/>
                <w:sz w:val="17"/>
              </w:rPr>
              <w:t>Emergency / deviation route</w:t>
            </w:r>
          </w:p>
        </w:tc>
        <w:tc>
          <w:tcPr>
            <w:tcW w:type="dxa" w:w="6760"/>
            <w:vAlign w:val="top"/>
            <w:tcMar>
              <w:top w:w="80" w:type="dxa"/>
              <w:bottom w:w="80" w:type="dxa"/>
              <w:start w:w="120" w:type="dxa"/>
              <w:end w:w="120" w:type="dxa"/>
            </w:tcMar>
          </w:tcPr>
          <w:p>
            <w:pPr>
              <w:spacing w:after="40"/>
            </w:pPr>
            <w:r>
              <w:rPr>
                <w:rFonts w:ascii="Calibri" w:hAnsi="Calibri" w:eastAsia="Calibri"/>
                <w:b w:val="0"/>
                <w:i w:val="0"/>
                <w:color w:val="111111"/>
                <w:sz w:val="17"/>
              </w:rPr>
              <w:t>[APPROVERS; EXPIRY; RATIFICATION; REPORTING]</w:t>
            </w:r>
          </w:p>
        </w:tc>
      </w:tr>
    </w:tbl>
    <w:p/>
    <w:p>
      <w:pPr>
        <w:pStyle w:val="Heading1"/>
      </w:pPr>
      <w:r>
        <w:t>2. Operative Form</w:t>
      </w:r>
    </w:p>
    <w:p>
      <w:pPr>
        <w:pStyle w:val="Heading2"/>
        <w:keepNext/>
      </w:pPr>
      <w:r>
        <w:t>1. Purpose and Scope</w:t>
      </w:r>
    </w:p>
    <w:p>
      <w:pPr>
        <w:pStyle w:val="ClauseText"/>
        <w:keepNext/>
        <w:keepLines/>
      </w:pPr>
      <w:r>
        <w:t>This Policy governs request, review, negotiation, approval, execution, storage, performance, amendment, renewal, and termination of contracts for the covered Company entities. It applies to written, electronic, clickwrap, portal, purchase-order, order-form, statement-of-work, side-letter, letter-of-intent, and other commitments, whether paid or unpaid. No employee may bypass it by splitting value or using a personal account.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contracts broadly and list excluded routine instruments. Apply by entity, not brand only.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Shadow commitments and free pilots can create material data, IP, liability, and auto-renewal risk.</w:t>
            </w:r>
          </w:p>
        </w:tc>
      </w:tr>
    </w:tbl>
    <w:p/>
    <w:p>
      <w:pPr>
        <w:pStyle w:val="Heading2"/>
        <w:keepNext/>
      </w:pPr>
      <w:r>
        <w:t>2. Roles and Accountability</w:t>
      </w:r>
    </w:p>
    <w:p>
      <w:pPr>
        <w:pStyle w:val="ClauseText"/>
        <w:keepNext/>
        <w:keepLines/>
      </w:pPr>
      <w:r>
        <w:t>The business owner is responsible for need, budget, facts, performance, and timely intake; Legal for legal risk and drafting; Finance for budget, tax, credit, and accounting; Security/Privacy for data and systems; Procurement for sourcing; other specialists for their domains; the authorized approver for business risk; and the signatory for execution within delegated authority. Legal approval is not business approval.</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a RACI and designate alternates. Avoid making Legal own operational facts or vendor performance.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Blurred roles lead to unsigned assumptions and unowned obligations.</w:t>
            </w:r>
          </w:p>
        </w:tc>
      </w:tr>
    </w:tbl>
    <w:p/>
    <w:p>
      <w:pPr>
        <w:pStyle w:val="Heading2"/>
        <w:keepNext/>
      </w:pPr>
      <w:r>
        <w:t>3. Mandatory Intake</w:t>
      </w:r>
    </w:p>
    <w:p>
      <w:pPr>
        <w:pStyle w:val="ClauseText"/>
        <w:keepNext/>
        <w:keepLines/>
      </w:pPr>
      <w:r>
        <w:t>Before substantive negotiation or commitment, the requestor will submit the counterparty, entity, purpose, product/service, value, term, renewal, timing, data, system access, IP, exclusivity, regulatory, geography, deliverables, budget, business owner, proposed paper, and known deviations through [SYSTEM]. Incomplete requests may be returned; urgency caused by late intake does not automatically justify an exception.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Make fields conditional by transaction type and preserve an emergency route.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Poor intake shifts fact discovery to the final hours and hides specialist reviews.</w:t>
            </w:r>
          </w:p>
        </w:tc>
      </w:tr>
    </w:tbl>
    <w:p/>
    <w:p>
      <w:pPr>
        <w:pStyle w:val="Heading2"/>
        <w:keepNext/>
      </w:pPr>
      <w:r>
        <w:t>4. Risk Tiering</w:t>
      </w:r>
    </w:p>
    <w:p>
      <w:pPr>
        <w:pStyle w:val="ClauseText"/>
        <w:keepNext/>
        <w:keepLines/>
      </w:pPr>
      <w:r>
        <w:t>The intake system assigns an initial tier based on value, duration, auto-renewal, data sensitivity, system access, IP ownership, exclusivity, regulated activity, consumer impact, employment, real estate, financing, M&amp;A, international reach, unusual liability, publicity, related parties, and deviations. Legal or another control owner may raise the tier; only the designated authority may lower it with a reason.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a transparent scoring matrix and calibrate from actual incidents and deal volume.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Value-only thresholds miss low-cost but high-risk data and IP deals.</w:t>
            </w:r>
          </w:p>
        </w:tc>
      </w:tr>
    </w:tbl>
    <w:p/>
    <w:p>
      <w:pPr>
        <w:pStyle w:val="Heading2"/>
        <w:keepNext/>
      </w:pPr>
      <w:r>
        <w:t>5. Approved Templates and Playbooks</w:t>
      </w:r>
    </w:p>
    <w:p>
      <w:pPr>
        <w:pStyle w:val="ClauseText"/>
        <w:keepNext/>
        <w:keepLines/>
      </w:pPr>
      <w:r>
        <w:t>Teams will start from the current approved Company template or clause playbook where appropriate. Template status, owner, jurisdiction, permitted deviations, fallback positions, and expiry are controlled. Counterparty paper, old forms, AI-generated terms, or employee modifications require review at the level stated in the matrix.</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Maintain version control and approved self-service lanes; prohibit silent reuse of expired documents.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Uncontrolled templates multiply inconsistent promises and outdated law.</w:t>
            </w:r>
          </w:p>
        </w:tc>
      </w:tr>
    </w:tbl>
    <w:p/>
    <w:p>
      <w:pPr>
        <w:pStyle w:val="Heading2"/>
        <w:keepNext/>
      </w:pPr>
      <w:r>
        <w:t>6. Legal Review Triggers</w:t>
      </w:r>
    </w:p>
    <w:p>
      <w:pPr>
        <w:pStyle w:val="ClauseText"/>
        <w:keepNext/>
        <w:keepLines/>
      </w:pPr>
      <w:r>
        <w:t>Legal review is mandatory for listed high-risk categories, material deviations, unfamiliar forms, disputes, public-sector terms, regulated products, personal data, security access, IP creation or license, exclusivity, nonstandard indemnity or cap, consumer terms, international activity, related-party matters, and any transaction exceeding the threshold. A listed low-risk standard form may be exempt only if unchanged and the intake facts remain within guardrails.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Create concrete triggers and a narrow exemption record. Do not imply legal review guarantees outcome or compliance.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Overbroad mandatory review overwhelms Legal; vague exemptions invite bypass.</w:t>
            </w:r>
          </w:p>
        </w:tc>
      </w:tr>
    </w:tbl>
    <w:p/>
    <w:p>
      <w:pPr>
        <w:pStyle w:val="Heading2"/>
        <w:keepNext/>
      </w:pPr>
      <w:r>
        <w:t>7. Functional and Specialist Review</w:t>
      </w:r>
    </w:p>
    <w:p>
      <w:pPr>
        <w:pStyle w:val="ClauseText"/>
        <w:keepNext/>
        <w:keepLines/>
      </w:pPr>
      <w:r>
        <w:t>The routing matrix requires review by Finance, Tax, Security, Privacy, Compliance, HR, Insurance, Quality, Product, Export, Accessibility, Regulatory, Real Estate, or other owners based on facts. Each reviewer approves only its domain and records conditions or open items. Silence is not approval unless a defined automated SLA and escalation expressly provides otherwise.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Automate routing but retain human override. Define evidence needed from each function.</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Contracts often fail outside black-letter legal provisions.</w:t>
            </w:r>
          </w:p>
        </w:tc>
      </w:tr>
    </w:tbl>
    <w:p/>
    <w:p>
      <w:pPr>
        <w:pStyle w:val="Heading2"/>
        <w:keepNext/>
      </w:pPr>
      <w:r>
        <w:t>8. Negotiation and Communications</w:t>
      </w:r>
    </w:p>
    <w:p>
      <w:pPr>
        <w:pStyle w:val="ClauseText"/>
        <w:keepNext/>
        <w:keepLines/>
      </w:pPr>
      <w:r>
        <w:t>Only trained and authorized personnel may negotiate legal terms or communicate final positions. Business teams may discuss commercial requirements within approved bounds but must not promise legal concessions. Drafts, comments, material calls, counterparty representations, and approval conditions are preserved in the matter record; undisclosed side agreements are prohibited.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Define external counsel use and privilege labeling. Provide business-friendly escalation for deal velocity.</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Off-system messages and side promises defeat the final integrated contract.</w:t>
            </w:r>
          </w:p>
        </w:tc>
      </w:tr>
    </w:tbl>
    <w:p/>
    <w:p>
      <w:pPr>
        <w:pStyle w:val="Heading2"/>
        <w:keepNext/>
      </w:pPr>
      <w:r>
        <w:t>9. Approval Matrix</w:t>
      </w:r>
    </w:p>
    <w:p>
      <w:pPr>
        <w:pStyle w:val="ClauseText"/>
        <w:keepNext/>
        <w:keepLines/>
      </w:pPr>
      <w:r>
        <w:t>The completed Matrix specifies approval by transaction type, aggregate value, term, entity, budget, risk tier, deviation, related party, and board-reserved matter. Multiple approvals are cumulative. Value includes committed fees, likely usage, noncancelable renewals, minimums, credits, in-kind value, and reasonably foreseeable termination or implementation costs; related transactions are aggregated.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Tie to annual budgets, governing documents, lender covenants, and delegations. Define currency conversion and affiliates.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Deal splitting and understated total value undermine control.</w:t>
            </w:r>
          </w:p>
        </w:tc>
      </w:tr>
    </w:tbl>
    <w:p/>
    <w:p>
      <w:pPr>
        <w:pStyle w:val="Heading2"/>
        <w:keepNext/>
      </w:pPr>
      <w:r>
        <w:t>10. Deviation and Risk Acceptance</w:t>
      </w:r>
    </w:p>
    <w:p>
      <w:pPr>
        <w:pStyle w:val="ClauseText"/>
        <w:keepNext/>
        <w:keepLines/>
      </w:pPr>
      <w:r>
        <w:t>A deviation from an approved template or control must identify the clause or requirement, preferred position, counterparty rationale, business need, exposure, mitigation, duration, owner, and requested approver. Material legal risk is accepted by the business authority—not merely by Legal—and functional owners accept their domain risks. Deviations expire with the transaction and do not amend the playbook.</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structured risk memos for caps, security, privacy, IP, exclusivity, and auto-renewal.</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Casual email approval loses context and becomes precedent.</w:t>
            </w:r>
          </w:p>
        </w:tc>
      </w:tr>
    </w:tbl>
    <w:p/>
    <w:p>
      <w:pPr>
        <w:pStyle w:val="Heading2"/>
        <w:keepNext/>
      </w:pPr>
      <w:r>
        <w:t>11. Signature Authority</w:t>
      </w:r>
    </w:p>
    <w:p>
      <w:pPr>
        <w:pStyle w:val="ClauseText"/>
        <w:keepNext/>
        <w:keepLines/>
      </w:pPr>
      <w:r>
        <w:t>Only a person with current written authority for the specific legal entity, document type, value, and risk level may sign or electronically accept. Authority does not include approval unless separately granted. Signatories must confirm recorded approvals, final-document integrity, correct entity, completed schedules, and no unapproved changes. Signature credentials may not be shared.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Maintain an authority register and integrate e-sign access. Address board, officer, power-of-attorney, and bank requirements.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Job title and system access can create apparent authority and fraud risk.</w:t>
            </w:r>
          </w:p>
        </w:tc>
      </w:tr>
    </w:tbl>
    <w:p/>
    <w:p>
      <w:pPr>
        <w:pStyle w:val="Heading2"/>
        <w:keepNext/>
      </w:pPr>
      <w:r>
        <w:t>12. Electronic and Clickwrap Acceptance</w:t>
      </w:r>
    </w:p>
    <w:p>
      <w:pPr>
        <w:pStyle w:val="ClauseText"/>
        <w:keepNext/>
        <w:keepLines/>
      </w:pPr>
      <w:r>
        <w:t>Electronic signatures and records may be used when permitted by law and the transaction protocol. Employees may not click ‘accept,’ open an account, enable an app, or use a service on behalf of Company if terms create a commitment outside authority. The matter record must preserve presented terms, version, assent event, identity, authentication, and completed document.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Classify app-store, cloud, marketplace, card, and web purchases; deploy SSO and procurement controls.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Clickwrap can create binding contracts without conventional signature review.</w:t>
            </w:r>
          </w:p>
        </w:tc>
      </w:tr>
    </w:tbl>
    <w:p/>
    <w:p>
      <w:pPr>
        <w:pStyle w:val="Heading2"/>
        <w:keepNext/>
      </w:pPr>
      <w:r>
        <w:t>13. Final Document Control and Execution</w:t>
      </w:r>
    </w:p>
    <w:p>
      <w:pPr>
        <w:pStyle w:val="ClauseText"/>
        <w:keepNext/>
        <w:keepLines/>
      </w:pPr>
      <w:r>
        <w:t>Before execution, the owner will run a final comparison against the approved draft, confirm exhibits and referenced links, complete names, dates, defined terms, pricing, schedules, notices, signature blocks, and authority, and remove comments and alternatives. Counterparts are assembled into one authoritative executed set; post-signature edits require a formal amendment.</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Use document comparison, checksum or CLM version control, and a closing checklist for material deals.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Wrong-version and missing-exhibit errors are common and consequential.</w:t>
            </w:r>
          </w:p>
        </w:tc>
      </w:tr>
    </w:tbl>
    <w:p/>
    <w:p>
      <w:pPr>
        <w:pStyle w:val="Heading2"/>
        <w:keepNext/>
      </w:pPr>
      <w:r>
        <w:t>14. Repository and Metadata</w:t>
      </w:r>
    </w:p>
    <w:p>
      <w:pPr>
        <w:pStyle w:val="ClauseText"/>
        <w:keepNext/>
        <w:keepLines/>
      </w:pPr>
      <w:r>
        <w:t>The executed contract, amendments, statements of work, approvals, risk decisions, certificates, and material notices must be stored in [SYSTEM OF RECORD] within [●] days. Required metadata includes entity, counterparty, owner, category, value, dates, renewal/notice, obligations, data/IP flags, insurance, termination, assignment/change control, and related records. Access and retention follow role and legal-hold controls.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Automate ingestion and quality-check metadata; do not rely on individual inboxes.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contract that cannot be found or calendared cannot be managed.</w:t>
            </w:r>
          </w:p>
        </w:tc>
      </w:tr>
    </w:tbl>
    <w:p/>
    <w:p>
      <w:pPr>
        <w:pStyle w:val="Heading2"/>
        <w:keepNext/>
      </w:pPr>
      <w:r>
        <w:t>15. Obligation and Performance Management</w:t>
      </w:r>
    </w:p>
    <w:p>
      <w:pPr>
        <w:pStyle w:val="ClauseText"/>
        <w:keepNext/>
        <w:keepLines/>
      </w:pPr>
      <w:r>
        <w:t>The business owner will track deliverables, acceptance, invoices, usage, service levels, security and compliance evidence, insurance, reporting, audit rights, credits, covenants, customer/supplier dependencies, and disputes. Material failures and changed facts are escalated before waiver or continued performance implies acceptance. Legal does not own routine contract administration.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Link obligations to operational systems and accountable people.</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Execution without performance controls loses negotiated value and accumulates breach.</w:t>
            </w:r>
          </w:p>
        </w:tc>
      </w:tr>
    </w:tbl>
    <w:p/>
    <w:p>
      <w:pPr>
        <w:pStyle w:val="Heading2"/>
        <w:keepNext/>
      </w:pPr>
      <w:r>
        <w:t>16. Renewal, Notice, and Termination</w:t>
      </w:r>
    </w:p>
    <w:p>
      <w:pPr>
        <w:pStyle w:val="ClauseText"/>
        <w:keepNext/>
        <w:keepLines/>
      </w:pPr>
      <w:r>
        <w:t>The repository will alert owners at [180/120/90/60/30] days before renewal and notice deadlines based on risk. The owner will assess need, performance, pricing, usage, incidents, supplier/customer risk, compliance, data return, changes, and leverage before renewal. Auto-renewal, nonrenewal, termination, and exit notices require authority and delivery evidence.</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Assign backup owners and escalation when employees depart. Test notice addresses and methods.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Missed windows lock startups into poor terms and unused services.</w:t>
            </w:r>
          </w:p>
        </w:tc>
      </w:tr>
    </w:tbl>
    <w:p/>
    <w:p>
      <w:pPr>
        <w:pStyle w:val="Heading2"/>
        <w:keepNext/>
      </w:pPr>
      <w:r>
        <w:t>17. Amendments, SOWs, Change Orders, and Waivers</w:t>
      </w:r>
    </w:p>
    <w:p>
      <w:pPr>
        <w:pStyle w:val="ClauseText"/>
        <w:keepNext/>
        <w:keepLines/>
      </w:pPr>
      <w:r>
        <w:t>An amendment, SOW, order form, change order, renewal, consent, waiver, or side letter follows the same intake and approval logic, considering the agreement as amended and aggregate exposure. It must cite the correct agreement and sections, state limited effect, preserve other terms, resolve precedence, and be signed by authorized parties. Operational accommodation is not a legal waiver unless authorized.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Prevent small documents from changing caps, data, IP, term, or minimums unnoticed.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Ancillary documents are a frequent path around negotiated protections.</w:t>
            </w:r>
          </w:p>
        </w:tc>
      </w:tr>
    </w:tbl>
    <w:p/>
    <w:p>
      <w:pPr>
        <w:pStyle w:val="Heading2"/>
        <w:keepNext/>
      </w:pPr>
      <w:r>
        <w:t>18. Emergency Contracting and Ratification</w:t>
      </w:r>
    </w:p>
    <w:p>
      <w:pPr>
        <w:pStyle w:val="ClauseText"/>
        <w:keepNext/>
        <w:keepLines/>
      </w:pPr>
      <w:r>
        <w:t>Where delay threatens safety, legal compliance, material service continuity, or significant loss, the designated emergency authority may approve a limited commitment with defined cap, term, scope, safeguards, and exit, followed by full review within [●] days. Convenience, poor planning, or sales pressure alone is not an emergency. Unauthorized commitments are reported; ratification is discretionary and requires lawful authority and complete facts.</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Create after-hours contacts and board escalation; measure exception patterns.</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Routine emergency use normalizes bypass and personal exposure.</w:t>
            </w:r>
          </w:p>
        </w:tc>
      </w:tr>
    </w:tbl>
    <w:p/>
    <w:p>
      <w:pPr>
        <w:pStyle w:val="Heading2"/>
        <w:keepNext/>
      </w:pPr>
      <w:r>
        <w:t>19. Training, Monitoring, and Enforcement</w:t>
      </w:r>
    </w:p>
    <w:p>
      <w:pPr>
        <w:pStyle w:val="ClauseText"/>
        <w:keepNext/>
        <w:keepLines/>
      </w:pPr>
      <w:r>
        <w:t>Covered personnel receive role-based training at onboarding and periodically. Policy owner monitors intake completeness, cycle time, exception rate, unauthorized signatures, contract leakage, renewal outcomes, repository quality, and incidents. Violations may lead to access restriction, remedial training, discipline, investigation, or other action consistent with law; good-faith questions and reporting are protected.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Measure quality and outcomes, not only speed. Use non-retaliation and employment review.</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A policy without system controls and consequences remains optional.</w:t>
            </w:r>
          </w:p>
        </w:tc>
      </w:tr>
    </w:tbl>
    <w:p/>
    <w:p>
      <w:pPr>
        <w:pStyle w:val="Heading2"/>
        <w:keepNext/>
      </w:pPr>
      <w:r>
        <w:t>20. Policy Governance and Annual Review</w:t>
      </w:r>
    </w:p>
    <w:p>
      <w:pPr>
        <w:pStyle w:val="ClauseText"/>
        <w:keepNext/>
        <w:keepLines/>
      </w:pPr>
      <w:r>
        <w:t>The Policy Owner will review entity structure, board delegations, personnel, thresholds, templates, systems, laws, insurance, risk events, audits, and business strategy at least annually and after material change. Amendments require [APPROVER] and are versioned with effective date and transition rules. Prior approvals remain governed by their recorded version unless expressly revisited.</w:t>
      </w:r>
    </w:p>
    <w:tbl>
      <w:tblPr>
        <w:tblStyle w:val="TableGrid"/>
        <w:tblW w:type="dxa" w:w="9360"/>
        <w:jc w:val="left"/>
        <w:tblLayout w:type="fixed"/>
        <w:tblLook w:firstColumn="1" w:firstRow="1" w:lastColumn="0" w:lastRow="0" w:noHBand="0" w:noVBand="1" w:val="04A0"/>
        <w:tblInd w:w="120" w:type="dxa"/>
      </w:tblPr>
      <w:tblGrid>
        <w:gridCol w:w="1800"/>
        <w:gridCol w:w="7560"/>
      </w:tblGrid>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Drafting instruction</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Keep authority, approval, template, and system matrices synchronized.</w:t>
            </w:r>
          </w:p>
        </w:tc>
      </w:tr>
      <w:tr>
        <w:trPr>
          <w:cantSplit/>
          <w:trHeight w:hRule="atLeast"/>
        </w:trPr>
        <w:tc>
          <w:tcPr>
            <w:tcW w:type="dxa" w:w="1800"/>
            <w:shd w:fill="F2F4F7"/>
            <w:vAlign w:val="top"/>
            <w:tcMar>
              <w:top w:w="80" w:type="dxa"/>
              <w:bottom w:w="80" w:type="dxa"/>
              <w:start w:w="120" w:type="dxa"/>
              <w:end w:w="120" w:type="dxa"/>
            </w:tcMar>
          </w:tcPr>
          <w:p>
            <w:r>
              <w:rPr>
                <w:rFonts w:ascii="Calibri" w:hAnsi="Calibri" w:eastAsia="Calibri"/>
                <w:b/>
                <w:i w:val="0"/>
                <w:color w:val="17365D"/>
                <w:sz w:val="17"/>
              </w:rPr>
              <w:t>Primary risk</w:t>
            </w:r>
          </w:p>
        </w:tc>
        <w:tc>
          <w:tcPr>
            <w:tcW w:type="dxa" w:w="7560"/>
            <w:vAlign w:val="top"/>
            <w:tcMar>
              <w:top w:w="80" w:type="dxa"/>
              <w:bottom w:w="80" w:type="dxa"/>
              <w:start w:w="120" w:type="dxa"/>
              <w:end w:w="120" w:type="dxa"/>
            </w:tcMar>
          </w:tcPr>
          <w:p>
            <w:r>
              <w:rPr>
                <w:rFonts w:ascii="Calibri" w:hAnsi="Calibri" w:eastAsia="Calibri"/>
                <w:b w:val="0"/>
                <w:i w:val="0"/>
                <w:color w:val="111111"/>
                <w:sz w:val="17"/>
              </w:rPr>
              <w:t>Stale delegations and former-employee access create unauthorized commitments.</w:t>
            </w:r>
          </w:p>
        </w:tc>
      </w:tr>
    </w:tbl>
    <w:p/>
    <w:p>
      <w:pPr>
        <w:pStyle w:val="Heading1"/>
      </w:pPr>
      <w:r>
        <w:t>3. Required Schedules and Closing Tools</w:t>
      </w:r>
    </w:p>
    <w:p>
      <w:pPr>
        <w:pStyle w:val="Heading2"/>
      </w:pPr>
      <w:r>
        <w:t>Schedule 1 — Intake and Risk Tier</w:t>
      </w:r>
    </w:p>
    <w:p>
      <w:pPr>
        <w:keepNext/>
      </w:pPr>
      <w:r>
        <w:t>A complete intake is the source of routing and approval.</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Required fact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Response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Risk flag</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Owner/evidence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Entity/counterparty/purpose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Value/term/renewal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Data/IP/system/access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Regulatory/international/related party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2 — Approval and Signature Matrix</w:t>
      </w:r>
    </w:p>
    <w:p>
      <w:pPr>
        <w:keepNext/>
      </w:pPr>
      <w:r>
        <w:t>State entity, value, term, and prohibited delegations.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Category/tier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Required reviewers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Business approver</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Authorized signatory</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Low standard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Standard negotiated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High risk/value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Board-reserved/emergency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2"/>
      </w:pPr>
      <w:r>
        <w:t>Schedule 3 — Deviation and Final Release Record</w:t>
      </w:r>
    </w:p>
    <w:p>
      <w:pPr>
        <w:keepNext/>
      </w:pPr>
      <w:r>
        <w:t>No signature while a required condition remains open.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Control</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Finding/request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Approval</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Material deviation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[risk memo]</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Functional conditions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Final compare/exhibits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[pass/fail]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[report]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Authority/execution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[pass/fail]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[executed set]</w:t>
            </w:r>
          </w:p>
        </w:tc>
      </w:tr>
    </w:tbl>
    <w:p/>
    <w:p>
      <w:pPr>
        <w:pStyle w:val="Heading2"/>
      </w:pPr>
      <w:r>
        <w:t>Schedule 4 — Repository, Obligations, and Renewal</w:t>
      </w:r>
    </w:p>
    <w:p>
      <w:pPr>
        <w:keepNext/>
      </w:pPr>
      <w:r>
        <w:t>Transfer ownership when personnel or structure changes.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Record/obligation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Deadline/alert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Status/evidence</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Executed set/metadata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Deliverable/payment/SLA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Compliance/insurance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7"/>
              </w:rPr>
              <w:t>Renewal/notice/exit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bl>
    <w:p/>
    <w:p>
      <w:pPr>
        <w:pStyle w:val="Heading1"/>
      </w:pPr>
      <w:r>
        <w:t>4. Negotiation and Design Map</w:t>
      </w:r>
    </w:p>
    <w:tbl>
      <w:tblPr>
        <w:tblStyle w:val="TableGrid"/>
        <w:tblW w:type="dxa" w:w="9360"/>
        <w:jc w:val="left"/>
        <w:tblLayout w:type="fixed"/>
        <w:tblLook w:firstColumn="1" w:firstRow="1" w:lastColumn="0" w:lastRow="0" w:noHBand="0" w:noVBand="1" w:val="04A0"/>
        <w:tblInd w:w="120" w:type="dxa"/>
      </w:tblPr>
      <w:tblGrid>
        <w:gridCol w:w="1800"/>
        <w:gridCol w:w="2520"/>
        <w:gridCol w:w="2520"/>
        <w:gridCol w:w="2520"/>
      </w:tblGrid>
      <w:tr>
        <w:trPr>
          <w:trHeight w:hRule="atLeast"/>
          <w:tblHeader w:val="true"/>
          <w:cantSplit/>
        </w:trPr>
        <w:tc>
          <w:tcPr>
            <w:tcW w:type="dxa" w:w="1800"/>
            <w:shd w:fill="F2F4F7"/>
            <w:vAlign w:val="top"/>
            <w:tcMar>
              <w:top w:w="80" w:type="dxa"/>
              <w:bottom w:w="80" w:type="dxa"/>
              <w:start w:w="120" w:type="dxa"/>
              <w:end w:w="120" w:type="dxa"/>
            </w:tcMar>
          </w:tcPr>
          <w:p>
            <w:r>
              <w:rPr>
                <w:rFonts w:ascii="Calibri" w:hAnsi="Calibri" w:eastAsia="Calibri"/>
                <w:b/>
                <w:i w:val="0"/>
                <w:color w:val="17365D"/>
                <w:sz w:val="18"/>
              </w:rPr>
              <w:t>Issue</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Preferred control</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Avoid / escalation</w:t>
            </w:r>
          </w:p>
        </w:tc>
        <w:tc>
          <w:tcPr>
            <w:tcW w:type="dxa" w:w="2520"/>
            <w:shd w:fill="F2F4F7"/>
            <w:vAlign w:val="top"/>
            <w:tcMar>
              <w:top w:w="80" w:type="dxa"/>
              <w:bottom w:w="80" w:type="dxa"/>
              <w:start w:w="120" w:type="dxa"/>
              <w:end w:w="120" w:type="dxa"/>
            </w:tcMar>
          </w:tcPr>
          <w:p>
            <w:r>
              <w:rPr>
                <w:rFonts w:ascii="Calibri" w:hAnsi="Calibri" w:eastAsia="Calibri"/>
                <w:b/>
                <w:i w:val="0"/>
                <w:color w:val="17365D"/>
                <w:sz w:val="18"/>
              </w:rPr>
              <w:t>Required evidence</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Risk routing</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Fact-based tier with specialist triggers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Value-only review</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Intake record</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Authority</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Entity/document/value-specific</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Title or e-sign access</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Authority register</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Deviation</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Explicit business risk acceptance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Legal-only or silent precedent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Reasoned memo</w:t>
            </w:r>
          </w:p>
        </w:tc>
      </w:tr>
      <w:tr>
        <w:trPr>
          <w:cantSplit/>
          <w:trHeight w:hRule="atLeast"/>
        </w:trPr>
        <w:tc>
          <w:tcPr>
            <w:tcW w:type="dxa" w:w="1800"/>
            <w:vAlign w:val="top"/>
            <w:tcMar>
              <w:top w:w="80" w:type="dxa"/>
              <w:bottom w:w="80" w:type="dxa"/>
              <w:start w:w="120" w:type="dxa"/>
              <w:end w:w="120" w:type="dxa"/>
            </w:tcMar>
          </w:tcPr>
          <w:p>
            <w:pPr>
              <w:spacing w:after="40"/>
            </w:pPr>
            <w:r>
              <w:rPr>
                <w:rFonts w:ascii="Calibri" w:hAnsi="Calibri" w:eastAsia="Calibri"/>
                <w:b w:val="0"/>
                <w:i w:val="0"/>
                <w:color w:val="111111"/>
                <w:sz w:val="17"/>
              </w:rPr>
              <w:t>Lifecycle</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Repository, obligations, alerts, exit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File-and-forget</w:t>
            </w:r>
          </w:p>
        </w:tc>
        <w:tc>
          <w:tcPr>
            <w:tcW w:type="dxa" w:w="2520"/>
            <w:vAlign w:val="top"/>
            <w:tcMar>
              <w:top w:w="80" w:type="dxa"/>
              <w:bottom w:w="80" w:type="dxa"/>
              <w:start w:w="120" w:type="dxa"/>
              <w:end w:w="120" w:type="dxa"/>
            </w:tcMar>
          </w:tcPr>
          <w:p>
            <w:pPr>
              <w:spacing w:after="40"/>
            </w:pPr>
            <w:r>
              <w:rPr>
                <w:rFonts w:ascii="Calibri" w:hAnsi="Calibri" w:eastAsia="Calibri"/>
                <w:b w:val="0"/>
                <w:i w:val="0"/>
                <w:color w:val="111111"/>
                <w:sz w:val="17"/>
              </w:rPr>
              <w:t>Owner and metadata</w:t>
            </w:r>
          </w:p>
        </w:tc>
      </w:tr>
    </w:tbl>
    <w:p/>
    <w:p>
      <w:pPr>
        <w:pStyle w:val="Heading1"/>
      </w:pPr>
      <w:r>
        <w:t>5. Scenario Tests</w:t>
      </w:r>
    </w:p>
    <w:tbl>
      <w:tblPr>
        <w:tblStyle w:val="TableGrid"/>
        <w:tblW w:type="dxa" w:w="9360"/>
        <w:jc w:val="left"/>
        <w:tblLayout w:type="fixed"/>
        <w:tblLook w:firstColumn="1" w:firstRow="1" w:lastColumn="0" w:lastRow="0" w:noHBand="0" w:noVBand="1" w:val="04A0"/>
        <w:tblInd w:w="120" w:type="dxa"/>
      </w:tblPr>
      <w:tblGrid>
        <w:gridCol w:w="2200"/>
        <w:gridCol w:w="3600"/>
        <w:gridCol w:w="3560"/>
      </w:tblGrid>
      <w:tr>
        <w:trPr>
          <w:trHeight w:hRule="atLeast"/>
          <w:tblHeader w:val="true"/>
          <w:cantSplit/>
        </w:trPr>
        <w:tc>
          <w:tcPr>
            <w:tcW w:type="dxa" w:w="2200"/>
            <w:shd w:fill="F2F4F7"/>
            <w:vAlign w:val="top"/>
            <w:tcMar>
              <w:top w:w="80" w:type="dxa"/>
              <w:bottom w:w="80" w:type="dxa"/>
              <w:start w:w="120" w:type="dxa"/>
              <w:end w:w="120" w:type="dxa"/>
            </w:tcMar>
          </w:tcPr>
          <w:p>
            <w:r>
              <w:rPr>
                <w:rFonts w:ascii="Calibri" w:hAnsi="Calibri" w:eastAsia="Calibri"/>
                <w:b/>
                <w:i w:val="0"/>
                <w:color w:val="17365D"/>
                <w:sz w:val="18"/>
              </w:rPr>
              <w:t>Scenario</w:t>
            </w:r>
          </w:p>
        </w:tc>
        <w:tc>
          <w:tcPr>
            <w:tcW w:type="dxa" w:w="3600"/>
            <w:shd w:fill="F2F4F7"/>
            <w:vAlign w:val="top"/>
            <w:tcMar>
              <w:top w:w="80" w:type="dxa"/>
              <w:bottom w:w="80" w:type="dxa"/>
              <w:start w:w="120" w:type="dxa"/>
              <w:end w:w="120" w:type="dxa"/>
            </w:tcMar>
          </w:tcPr>
          <w:p>
            <w:r>
              <w:rPr>
                <w:rFonts w:ascii="Calibri" w:hAnsi="Calibri" w:eastAsia="Calibri"/>
                <w:b/>
                <w:i w:val="0"/>
                <w:color w:val="17365D"/>
                <w:sz w:val="18"/>
              </w:rPr>
              <w:t>Required operation</w:t>
            </w:r>
          </w:p>
        </w:tc>
        <w:tc>
          <w:tcPr>
            <w:tcW w:type="dxa" w:w="3560"/>
            <w:shd w:fill="F2F4F7"/>
            <w:vAlign w:val="top"/>
            <w:tcMar>
              <w:top w:w="80" w:type="dxa"/>
              <w:bottom w:w="80" w:type="dxa"/>
              <w:start w:w="120" w:type="dxa"/>
              <w:end w:w="120" w:type="dxa"/>
            </w:tcMar>
          </w:tcPr>
          <w:p>
            <w:r>
              <w:rPr>
                <w:rFonts w:ascii="Calibri" w:hAnsi="Calibri" w:eastAsia="Calibri"/>
                <w:b/>
                <w:i w:val="0"/>
                <w:color w:val="17365D"/>
                <w:sz w:val="18"/>
              </w:rPr>
              <w:t>Review point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Employee accepts cloud clickwrap</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Assess authority, preserve presented terms, route review</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Restrict access and determine cure</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Sales deal uses old template</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Compare, identify legal/business changes, require current approval</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No grandfather by habit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Auto-renewal deadline is tomorrow</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Use authorized notice and evidence; assess emergency path</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Do not fabricate approval</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SOW adds sensitive data</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Re-tier aggregate deal and route privacy/security</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Ancillary form not exempt</w:t>
            </w:r>
          </w:p>
        </w:tc>
      </w:tr>
      <w:tr>
        <w:trPr>
          <w:cantSplit/>
          <w:trHeight w:hRule="atLeast"/>
        </w:trPr>
        <w:tc>
          <w:tcPr>
            <w:tcW w:type="dxa" w:w="2200"/>
            <w:vAlign w:val="top"/>
            <w:tcMar>
              <w:top w:w="80" w:type="dxa"/>
              <w:bottom w:w="80" w:type="dxa"/>
              <w:start w:w="120" w:type="dxa"/>
              <w:end w:w="120" w:type="dxa"/>
            </w:tcMar>
          </w:tcPr>
          <w:p>
            <w:pPr>
              <w:spacing w:after="40"/>
            </w:pPr>
            <w:r>
              <w:rPr>
                <w:rFonts w:ascii="Calibri" w:hAnsi="Calibri" w:eastAsia="Calibri"/>
                <w:b w:val="0"/>
                <w:i w:val="0"/>
                <w:color w:val="111111"/>
                <w:sz w:val="17"/>
              </w:rPr>
              <w:t>CEO signs subsidiary contract</w:t>
            </w:r>
          </w:p>
        </w:tc>
        <w:tc>
          <w:tcPr>
            <w:tcW w:type="dxa" w:w="3600"/>
            <w:vAlign w:val="top"/>
            <w:tcMar>
              <w:top w:w="80" w:type="dxa"/>
              <w:bottom w:w="80" w:type="dxa"/>
              <w:start w:w="120" w:type="dxa"/>
              <w:end w:w="120" w:type="dxa"/>
            </w:tcMar>
          </w:tcPr>
          <w:p>
            <w:pPr>
              <w:spacing w:after="40"/>
            </w:pPr>
            <w:r>
              <w:rPr>
                <w:rFonts w:ascii="Calibri" w:hAnsi="Calibri" w:eastAsia="Calibri"/>
                <w:b w:val="0"/>
                <w:i w:val="0"/>
                <w:color w:val="111111"/>
                <w:sz w:val="17"/>
              </w:rPr>
              <w:t>Confirm actual entity authority and approvals</w:t>
            </w:r>
          </w:p>
        </w:tc>
        <w:tc>
          <w:tcPr>
            <w:tcW w:type="dxa" w:w="3560"/>
            <w:vAlign w:val="top"/>
            <w:tcMar>
              <w:top w:w="80" w:type="dxa"/>
              <w:bottom w:w="80" w:type="dxa"/>
              <w:start w:w="120" w:type="dxa"/>
              <w:end w:w="120" w:type="dxa"/>
            </w:tcMar>
          </w:tcPr>
          <w:p>
            <w:pPr>
              <w:spacing w:after="40"/>
            </w:pPr>
            <w:r>
              <w:rPr>
                <w:rFonts w:ascii="Calibri" w:hAnsi="Calibri" w:eastAsia="Calibri"/>
                <w:b w:val="0"/>
                <w:i w:val="0"/>
                <w:color w:val="111111"/>
                <w:sz w:val="17"/>
              </w:rPr>
              <w:t>Title at parent may not suffice</w:t>
            </w:r>
          </w:p>
        </w:tc>
      </w:tr>
    </w:tbl>
    <w:p/>
    <w:p>
      <w:pPr>
        <w:pStyle w:val="Heading1"/>
      </w:pPr>
      <w:r>
        <w:t>6. Current-Authority and Specialist Gates</w:t>
      </w:r>
    </w:p>
    <w:tbl>
      <w:tblPr>
        <w:tblStyle w:val="TableGrid"/>
        <w:tblW w:type="dxa" w:w="9360"/>
        <w:jc w:val="left"/>
        <w:tblLayout w:type="fixed"/>
        <w:tblLook w:firstColumn="1" w:firstRow="1" w:lastColumn="0" w:lastRow="0" w:noHBand="0" w:noVBand="1" w:val="04A0"/>
        <w:tblInd w:w="120" w:type="dxa"/>
      </w:tblPr>
      <w:tblGrid>
        <w:gridCol w:w="1600"/>
        <w:gridCol w:w="2800"/>
        <w:gridCol w:w="2000"/>
        <w:gridCol w:w="2960"/>
      </w:tblGrid>
      <w:tr>
        <w:trPr>
          <w:trHeight w:hRule="atLeast"/>
          <w:tblHeader w:val="true"/>
          <w:cantSplit/>
        </w:trPr>
        <w:tc>
          <w:tcPr>
            <w:tcW w:type="dxa" w:w="1600"/>
            <w:shd w:fill="F2F4F7"/>
            <w:vAlign w:val="top"/>
            <w:tcMar>
              <w:top w:w="80" w:type="dxa"/>
              <w:bottom w:w="80" w:type="dxa"/>
              <w:start w:w="120" w:type="dxa"/>
              <w:end w:w="120" w:type="dxa"/>
            </w:tcMar>
          </w:tcPr>
          <w:p>
            <w:r>
              <w:rPr>
                <w:rFonts w:ascii="Calibri" w:hAnsi="Calibri" w:eastAsia="Calibri"/>
                <w:b/>
                <w:i w:val="0"/>
                <w:color w:val="17365D"/>
                <w:sz w:val="18"/>
              </w:rPr>
              <w:t>Gate</w:t>
            </w:r>
          </w:p>
        </w:tc>
        <w:tc>
          <w:tcPr>
            <w:tcW w:type="dxa" w:w="2800"/>
            <w:shd w:fill="F2F4F7"/>
            <w:vAlign w:val="top"/>
            <w:tcMar>
              <w:top w:w="80" w:type="dxa"/>
              <w:bottom w:w="80" w:type="dxa"/>
              <w:start w:w="120" w:type="dxa"/>
              <w:end w:w="120" w:type="dxa"/>
            </w:tcMar>
          </w:tcPr>
          <w:p>
            <w:r>
              <w:rPr>
                <w:rFonts w:ascii="Calibri" w:hAnsi="Calibri" w:eastAsia="Calibri"/>
                <w:b/>
                <w:i w:val="0"/>
                <w:color w:val="17365D"/>
                <w:sz w:val="18"/>
              </w:rPr>
              <w:t>Starting authority</w:t>
            </w:r>
          </w:p>
        </w:tc>
        <w:tc>
          <w:tcPr>
            <w:tcW w:type="dxa" w:w="2000"/>
            <w:shd w:fill="F2F4F7"/>
            <w:vAlign w:val="top"/>
            <w:tcMar>
              <w:top w:w="80" w:type="dxa"/>
              <w:bottom w:w="80" w:type="dxa"/>
              <w:start w:w="120" w:type="dxa"/>
              <w:end w:w="120" w:type="dxa"/>
            </w:tcMar>
          </w:tcPr>
          <w:p>
            <w:r>
              <w:rPr>
                <w:rFonts w:ascii="Calibri" w:hAnsi="Calibri" w:eastAsia="Calibri"/>
                <w:b/>
                <w:i w:val="0"/>
                <w:color w:val="17365D"/>
                <w:sz w:val="18"/>
              </w:rPr>
              <w:t>Owner</w:t>
            </w:r>
          </w:p>
        </w:tc>
        <w:tc>
          <w:tcPr>
            <w:tcW w:type="dxa" w:w="2960"/>
            <w:shd w:fill="F2F4F7"/>
            <w:vAlign w:val="top"/>
            <w:tcMar>
              <w:top w:w="80" w:type="dxa"/>
              <w:bottom w:w="80" w:type="dxa"/>
              <w:start w:w="120" w:type="dxa"/>
              <w:end w:w="120" w:type="dxa"/>
            </w:tcMar>
          </w:tcPr>
          <w:p>
            <w:r>
              <w:rPr>
                <w:rFonts w:ascii="Calibri" w:hAnsi="Calibri" w:eastAsia="Calibri"/>
                <w:b/>
                <w:i w:val="0"/>
                <w:color w:val="17365D"/>
                <w:sz w:val="18"/>
              </w:rPr>
              <w:t>Matter-specific question</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Entity/agency authority</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Current governing documents and state entity/agency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Corporate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Actual/apparent authority and reserved matters</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E-signatures/records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Federal E-SIGN, enacted UETA/state and subject-specific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Commercial counsel</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Consent, exclusions, evidence</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Contract/data/IP</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Chosen-state, privacy, security and IP law</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Risk triggers and lifecycle</w:t>
            </w:r>
          </w:p>
        </w:tc>
      </w:tr>
      <w:tr>
        <w:trPr>
          <w:cantSplit/>
          <w:trHeight w:hRule="atLeast"/>
        </w:trPr>
        <w:tc>
          <w:tcPr>
            <w:tcW w:type="dxa" w:w="1600"/>
            <w:vAlign w:val="top"/>
            <w:tcMar>
              <w:top w:w="80" w:type="dxa"/>
              <w:bottom w:w="80" w:type="dxa"/>
              <w:start w:w="120" w:type="dxa"/>
              <w:end w:w="120" w:type="dxa"/>
            </w:tcMar>
          </w:tcPr>
          <w:p>
            <w:pPr>
              <w:spacing w:after="40"/>
            </w:pPr>
            <w:r>
              <w:rPr>
                <w:rFonts w:ascii="Calibri" w:hAnsi="Calibri" w:eastAsia="Calibri"/>
                <w:b w:val="0"/>
                <w:i w:val="0"/>
                <w:color w:val="111111"/>
                <w:sz w:val="17"/>
              </w:rPr>
              <w:t>Employment/records</w:t>
            </w:r>
          </w:p>
        </w:tc>
        <w:tc>
          <w:tcPr>
            <w:tcW w:type="dxa" w:w="2800"/>
            <w:vAlign w:val="top"/>
            <w:tcMar>
              <w:top w:w="80" w:type="dxa"/>
              <w:bottom w:w="80" w:type="dxa"/>
              <w:start w:w="120" w:type="dxa"/>
              <w:end w:w="120" w:type="dxa"/>
            </w:tcMar>
          </w:tcPr>
          <w:p>
            <w:pPr>
              <w:spacing w:after="40"/>
            </w:pPr>
            <w:r>
              <w:rPr>
                <w:rFonts w:ascii="Calibri" w:hAnsi="Calibri" w:eastAsia="Calibri"/>
                <w:b w:val="0"/>
                <w:i w:val="0"/>
                <w:color w:val="111111"/>
                <w:sz w:val="17"/>
              </w:rPr>
              <w:t>Applicable employment, whistleblower, retention and privilege rules</w:t>
            </w:r>
          </w:p>
        </w:tc>
        <w:tc>
          <w:tcPr>
            <w:tcW w:type="dxa" w:w="2000"/>
            <w:vAlign w:val="top"/>
            <w:tcMar>
              <w:top w:w="80" w:type="dxa"/>
              <w:bottom w:w="80" w:type="dxa"/>
              <w:start w:w="120" w:type="dxa"/>
              <w:end w:w="120" w:type="dxa"/>
            </w:tcMar>
          </w:tcPr>
          <w:p>
            <w:pPr>
              <w:spacing w:after="40"/>
            </w:pPr>
            <w:r>
              <w:rPr>
                <w:rFonts w:ascii="Calibri" w:hAnsi="Calibri" w:eastAsia="Calibri"/>
                <w:b w:val="0"/>
                <w:i w:val="0"/>
                <w:color w:val="111111"/>
                <w:sz w:val="17"/>
              </w:rPr>
              <w:t>Specialists</w:t>
            </w:r>
          </w:p>
        </w:tc>
        <w:tc>
          <w:tcPr>
            <w:tcW w:type="dxa" w:w="2960"/>
            <w:vAlign w:val="top"/>
            <w:tcMar>
              <w:top w:w="80" w:type="dxa"/>
              <w:bottom w:w="80" w:type="dxa"/>
              <w:start w:w="120" w:type="dxa"/>
              <w:end w:w="120" w:type="dxa"/>
            </w:tcMar>
          </w:tcPr>
          <w:p>
            <w:pPr>
              <w:spacing w:after="40"/>
            </w:pPr>
            <w:r>
              <w:rPr>
                <w:rFonts w:ascii="Calibri" w:hAnsi="Calibri" w:eastAsia="Calibri"/>
                <w:b w:val="0"/>
                <w:i w:val="0"/>
                <w:color w:val="111111"/>
                <w:sz w:val="17"/>
              </w:rPr>
              <w:t>Monitoring and enforcement</w:t>
            </w:r>
          </w:p>
        </w:tc>
      </w:tr>
    </w:tbl>
    <w:p/>
    <w:p>
      <w:pPr>
        <w:pStyle w:val="Heading1"/>
      </w:pPr>
      <w:r>
        <w:t>7. Matter Completion and Release Checklist</w:t>
      </w:r>
    </w:p>
    <w:tbl>
      <w:tblPr>
        <w:tblStyle w:val="TableGrid"/>
        <w:tblW w:type="dxa" w:w="9360"/>
        <w:jc w:val="left"/>
        <w:tblLayout w:type="fixed"/>
        <w:tblLook w:firstColumn="1" w:firstRow="1" w:lastColumn="0" w:lastRow="0" w:noHBand="0" w:noVBand="1" w:val="04A0"/>
        <w:tblInd w:w="120" w:type="dxa"/>
      </w:tblPr>
      <w:tblGrid>
        <w:gridCol w:w="1200"/>
        <w:gridCol w:w="8160"/>
      </w:tblGrid>
      <w:tr>
        <w:trPr>
          <w:trHeight w:hRule="atLeast"/>
          <w:tblHeader w:val="true"/>
          <w:cantSplit/>
        </w:trPr>
        <w:tc>
          <w:tcPr>
            <w:tcW w:type="dxa" w:w="1200"/>
            <w:shd w:fill="F2F4F7"/>
            <w:vAlign w:val="top"/>
            <w:tcMar>
              <w:top w:w="80" w:type="dxa"/>
              <w:bottom w:w="80" w:type="dxa"/>
              <w:start w:w="120" w:type="dxa"/>
              <w:end w:w="120" w:type="dxa"/>
            </w:tcMar>
          </w:tcPr>
          <w:p>
            <w:r>
              <w:rPr>
                <w:rFonts w:ascii="Calibri" w:hAnsi="Calibri" w:eastAsia="Calibri"/>
                <w:b/>
                <w:i w:val="0"/>
                <w:color w:val="17365D"/>
                <w:sz w:val="18"/>
              </w:rPr>
              <w:t>Status</w:t>
            </w:r>
          </w:p>
        </w:tc>
        <w:tc>
          <w:tcPr>
            <w:tcW w:type="dxa" w:w="8160"/>
            <w:shd w:fill="F2F4F7"/>
            <w:vAlign w:val="top"/>
            <w:tcMar>
              <w:top w:w="80" w:type="dxa"/>
              <w:bottom w:w="80" w:type="dxa"/>
              <w:start w:w="120" w:type="dxa"/>
              <w:end w:w="120" w:type="dxa"/>
            </w:tcMar>
          </w:tcPr>
          <w:p>
            <w:r>
              <w:rPr>
                <w:rFonts w:ascii="Calibri" w:hAnsi="Calibri" w:eastAsia="Calibri"/>
                <w:b/>
                <w:i w:val="0"/>
                <w:color w:val="17365D"/>
                <w:sz w:val="18"/>
              </w:rPr>
              <w:t>Release condition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Map entities, board delegations, authority, bank mandates, and reserved matters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Create complete intake, risk tier, legal and functional review triggers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Approve current templates, playbooks, self-service lanes, and deviation process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Implement entity-specific approval and signature controls, including clickwrap/e-sign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Use final comparison, complete exhibits, repository metadata, obligation owners, and alerts</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Control amendments, SOWs, renewals, notices, exit, emergency, and ratification</w:t>
            </w:r>
          </w:p>
        </w:tc>
      </w:tr>
      <w:tr>
        <w:trPr>
          <w:cantSplit/>
          <w:trHeight w:hRule="atLeast"/>
        </w:trPr>
        <w:tc>
          <w:tcPr>
            <w:tcW w:type="dxa" w:w="1200"/>
            <w:vAlign w:val="top"/>
            <w:tcMar>
              <w:top w:w="80" w:type="dxa"/>
              <w:bottom w:w="80" w:type="dxa"/>
              <w:start w:w="120" w:type="dxa"/>
              <w:end w:w="120" w:type="dxa"/>
            </w:tcMar>
          </w:tcPr>
          <w:p>
            <w:pPr>
              <w:spacing w:after="40"/>
            </w:pPr>
            <w:r>
              <w:rPr>
                <w:rFonts w:ascii="Calibri" w:hAnsi="Calibri" w:eastAsia="Calibri"/>
                <w:b w:val="0"/>
                <w:i w:val="0"/>
                <w:color w:val="111111"/>
                <w:sz w:val="17"/>
              </w:rPr>
              <w:t>OPEN</w:t>
            </w:r>
          </w:p>
        </w:tc>
        <w:tc>
          <w:tcPr>
            <w:tcW w:type="dxa" w:w="8160"/>
            <w:vAlign w:val="top"/>
            <w:tcMar>
              <w:top w:w="80" w:type="dxa"/>
              <w:bottom w:w="80" w:type="dxa"/>
              <w:start w:w="120" w:type="dxa"/>
              <w:end w:w="120" w:type="dxa"/>
            </w:tcMar>
          </w:tcPr>
          <w:p>
            <w:pPr>
              <w:spacing w:after="40"/>
            </w:pPr>
            <w:r>
              <w:rPr>
                <w:rFonts w:ascii="Calibri" w:hAnsi="Calibri" w:eastAsia="Calibri"/>
                <w:b w:val="0"/>
                <w:i w:val="0"/>
                <w:color w:val="111111"/>
                <w:sz w:val="17"/>
              </w:rPr>
              <w:t>Train and obtain board/executive, finance, procurement, security/privacy, HR, operations, and responsible-lawyer approval</w:t>
            </w:r>
          </w:p>
        </w:tc>
      </w:tr>
    </w:tbl>
    <w:p/>
    <w:p>
      <w:pPr>
        <w:pStyle w:val="Heading1"/>
        <w:pageBreakBefore/>
      </w:pPr>
      <w:r>
        <w:t>8. Release Certification and Matter Sign-Off</w:t>
      </w:r>
    </w:p>
    <w:p>
      <w:pPr>
        <w:spacing w:after="240"/>
      </w:pPr>
      <w:r>
        <w:t>Complete this page only after every open release condition is satisfied. Each approver confirms only the matters within that person’s responsibility; responsible counsel controls final legal release.</w:t>
      </w:r>
    </w:p>
    <w:tbl>
      <w:tblPr>
        <w:tblStyle w:val="TableGrid"/>
        <w:tblW w:type="dxa" w:w="9360"/>
        <w:jc w:val="left"/>
        <w:tblLayout w:type="fixed"/>
        <w:tblLook w:firstColumn="1" w:firstRow="1" w:lastColumn="0" w:lastRow="0" w:noHBand="0" w:noVBand="1" w:val="04A0"/>
        <w:tblInd w:w="120" w:type="dxa"/>
      </w:tblPr>
      <w:tblGrid>
        <w:gridCol w:w="3000"/>
        <w:gridCol w:w="6360"/>
      </w:tblGrid>
      <w:tr>
        <w:trPr>
          <w:trHeight w:hRule="atLeast"/>
          <w:tblHeader w:val="true"/>
          <w:cantSplit/>
        </w:trPr>
        <w:tc>
          <w:tcPr>
            <w:tcW w:type="dxa" w:w="3000"/>
            <w:shd w:fill="F2F4F7"/>
            <w:vAlign w:val="top"/>
            <w:tcMar>
              <w:top w:w="80" w:type="dxa"/>
              <w:bottom w:w="80" w:type="dxa"/>
              <w:start w:w="120" w:type="dxa"/>
              <w:end w:w="120" w:type="dxa"/>
            </w:tcMar>
          </w:tcPr>
          <w:p>
            <w:r>
              <w:rPr>
                <w:rFonts w:ascii="Calibri" w:hAnsi="Calibri" w:eastAsia="Calibri"/>
                <w:b/>
                <w:i w:val="0"/>
                <w:color w:val="17365D"/>
                <w:sz w:val="18"/>
              </w:rPr>
              <w:t>Certification item</w:t>
            </w:r>
          </w:p>
        </w:tc>
        <w:tc>
          <w:tcPr>
            <w:tcW w:type="dxa" w:w="6360"/>
            <w:shd w:fill="F2F4F7"/>
            <w:vAlign w:val="top"/>
            <w:tcMar>
              <w:top w:w="80" w:type="dxa"/>
              <w:bottom w:w="80" w:type="dxa"/>
              <w:start w:w="120" w:type="dxa"/>
              <w:end w:w="120" w:type="dxa"/>
            </w:tcMar>
          </w:tcPr>
          <w:p>
            <w:r>
              <w:rPr>
                <w:rFonts w:ascii="Calibri" w:hAnsi="Calibri" w:eastAsia="Calibri"/>
                <w:b/>
                <w:i w:val="0"/>
                <w:color w:val="17365D"/>
                <w:sz w:val="18"/>
              </w:rPr>
              <w:t>Completed entry</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Final document title and version</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Contract Review, Approval, Signature Authority, and Intake Policy / [FINAL VERSION]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Matter / client / project</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Responsible lawyer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SIGNATURE OR APPROVAL RECORD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Specialist reviewers</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[NAMES / DOMAINS / DATES]</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Business and operational owner</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[NAME / APPROVAL / DATE]</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Alternatives deleted; schedules and cross-references reconciled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Law, guidance, technical standards, facts, and linked workflows refreshed</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[YES / NO — AS-OF DATE / EXPLAIN]</w:t>
            </w:r>
          </w:p>
        </w:tc>
      </w:tr>
      <w:tr>
        <w:trPr>
          <w:cantSplit/>
          <w:trHeight w:hRule="atLeast"/>
        </w:trPr>
        <w:tc>
          <w:tcPr>
            <w:tcW w:type="dxa" w:w="3000"/>
            <w:vAlign w:val="top"/>
            <w:tcMar>
              <w:top w:w="80" w:type="dxa"/>
              <w:bottom w:w="80" w:type="dxa"/>
              <w:start w:w="120" w:type="dxa"/>
              <w:end w:w="120" w:type="dxa"/>
            </w:tcMar>
          </w:tcPr>
          <w:p>
            <w:pPr>
              <w:spacing w:after="40"/>
            </w:pPr>
            <w:r>
              <w:rPr>
                <w:rFonts w:ascii="Calibri" w:hAnsi="Calibri" w:eastAsia="Calibri"/>
                <w:b w:val="0"/>
                <w:i w:val="0"/>
                <w:color w:val="111111"/>
                <w:sz w:val="17"/>
              </w:rPr>
              <w:t>Approval and evidence archive</w:t>
            </w:r>
          </w:p>
        </w:tc>
        <w:tc>
          <w:tcPr>
            <w:tcW w:type="dxa" w:w="6360"/>
            <w:vAlign w:val="top"/>
            <w:tcMar>
              <w:top w:w="80" w:type="dxa"/>
              <w:bottom w:w="80" w:type="dxa"/>
              <w:start w:w="120" w:type="dxa"/>
              <w:end w:w="120" w:type="dxa"/>
            </w:tcMar>
          </w:tcPr>
          <w:p>
            <w:pPr>
              <w:spacing w:after="40"/>
            </w:pPr>
            <w:r>
              <w:rPr>
                <w:rFonts w:ascii="Calibri" w:hAnsi="Calibri" w:eastAsia="Calibri"/>
                <w:b w:val="0"/>
                <w:i w:val="0"/>
                <w:color w:val="111111"/>
                <w:sz w:val="17"/>
              </w:rPr>
              <w:t>[CONTROLLED LOCATION / MATTER NUMBER]</w:t>
            </w:r>
          </w:p>
        </w:tc>
      </w:tr>
    </w:tbl>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21"/>
              </w:rPr>
              <w:t xml:space="preserve">RELEASE STATUS.  </w:t>
            </w:r>
            <w:r>
              <w:rPr>
                <w:rFonts w:ascii="Calibri" w:hAnsi="Calibri" w:eastAsia="Calibri"/>
                <w:b w:val="0"/>
                <w:i w:val="0"/>
                <w:color w:val="111111"/>
                <w:sz w:val="21"/>
              </w:rPr>
              <w:t>No matter may be described as approved, compliant, or ready for signature while an entry above remains incomplete or qualified without documented responsible-lawyer resolution.</w:t>
            </w:r>
          </w:p>
        </w:tc>
      </w:tr>
    </w:tbl>
    <w:p/>
    <w:sectPr w:rsidR="00FC693F" w:rsidRPr="0006063C" w:rsidSect="00034616">
      <w:headerReference w:type="default" r:id="rId9"/>
      <w:footerReference w:type="default" r:id="rId10"/>
      <w:pgSz w:w="12240" w:h="15840"/>
      <w:pgMar w:top="1080" w:right="1440" w:bottom="1080" w:left="144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Study and drafting use only | Matter completion required</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200"/>
      <w:gridCol w:w="4160"/>
    </w:tblGrid>
    <w:tr>
      <w:trPr>
        <w:cantSplit/>
        <w:trHeight w:hRule="atLeast"/>
      </w:trPr>
      <w:tc>
        <w:tcPr>
          <w:tcW w:type="dxa" w:w="52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4160"/>
          <w:vAlign w:val="top"/>
          <w:tcMar>
            <w:top w:w="80" w:type="dxa"/>
            <w:bottom w:w="80" w:type="dxa"/>
            <w:start w:w="120" w:type="dxa"/>
            <w:end w:w="120" w:type="dxa"/>
          </w:tcMar>
        </w:tcPr>
        <w:p>
          <w:pPr>
            <w:jc w:val="right"/>
          </w:pPr>
          <w:r>
            <w:rPr>
              <w:rFonts w:ascii="Calibri" w:hAnsi="Calibri" w:eastAsia="Calibri"/>
              <w:b/>
              <w:i w:val="0"/>
              <w:color w:val="17365D"/>
              <w:sz w:val="17"/>
            </w:rPr>
            <w:t>EF-070 | Practitioner Master</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eastAsia="Calibri"/>
      <w:b/>
      <w:color w:val="17365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32" w:hanging="259"/>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32" w:hanging="259"/>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Text">
    <w:name w:val="Clause Text"/>
    <w:pPr>
      <w:spacing w:after="120" w:line="259" w:lineRule="auto"/>
    </w:pPr>
    <w:rPr>
      <w:rFonts w:ascii="Calibri" w:hAnsi="Calibr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Review, Approval, Signature Authority, and Intake Policy</dc:title>
  <dc:subject>Original entrepreneur legal practitioner master for study and matter-specific drafting</dc:subject>
  <dc:creator>Montague Entrepreneur Forms</dc:creator>
  <cp:keywords>EF-070, entrepreneur forms, practitioner master</cp:keywords>
  <dc:description>Original form; no Westlaw or Practical Law text reproduced.</dc:description>
  <cp:lastModifiedBy/>
  <cp:revision>1</cp:revision>
  <dcterms:created xsi:type="dcterms:W3CDTF">2013-12-23T23:15:00Z</dcterms:created>
  <dcterms:modified xsi:type="dcterms:W3CDTF">2013-12-23T23:15:00Z</dcterms:modified>
  <cp:category/>
</cp:coreProperties>
</file>