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Vendor Quality Agreement and Quality Control Schedule</w:t>
      </w:r>
    </w:p>
    <w:p>
      <w:r>
        <w:rPr>
          <w:rFonts w:ascii="Calibri" w:hAnsi="Calibri" w:eastAsia="Calibri"/>
          <w:b w:val="0"/>
          <w:i w:val="0"/>
          <w:color w:val="5B6573"/>
          <w:sz w:val="24"/>
        </w:rPr>
        <w:t>A modular quality agreement for physical products, components, contract manufacturing, and hardware-enabled startups, allocating specifications, quality systems, change control, validation, traceability, nonconformance, CAPA, audits, complaints, recall, records, and transition.</w:t>
      </w:r>
    </w:p>
    <w:tbl>
      <w:tblPr>
        <w:tblStyle w:val="TableGrid"/>
        <w:tblW w:type="dxa" w:w="9360"/>
        <w:jc w:val="left"/>
        <w:tblLayout w:type="fixed"/>
        <w:tblLook w:firstColumn="1" w:firstRow="1" w:lastColumn="0" w:lastRow="0" w:noHBand="0" w:noVBand="1" w:val="04A0"/>
        <w:tblInd w:w="120" w:type="dxa"/>
      </w:tblPr>
      <w:tblGrid>
        <w:gridCol w:w="1500"/>
        <w:gridCol w:w="3180"/>
        <w:gridCol w:w="1500"/>
        <w:gridCol w:w="3180"/>
      </w:tblGrid>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FORM ID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EF-069</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VERSION</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3.0.0</w:t>
            </w:r>
          </w:p>
        </w:tc>
      </w:tr>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STATUS</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Practitioner master</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PREPARED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2026-08-28</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IMPORTANT — NOT EXECUTION-READY.  </w:t>
            </w:r>
            <w:r>
              <w:rPr>
                <w:rFonts w:ascii="Calibri" w:hAnsi="Calibri" w:eastAsia="Calibri"/>
                <w:b w:val="0"/>
                <w:i w:val="0"/>
                <w:color w:val="111111"/>
                <w:sz w:val="21"/>
              </w:rPr>
              <w:t>This original practitioner master is for study and drafting. Complete verified facts, select and delete alternatives, reconcile every schedule and related workflow, update law and technical standards, obtain relevant specialist review, and secure responsible-lawyer approval before use. It is not legal advice and does not establish that a matter complies with law.</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D9EAF7"/>
          </w:tcPr>
          <w:p>
            <w:r>
              <w:rPr>
                <w:rFonts w:ascii="Calibri" w:hAnsi="Calibri" w:eastAsia="Calibri"/>
                <w:b/>
                <w:i w:val="0"/>
                <w:color w:val="17365D"/>
                <w:sz w:val="21"/>
              </w:rPr>
              <w:t xml:space="preserve">MODULE CONTROL.  </w:t>
            </w:r>
            <w:r>
              <w:rPr>
                <w:rFonts w:ascii="Calibri" w:hAnsi="Calibri" w:eastAsia="Calibri"/>
                <w:b w:val="0"/>
                <w:i w:val="0"/>
                <w:color w:val="111111"/>
                <w:sz w:val="21"/>
              </w:rPr>
              <w:t>This form supplements—not replaces—the commercial supply agreement. Select industry modules and applicable standards only after qualified quality and regulatory review. Reconcile every remedy, notice, warranty, audit, recall, and document hierarchy provision with the purchase and manufacturing agreements.</w:t>
            </w:r>
          </w:p>
        </w:tc>
      </w:tr>
    </w:tbl>
    <w:p/>
    <w:p>
      <w:pPr>
        <w:pStyle w:val="Heading1"/>
      </w:pPr>
      <w:r>
        <w:t>1. Matter Control Sheet</w:t>
      </w:r>
    </w:p>
    <w:tbl>
      <w:tblPr>
        <w:tblStyle w:val="TableGrid"/>
        <w:tblW w:type="dxa" w:w="9360"/>
        <w:jc w:val="left"/>
        <w:tblLayout w:type="fixed"/>
        <w:tblLook w:firstColumn="1" w:firstRow="1" w:lastColumn="0" w:lastRow="0" w:noHBand="0" w:noVBand="1" w:val="04A0"/>
        <w:tblInd w:w="120" w:type="dxa"/>
      </w:tblPr>
      <w:tblGrid>
        <w:gridCol w:w="2600"/>
        <w:gridCol w:w="6760"/>
      </w:tblGrid>
      <w:tr>
        <w:trPr>
          <w:trHeight w:hRule="atLeast"/>
          <w:tblHeader w:val="true"/>
          <w:cantSplit/>
        </w:trPr>
        <w:tc>
          <w:tcPr>
            <w:tcW w:type="dxa" w:w="2600"/>
            <w:shd w:fill="F2F4F7"/>
            <w:vAlign w:val="top"/>
            <w:tcMar>
              <w:top w:w="80" w:type="dxa"/>
              <w:bottom w:w="80" w:type="dxa"/>
              <w:start w:w="120" w:type="dxa"/>
              <w:end w:w="120" w:type="dxa"/>
            </w:tcMar>
          </w:tcPr>
          <w:p>
            <w:r>
              <w:rPr>
                <w:rFonts w:ascii="Calibri" w:hAnsi="Calibri" w:eastAsia="Calibri"/>
                <w:b/>
                <w:i w:val="0"/>
                <w:color w:val="17365D"/>
                <w:sz w:val="18"/>
              </w:rPr>
              <w:t>Matter variable</w:t>
            </w:r>
          </w:p>
        </w:tc>
        <w:tc>
          <w:tcPr>
            <w:tcW w:type="dxa" w:w="6760"/>
            <w:shd w:fill="F2F4F7"/>
            <w:vAlign w:val="top"/>
            <w:tcMar>
              <w:top w:w="80" w:type="dxa"/>
              <w:bottom w:w="80" w:type="dxa"/>
              <w:start w:w="120" w:type="dxa"/>
              <w:end w:w="120" w:type="dxa"/>
            </w:tcMar>
          </w:tcPr>
          <w:p>
            <w:r>
              <w:rPr>
                <w:rFonts w:ascii="Calibri" w:hAnsi="Calibri" w:eastAsia="Calibri"/>
                <w:b/>
                <w:i w:val="0"/>
                <w:color w:val="17365D"/>
                <w:sz w:val="18"/>
              </w:rPr>
              <w:t>Required completion</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Customer / vendor / sites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[LEGAL NAMES; MANUFACTURING/TEST/STORAGE LOCATIONS]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Products / services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[SKU, COMPONENT, PROCESS, SOFTWARE/FIRMWARE, SPEC REVISION]</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Quality standard</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[ISO/GMP/SECTOR/CUSTOMER QMS—VERIFIED]</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Regulatory roles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[MANUFACTURER, SPECIFICATION DEVELOPER, IMPORTER, DISTRIBUTOR]</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Critical characteristics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[CTQ / SAFETY / REGULATORY / SECURITY ATTRIBUTES]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Change notice</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[ADVANCE DAYS / EMERGENCY PROCESS]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Records / samples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[RETENTION; LOT/SERIAL TRACEABILITY; LOCATION]</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Quality contacts / escalation</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[24/7 CRITICAL; ROUTINE; GOVERNANCE CADENCE]</w:t>
            </w:r>
          </w:p>
        </w:tc>
      </w:tr>
    </w:tbl>
    <w:p/>
    <w:p>
      <w:pPr>
        <w:pStyle w:val="Heading1"/>
      </w:pPr>
      <w:r>
        <w:t>2. Operative Form</w:t>
      </w:r>
    </w:p>
    <w:p>
      <w:pPr>
        <w:pStyle w:val="Heading2"/>
        <w:keepNext/>
      </w:pPr>
      <w:r>
        <w:t>1. Scope and Document Hierarchy</w:t>
      </w:r>
    </w:p>
    <w:p>
      <w:pPr>
        <w:pStyle w:val="ClauseText"/>
        <w:keepNext/>
        <w:keepLines/>
      </w:pPr>
      <w:r>
        <w:t>This Quality Agreement applies to the listed products, processes, services, sites, and approved subcontractors. The commercial agreement governs price, payment, forecasts, and general liability; this Agreement governs quality-system and technical-control matters unless a signed hierarchy states otherwise. A specification controls product attributes but does not silently amend legal risk allocation.</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Create one conflict rule with the supply agreement and PO terms. Identify each controlled document and revision.</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Competing quality and commercial terms produce gaps during defects and recalls.</w:t>
            </w:r>
          </w:p>
        </w:tc>
      </w:tr>
    </w:tbl>
    <w:p/>
    <w:p>
      <w:pPr>
        <w:pStyle w:val="Heading2"/>
        <w:keepNext/>
      </w:pPr>
      <w:r>
        <w:t>2. Quality System and Management Responsibility</w:t>
      </w:r>
    </w:p>
    <w:p>
      <w:pPr>
        <w:pStyle w:val="ClauseText"/>
        <w:keepNext/>
        <w:keepLines/>
      </w:pPr>
      <w:r>
        <w:t>Vendor will maintain a documented, resourced, and effective quality management system appropriate to product and regulatory risk, with management oversight, trained personnel, document control, internal audits, metrics, and continual improvement. Certification to a standard is required only if listed and does not replace Customer diligence or Vendor responsibility.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Verify certification scope, site, registrar, expiry, exclusions, and actual process maturity.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certificate may not cover the supplied product, site, or process.</w:t>
            </w:r>
          </w:p>
        </w:tc>
      </w:tr>
    </w:tbl>
    <w:p/>
    <w:p>
      <w:pPr>
        <w:pStyle w:val="Heading2"/>
        <w:keepNext/>
      </w:pPr>
      <w:r>
        <w:t>3. Specifications and Critical Characteristics</w:t>
      </w:r>
    </w:p>
    <w:p>
      <w:pPr>
        <w:pStyle w:val="ClauseText"/>
        <w:keepNext/>
        <w:keepLines/>
      </w:pPr>
      <w:r>
        <w:t>The parties will maintain approved specifications, drawings, bills of material, workmanship standards, acceptance criteria, test methods, packaging, labeling, software/firmware versions, and critical-to-quality characteristics. Vendor may not deviate or substitute without documented approval. Ambiguities are escalated before production.</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revision control and electronic access permissions; identify master source and translation.</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Production to an obsolete or ambiguous revision creates systemic nonconformance.</w:t>
            </w:r>
          </w:p>
        </w:tc>
      </w:tr>
    </w:tbl>
    <w:p/>
    <w:p>
      <w:pPr>
        <w:pStyle w:val="Heading2"/>
        <w:keepNext/>
      </w:pPr>
      <w:r>
        <w:t>4. Design and Development Controls</w:t>
      </w:r>
    </w:p>
    <w:p>
      <w:pPr>
        <w:pStyle w:val="ClauseText"/>
        <w:keepNext/>
        <w:keepLines/>
      </w:pPr>
      <w:r>
        <w:t>Where Vendor performs design, it will document inputs, outputs, reviews, verification, validation, risk management, usability or human factors where relevant, design transfer, and changes. Customer approval or review does not relieve Vendor responsibility. Ownership and license rights remain governed by the commercial agreement.</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Select only for design responsibility and reconcile IP. Address software, cybersecurity, AI, and open-source design inputs.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Unclear design responsibility causes both parties to assume the other validated safety and performance.</w:t>
            </w:r>
          </w:p>
        </w:tc>
      </w:tr>
    </w:tbl>
    <w:p/>
    <w:p>
      <w:pPr>
        <w:pStyle w:val="Heading2"/>
        <w:keepNext/>
      </w:pPr>
      <w:r>
        <w:t>5. Supplier and Subcontractor Controls</w:t>
      </w:r>
    </w:p>
    <w:p>
      <w:pPr>
        <w:pStyle w:val="ClauseText"/>
        <w:keepNext/>
        <w:keepLines/>
      </w:pPr>
      <w:r>
        <w:t>Vendor will qualify, monitor, and control sub-tier suppliers affecting product quality, safety, authenticity, regulatory status, security, or continuity; flow applicable requirements; and maintain an approved-source list. Critical outsourcing, site changes, and sub-tier substitutions require the notice or approval in the Change Matrix. Vendor remains responsible for subcontracted work.</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Identify single-source and high-risk sub-tiers; balance transparency with confidentiality and trade controls.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Quality failures frequently originate beyond the direct vendor.</w:t>
            </w:r>
          </w:p>
        </w:tc>
      </w:tr>
    </w:tbl>
    <w:p/>
    <w:p>
      <w:pPr>
        <w:pStyle w:val="Heading2"/>
        <w:keepNext/>
      </w:pPr>
      <w:r>
        <w:t>6. Personnel, Training, and Environment</w:t>
      </w:r>
    </w:p>
    <w:p>
      <w:pPr>
        <w:pStyle w:val="ClauseText"/>
        <w:keepNext/>
        <w:keepLines/>
      </w:pPr>
      <w:r>
        <w:t>Vendor will use competent trained personnel, controlled work instructions, suitable facilities, calibrated equipment, contamination and environmental controls, and documented authorization for special processes. Training effectiveness and qualification must be evidenced, not merely attendance. Personnel changes affecting a critical process require continuity measures.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Tailor cleanroom, ESD, food, sterile, laboratory, welding, software, or security controls.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Unqualified operators and uncontrolled environments undermine validated processes.</w:t>
            </w:r>
          </w:p>
        </w:tc>
      </w:tr>
    </w:tbl>
    <w:p/>
    <w:p>
      <w:pPr>
        <w:pStyle w:val="Heading2"/>
        <w:keepNext/>
      </w:pPr>
      <w:r>
        <w:t>7. Validation and Special Processes</w:t>
      </w:r>
    </w:p>
    <w:p>
      <w:pPr>
        <w:pStyle w:val="ClauseText"/>
        <w:keepNext/>
        <w:keepLines/>
      </w:pPr>
      <w:r>
        <w:t>Processes whose output cannot be fully verified by later inspection must be validated and periodically requalified under approved protocols. Computerized systems, test software, automated inspection, sterilization, heat treatment, welding, molding, and other identified processes require controlled parameters, access, data integrity, maintenance, and change assessment.</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List special processes and validation deliverables; include software and spreadsheet controls where material.</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End-of-line inspection cannot detect every process defect.</w:t>
            </w:r>
          </w:p>
        </w:tc>
      </w:tr>
    </w:tbl>
    <w:p/>
    <w:p>
      <w:pPr>
        <w:pStyle w:val="Heading2"/>
        <w:keepNext/>
      </w:pPr>
      <w:r>
        <w:t>8. Incoming, In-Process, and Final Controls</w:t>
      </w:r>
    </w:p>
    <w:p>
      <w:pPr>
        <w:pStyle w:val="ClauseText"/>
        <w:keepNext/>
        <w:keepLines/>
      </w:pPr>
      <w:r>
        <w:t>Vendor will conduct risk-based incoming, in-process, and final inspection and testing using approved sampling plans, equipment, criteria, and independent release authority. A certificate of conformance or analysis must reflect actual lot records. Reduced inspection or dock-to-stock status requires documented performance and may be withdrawn.</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Define sampling standard, acceptance number, destructive tests, first-article inspection, and certificate content.</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Certificates without underlying records provide false assurance.</w:t>
            </w:r>
          </w:p>
        </w:tc>
      </w:tr>
    </w:tbl>
    <w:p/>
    <w:p>
      <w:pPr>
        <w:pStyle w:val="Heading2"/>
        <w:keepNext/>
      </w:pPr>
      <w:r>
        <w:t>9. Traceability, Identification, and Status</w:t>
      </w:r>
    </w:p>
    <w:p>
      <w:pPr>
        <w:pStyle w:val="ClauseText"/>
        <w:keepNext/>
        <w:keepLines/>
      </w:pPr>
      <w:r>
        <w:t>Vendor will identify raw materials, components, work in process, finished product, rework, nonconforming product, and inspection status and maintain lot, batch, serial, software-version, date, site, operator, equipment, and sub-tier traceability as specified. Traceability must support rapid affected-population analysis and counterfeit prevention.</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Test backward and forward trace exercises and record retrieval times.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Poor traceability expands recall scope and weakens root-cause analysis.</w:t>
            </w:r>
          </w:p>
        </w:tc>
      </w:tr>
    </w:tbl>
    <w:p/>
    <w:p>
      <w:pPr>
        <w:pStyle w:val="Heading2"/>
        <w:keepNext/>
      </w:pPr>
      <w:r>
        <w:t>10. Change Control and Notification</w:t>
      </w:r>
    </w:p>
    <w:p>
      <w:pPr>
        <w:pStyle w:val="ClauseText"/>
        <w:keepNext/>
        <w:keepLines/>
      </w:pPr>
      <w:r>
        <w:t>Vendor must evaluate and document changes to design, specification, process, material, source, site, equipment, test method, software, firmware, packaging, labeling, key personnel, certification, or regulatory status. Changes listed as approval-required may not be implemented before written Customer approval; notice-only changes require [●] days. Emergency change requires immediate escalation and retrospective record.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Classify change types and define silence—not approval. Address last-time buys and obsolescence.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Unannounced changes can invalidate qualifications and customer approvals.</w:t>
            </w:r>
          </w:p>
        </w:tc>
      </w:tr>
    </w:tbl>
    <w:p/>
    <w:p>
      <w:pPr>
        <w:pStyle w:val="Heading2"/>
        <w:keepNext/>
      </w:pPr>
      <w:r>
        <w:t>11. Nonconforming Product and Material Review</w:t>
      </w:r>
    </w:p>
    <w:p>
      <w:pPr>
        <w:pStyle w:val="ClauseText"/>
        <w:keepNext/>
        <w:keepLines/>
      </w:pPr>
      <w:r>
        <w:t>Vendor will identify, segregate, control, investigate, and disposition nonconforming product. Use-as-is, repair, regrade, deviation, or concession affecting Customer requirements requires prior written approval; rework must follow approved instructions and retesting. Vendor may not ship known nonconformance under an ordinary certificate.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Define material review board authority and deviation duration/quantity. Preserve affected lot evidence.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Unauthorized use-as-is decisions pass known defects downstream.</w:t>
            </w:r>
          </w:p>
        </w:tc>
      </w:tr>
    </w:tbl>
    <w:p/>
    <w:p>
      <w:pPr>
        <w:pStyle w:val="Heading2"/>
        <w:keepNext/>
      </w:pPr>
      <w:r>
        <w:t>12. Deviation and Concession Requests</w:t>
      </w:r>
    </w:p>
    <w:p>
      <w:pPr>
        <w:pStyle w:val="ClauseText"/>
        <w:keepNext/>
        <w:keepLines/>
      </w:pPr>
      <w:r>
        <w:t>A request must state requirement, cause, affected quantities/lots, risk, containment, proposed disposition, duration, identification, price or delivery impact, and recurrence prevention. Approval is limited to the stated scope and is not a specification change, course of dealing, or waiver. Repeated requests trigger CAPA or formal change.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Require enough lead time and route urgent requests to qualified approvers.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Informal deviation emails create chronic uncontrolled exceptions.</w:t>
            </w:r>
          </w:p>
        </w:tc>
      </w:tr>
    </w:tbl>
    <w:p/>
    <w:p>
      <w:pPr>
        <w:pStyle w:val="Heading2"/>
        <w:keepNext/>
      </w:pPr>
      <w:r>
        <w:t>13. Corrective and Preventive Action</w:t>
      </w:r>
    </w:p>
    <w:p>
      <w:pPr>
        <w:pStyle w:val="ClauseText"/>
        <w:keepNext/>
        <w:keepLines/>
      </w:pPr>
      <w:r>
        <w:t>Vendor will respond to a corrective-action request with immediate containment, scope, root cause using a suitable method, correction, systemic corrective action, owners, dates, effectiveness criteria, and objective evidence. Customer may reject a superficial cause or ineffective action. Closure requires verified implementation and effectiveness, not a promised completion date.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Set severity-based response targets and escalation; distinguish correction from root-cause prevention.</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Closing CAPA on paperwork rather than effectiveness allows recurrence.</w:t>
            </w:r>
          </w:p>
        </w:tc>
      </w:tr>
    </w:tbl>
    <w:p/>
    <w:p>
      <w:pPr>
        <w:pStyle w:val="Heading2"/>
        <w:keepNext/>
      </w:pPr>
      <w:r>
        <w:t>14. Complaints, Adverse Events, and Escalation</w:t>
      </w:r>
    </w:p>
    <w:p>
      <w:pPr>
        <w:pStyle w:val="ClauseText"/>
        <w:keepNext/>
        <w:keepLines/>
      </w:pPr>
      <w:r>
        <w:t>Each party will promptly share product-quality, safety, performance, counterfeit, cybersecurity, and regulatory complaints within allocated roles. Vendor will preserve samples and records, support investigation, and meet critical notification targets. Customer controls communications in its name; either party may comply with nonwaivable reporting duties.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Map complaint ownership, privacy, medical/safety information, and regulator-specific timelines.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Delayed complaint exchange can obscure reportability and trends.</w:t>
            </w:r>
          </w:p>
        </w:tc>
      </w:tr>
    </w:tbl>
    <w:p/>
    <w:p>
      <w:pPr>
        <w:pStyle w:val="Heading2"/>
        <w:keepNext/>
      </w:pPr>
      <w:r>
        <w:t>15. Product Hold, Field Action, and Recall</w:t>
      </w:r>
    </w:p>
    <w:p>
      <w:pPr>
        <w:pStyle w:val="ClauseText"/>
        <w:keepNext/>
        <w:keepLines/>
      </w:pPr>
      <w:r>
        <w:t>On credible severe risk, either party may request immediate production or distribution hold while designated leaders assess scope. Recall, field correction, advisory, software update, stop-use, return, repair, replacement, destruction, regulator contact, communication, and cost are handled under the Recall Matrix and commercial agreement. Safety action is not delayed by allocation disputes.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the dedicated recall plan and predefine chain communications and decision rights.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Quality agreements often fail at the transition from CAPA to field action.</w:t>
            </w:r>
          </w:p>
        </w:tc>
      </w:tr>
    </w:tbl>
    <w:p/>
    <w:p>
      <w:pPr>
        <w:pStyle w:val="Heading2"/>
        <w:keepNext/>
      </w:pPr>
      <w:r>
        <w:t>16. Audits, Regulatory Inspections, and Access</w:t>
      </w:r>
    </w:p>
    <w:p>
      <w:pPr>
        <w:pStyle w:val="ClauseText"/>
        <w:keepNext/>
        <w:keepLines/>
      </w:pPr>
      <w:r>
        <w:t>Customer may conduct scheduled risk-based audits and for-cause audits for serious quality, safety, authenticity, regulatory, security, or continuity concerns. Vendor will notify Customer promptly of relevant regulator inspections, observations, warning actions, certification suspension, or commitments and provide responsive portions consistent with law and third-party confidentiality. Audit does not transfer responsibility.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Set notice, frequency, cost, confidentiality, remediation, and access to sub-tier records.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Unusable audit rights and late inspection notice prevent timely risk response.</w:t>
            </w:r>
          </w:p>
        </w:tc>
      </w:tr>
    </w:tbl>
    <w:p/>
    <w:p>
      <w:pPr>
        <w:pStyle w:val="Heading2"/>
        <w:keepNext/>
      </w:pPr>
      <w:r>
        <w:t>17. Records, Data Integrity, and Retention</w:t>
      </w:r>
    </w:p>
    <w:p>
      <w:pPr>
        <w:pStyle w:val="ClauseText"/>
        <w:keepNext/>
        <w:keepLines/>
      </w:pPr>
      <w:r>
        <w:t>Quality records must be attributable, legible, contemporaneous, original or controlled copy, accurate, complete, consistent, enduring, and available under the stated standard. Electronic systems require access, audit trails, backup, validation where applicable, and controlled correction. Records and retain samples are kept for [●] and transferred or made accessible during exit.</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Set periods based on product life, regulation, customer obligations, and limitation periods. Address cloud providers and encryption.</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Missing or altered records can convert a defect into a compliance crisis.</w:t>
            </w:r>
          </w:p>
        </w:tc>
      </w:tr>
    </w:tbl>
    <w:p/>
    <w:p>
      <w:pPr>
        <w:pStyle w:val="Heading2"/>
        <w:keepNext/>
      </w:pPr>
      <w:r>
        <w:t>18. Counterfeit and Authenticity Controls</w:t>
      </w:r>
    </w:p>
    <w:p>
      <w:pPr>
        <w:pStyle w:val="ClauseText"/>
        <w:keepNext/>
        <w:keepLines/>
      </w:pPr>
      <w:r>
        <w:t>Vendor will source from approved and traceable channels; inspect and test based on counterfeit risk; control excess, rejected, scrap, and returned material; and report suspected counterfeit or fraudulent documentation immediately. Suspect material is quarantined and preserved pending approved disposition and any required government or industry reporting.</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Tailor to electronics, aerospace, luxury, pharmaceuticals, food, and marketplace goods.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Counterfeit parts can defeat testing, safety, IP, and trade compliance.</w:t>
            </w:r>
          </w:p>
        </w:tc>
      </w:tr>
    </w:tbl>
    <w:p/>
    <w:p>
      <w:pPr>
        <w:pStyle w:val="Heading2"/>
        <w:keepNext/>
      </w:pPr>
      <w:r>
        <w:t>19. Business Continuity and Capacity</w:t>
      </w:r>
    </w:p>
    <w:p>
      <w:pPr>
        <w:pStyle w:val="ClauseText"/>
        <w:keepNext/>
        <w:keepLines/>
      </w:pPr>
      <w:r>
        <w:t>Vendor will maintain risk assessments, recovery plans, backup systems, alternate equipment or sources, critical spare parts, utility and cyber resilience, succession, and tested recovery objectives appropriate to supply criticality. It will notify Customer of events threatening quality or delivery and provide recovery updates. Continuity changes remain subject to quality change control.</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Exercise real product recovery and alternate-source qualification; state inventory and capacity evidence.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An alternate facility is not useful if it is unqualified or changes the product.</w:t>
            </w:r>
          </w:p>
        </w:tc>
      </w:tr>
    </w:tbl>
    <w:p/>
    <w:p>
      <w:pPr>
        <w:pStyle w:val="Heading2"/>
        <w:keepNext/>
      </w:pPr>
      <w:r>
        <w:t>20. Governance, Metrics, Remedies, and Exit</w:t>
      </w:r>
    </w:p>
    <w:p>
      <w:pPr>
        <w:pStyle w:val="ClauseText"/>
        <w:keepNext/>
        <w:keepLines/>
      </w:pPr>
      <w:r>
        <w:t>Quality leaders will meet [CADENCE] to review defects, yield, complaints, escapes, CAPA age, audit findings, change performance, delivery, continuity, and improvement. Persistent or severe failure may trigger enhanced inspection, controlled shipping, third-party oversight, cost recovery under the commercial agreement, suspension, or termination. Exit requires transfer of records, tools, WIP status, open CAPA, complaints, approvals, and continuity support.</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Select objective escalation thresholds and ensure commercial remedies support the quality process.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Quality remedies fail if disconnected from purchasing authority and transition planning.</w:t>
            </w:r>
          </w:p>
        </w:tc>
      </w:tr>
    </w:tbl>
    <w:p/>
    <w:p>
      <w:pPr>
        <w:pStyle w:val="Heading1"/>
      </w:pPr>
      <w:r>
        <w:t>3. Required Schedules and Closing Tools</w:t>
      </w:r>
    </w:p>
    <w:p>
      <w:pPr>
        <w:pStyle w:val="Heading2"/>
      </w:pPr>
      <w:r>
        <w:t>Schedule 1 — Product, Site, and Responsibility Matrix</w:t>
      </w:r>
    </w:p>
    <w:p>
      <w:pPr>
        <w:keepNext/>
      </w:pPr>
      <w:r>
        <w:t>No product or site enters scope without a current owner and specification.</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Product/process</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Site/party</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Quality/regulatory role</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Controlled specification</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[SKU/component]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[revision]</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Design/software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[revision]</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Test/release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[method]</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Storage/distribution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[standard]</w:t>
            </w:r>
          </w:p>
        </w:tc>
      </w:tr>
    </w:tbl>
    <w:p/>
    <w:p>
      <w:pPr>
        <w:pStyle w:val="Heading2"/>
      </w:pPr>
      <w:r>
        <w:t>Schedule 2 — Change and Notification Matrix</w:t>
      </w:r>
    </w:p>
    <w:p>
      <w:pPr>
        <w:keepNext/>
      </w:pPr>
      <w:r>
        <w:t>Silence is not approval; state emergency authority.</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Change type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Approval/notice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Lead time</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Evidence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Design/material/source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[approval]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Validation/risk</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Process/site/equipment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Qualification</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Software/test method</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Verification</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Emergency/obsolescence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[escalate]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Immediate</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Containment/plan</w:t>
            </w:r>
          </w:p>
        </w:tc>
      </w:tr>
    </w:tbl>
    <w:p/>
    <w:p>
      <w:pPr>
        <w:pStyle w:val="Heading2"/>
      </w:pPr>
      <w:r>
        <w:t>Schedule 3 — Quality Event and CAPA Record</w:t>
      </w:r>
    </w:p>
    <w:p>
      <w:pPr>
        <w:keepNext/>
      </w:pPr>
      <w:r>
        <w:t>Link lots, evidence, communications, and field-action analysis.</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Event</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Containment/scope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Root cause/action</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Effectiveness/closure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Nonconformance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Customer escape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Complaint/safety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Audit/regulatory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2"/>
      </w:pPr>
      <w:r>
        <w:t>Schedule 4 — Audit, Metrics, and Exit</w:t>
      </w:r>
    </w:p>
    <w:p>
      <w:pPr>
        <w:keepNext/>
      </w:pPr>
      <w:r>
        <w:t>Use trends and aging, not single-period averages.</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Control</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Target/cadence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Owner</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Escalation/evidence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Audit/finding</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Quality metrics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Continuity exercise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Exit transfer</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1"/>
      </w:pPr>
      <w:r>
        <w:t>4. Negotiation and Design Map</w:t>
      </w:r>
    </w:p>
    <w:tbl>
      <w:tblPr>
        <w:tblStyle w:val="TableGrid"/>
        <w:tblW w:type="dxa" w:w="9360"/>
        <w:jc w:val="left"/>
        <w:tblLayout w:type="fixed"/>
        <w:tblLook w:firstColumn="1" w:firstRow="1" w:lastColumn="0" w:lastRow="0" w:noHBand="0" w:noVBand="1" w:val="04A0"/>
        <w:tblInd w:w="120" w:type="dxa"/>
      </w:tblPr>
      <w:tblGrid>
        <w:gridCol w:w="1800"/>
        <w:gridCol w:w="2520"/>
        <w:gridCol w:w="2520"/>
        <w:gridCol w:w="2520"/>
      </w:tblGrid>
      <w:tr>
        <w:trPr>
          <w:trHeight w:hRule="atLeast"/>
          <w:tblHeader w:val="true"/>
          <w:cantSplit/>
        </w:trPr>
        <w:tc>
          <w:tcPr>
            <w:tcW w:type="dxa" w:w="1800"/>
            <w:shd w:fill="F2F4F7"/>
            <w:vAlign w:val="top"/>
            <w:tcMar>
              <w:top w:w="80" w:type="dxa"/>
              <w:bottom w:w="80" w:type="dxa"/>
              <w:start w:w="120" w:type="dxa"/>
              <w:end w:w="120" w:type="dxa"/>
            </w:tcMar>
          </w:tcPr>
          <w:p>
            <w:r>
              <w:rPr>
                <w:rFonts w:ascii="Calibri" w:hAnsi="Calibri" w:eastAsia="Calibri"/>
                <w:b/>
                <w:i w:val="0"/>
                <w:color w:val="17365D"/>
                <w:sz w:val="18"/>
              </w:rPr>
              <w:t>Issue</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Preferred control</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Avoid / escalation</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Required evidence</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Hierarchy</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Quality controls supplement commercial remedies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Conflicting notice/remedy</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Crosswalk</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Change control</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Risk-tiered approval and evidence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Vendor unilateral change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Matrix and revision log</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CAPA</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Containment, root cause, effectiveness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Paper closure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Objective evidence</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Audit/records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Proportionate, usable, secure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Unlimited or inaccessible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Protocol and retention</w:t>
            </w:r>
          </w:p>
        </w:tc>
      </w:tr>
    </w:tbl>
    <w:p/>
    <w:p>
      <w:pPr>
        <w:pStyle w:val="Heading1"/>
      </w:pPr>
      <w:r>
        <w:t>5. Scenario Tests</w:t>
      </w:r>
    </w:p>
    <w:tbl>
      <w:tblPr>
        <w:tblStyle w:val="TableGrid"/>
        <w:tblW w:type="dxa" w:w="9360"/>
        <w:jc w:val="left"/>
        <w:tblLayout w:type="fixed"/>
        <w:tblLook w:firstColumn="1" w:firstRow="1" w:lastColumn="0" w:lastRow="0" w:noHBand="0" w:noVBand="1" w:val="04A0"/>
        <w:tblInd w:w="120" w:type="dxa"/>
      </w:tblPr>
      <w:tblGrid>
        <w:gridCol w:w="2200"/>
        <w:gridCol w:w="3600"/>
        <w:gridCol w:w="3560"/>
      </w:tblGrid>
      <w:tr>
        <w:trPr>
          <w:trHeight w:hRule="atLeast"/>
          <w:tblHeader w:val="true"/>
          <w:cantSplit/>
        </w:trPr>
        <w:tc>
          <w:tcPr>
            <w:tcW w:type="dxa" w:w="2200"/>
            <w:shd w:fill="F2F4F7"/>
            <w:vAlign w:val="top"/>
            <w:tcMar>
              <w:top w:w="80" w:type="dxa"/>
              <w:bottom w:w="80" w:type="dxa"/>
              <w:start w:w="120" w:type="dxa"/>
              <w:end w:w="120" w:type="dxa"/>
            </w:tcMar>
          </w:tcPr>
          <w:p>
            <w:r>
              <w:rPr>
                <w:rFonts w:ascii="Calibri" w:hAnsi="Calibri" w:eastAsia="Calibri"/>
                <w:b/>
                <w:i w:val="0"/>
                <w:color w:val="17365D"/>
                <w:sz w:val="18"/>
              </w:rPr>
              <w:t>Scenario</w:t>
            </w:r>
          </w:p>
        </w:tc>
        <w:tc>
          <w:tcPr>
            <w:tcW w:type="dxa" w:w="3600"/>
            <w:shd w:fill="F2F4F7"/>
            <w:vAlign w:val="top"/>
            <w:tcMar>
              <w:top w:w="80" w:type="dxa"/>
              <w:bottom w:w="80" w:type="dxa"/>
              <w:start w:w="120" w:type="dxa"/>
              <w:end w:w="120" w:type="dxa"/>
            </w:tcMar>
          </w:tcPr>
          <w:p>
            <w:r>
              <w:rPr>
                <w:rFonts w:ascii="Calibri" w:hAnsi="Calibri" w:eastAsia="Calibri"/>
                <w:b/>
                <w:i w:val="0"/>
                <w:color w:val="17365D"/>
                <w:sz w:val="18"/>
              </w:rPr>
              <w:t>Required operation</w:t>
            </w:r>
          </w:p>
        </w:tc>
        <w:tc>
          <w:tcPr>
            <w:tcW w:type="dxa" w:w="3560"/>
            <w:shd w:fill="F2F4F7"/>
            <w:vAlign w:val="top"/>
            <w:tcMar>
              <w:top w:w="80" w:type="dxa"/>
              <w:bottom w:w="80" w:type="dxa"/>
              <w:start w:w="120" w:type="dxa"/>
              <w:end w:w="120" w:type="dxa"/>
            </w:tcMar>
          </w:tcPr>
          <w:p>
            <w:r>
              <w:rPr>
                <w:rFonts w:ascii="Calibri" w:hAnsi="Calibri" w:eastAsia="Calibri"/>
                <w:b/>
                <w:i w:val="0"/>
                <w:color w:val="17365D"/>
                <w:sz w:val="18"/>
              </w:rPr>
              <w:t>Review point</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Vendor changes sub-tier resin</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Hold change, assess qualification and affected lots</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No shipment until approved</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Defect found after customer release</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Contain, trace, complaint/reportability and recall analysis</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Share facts promptly</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CAPA repeats</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Reopen systemic cause and escalate controls</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Consider controlled shipping</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Certification suspended</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Immediate notice and scope assessment</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Continuity/alternate source</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Vendor exit</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Transfer records, tools, WIP, open quality events</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Validate receiving source</w:t>
            </w:r>
          </w:p>
        </w:tc>
      </w:tr>
    </w:tbl>
    <w:p/>
    <w:p>
      <w:pPr>
        <w:pStyle w:val="Heading1"/>
      </w:pPr>
      <w:r>
        <w:t>6. Current-Authority and Specialist Gates</w:t>
      </w:r>
    </w:p>
    <w:tbl>
      <w:tblPr>
        <w:tblStyle w:val="TableGrid"/>
        <w:tblW w:type="dxa" w:w="9360"/>
        <w:jc w:val="left"/>
        <w:tblLayout w:type="fixed"/>
        <w:tblLook w:firstColumn="1" w:firstRow="1" w:lastColumn="0" w:lastRow="0" w:noHBand="0" w:noVBand="1" w:val="04A0"/>
        <w:tblInd w:w="120" w:type="dxa"/>
      </w:tblPr>
      <w:tblGrid>
        <w:gridCol w:w="1600"/>
        <w:gridCol w:w="2800"/>
        <w:gridCol w:w="2000"/>
        <w:gridCol w:w="2960"/>
      </w:tblGrid>
      <w:tr>
        <w:trPr>
          <w:trHeight w:hRule="atLeast"/>
          <w:tblHeader w:val="true"/>
          <w:cantSplit/>
        </w:trPr>
        <w:tc>
          <w:tcPr>
            <w:tcW w:type="dxa" w:w="1600"/>
            <w:shd w:fill="F2F4F7"/>
            <w:vAlign w:val="top"/>
            <w:tcMar>
              <w:top w:w="80" w:type="dxa"/>
              <w:bottom w:w="80" w:type="dxa"/>
              <w:start w:w="120" w:type="dxa"/>
              <w:end w:w="120" w:type="dxa"/>
            </w:tcMar>
          </w:tcPr>
          <w:p>
            <w:r>
              <w:rPr>
                <w:rFonts w:ascii="Calibri" w:hAnsi="Calibri" w:eastAsia="Calibri"/>
                <w:b/>
                <w:i w:val="0"/>
                <w:color w:val="17365D"/>
                <w:sz w:val="18"/>
              </w:rPr>
              <w:t>Gate</w:t>
            </w:r>
          </w:p>
        </w:tc>
        <w:tc>
          <w:tcPr>
            <w:tcW w:type="dxa" w:w="2800"/>
            <w:shd w:fill="F2F4F7"/>
            <w:vAlign w:val="top"/>
            <w:tcMar>
              <w:top w:w="80" w:type="dxa"/>
              <w:bottom w:w="80" w:type="dxa"/>
              <w:start w:w="120" w:type="dxa"/>
              <w:end w:w="120" w:type="dxa"/>
            </w:tcMar>
          </w:tcPr>
          <w:p>
            <w:r>
              <w:rPr>
                <w:rFonts w:ascii="Calibri" w:hAnsi="Calibri" w:eastAsia="Calibri"/>
                <w:b/>
                <w:i w:val="0"/>
                <w:color w:val="17365D"/>
                <w:sz w:val="18"/>
              </w:rPr>
              <w:t>Starting authority</w:t>
            </w:r>
          </w:p>
        </w:tc>
        <w:tc>
          <w:tcPr>
            <w:tcW w:type="dxa" w:w="2000"/>
            <w:shd w:fill="F2F4F7"/>
            <w:vAlign w:val="top"/>
            <w:tcMar>
              <w:top w:w="80" w:type="dxa"/>
              <w:bottom w:w="80" w:type="dxa"/>
              <w:start w:w="120" w:type="dxa"/>
              <w:end w:w="120" w:type="dxa"/>
            </w:tcMar>
          </w:tcPr>
          <w:p>
            <w:r>
              <w:rPr>
                <w:rFonts w:ascii="Calibri" w:hAnsi="Calibri" w:eastAsia="Calibri"/>
                <w:b/>
                <w:i w:val="0"/>
                <w:color w:val="17365D"/>
                <w:sz w:val="18"/>
              </w:rPr>
              <w:t>Owner</w:t>
            </w:r>
          </w:p>
        </w:tc>
        <w:tc>
          <w:tcPr>
            <w:tcW w:type="dxa" w:w="2960"/>
            <w:shd w:fill="F2F4F7"/>
            <w:vAlign w:val="top"/>
            <w:tcMar>
              <w:top w:w="80" w:type="dxa"/>
              <w:bottom w:w="80" w:type="dxa"/>
              <w:start w:w="120" w:type="dxa"/>
              <w:end w:w="120" w:type="dxa"/>
            </w:tcMar>
          </w:tcPr>
          <w:p>
            <w:r>
              <w:rPr>
                <w:rFonts w:ascii="Calibri" w:hAnsi="Calibri" w:eastAsia="Calibri"/>
                <w:b/>
                <w:i w:val="0"/>
                <w:color w:val="17365D"/>
                <w:sz w:val="18"/>
              </w:rPr>
              <w:t>Matter-specific question</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Quality/product law</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Applicable CPSC/FDA/NHTSA/sector statutes and standards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Quality/regulatory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Roles, testing, records, reporting</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UCC/contract</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Chosen-state commercial law and agreements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Commercial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Acceptance, warranty, remedies</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Trade/counterfeit</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Applicable customs, export, government and industry rules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Trade specialist</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Origin, authenticity, reporting</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Data/software</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Applicable security, privacy and software-quality requirements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Specialists</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Connected products and records</w:t>
            </w:r>
          </w:p>
        </w:tc>
      </w:tr>
    </w:tbl>
    <w:p/>
    <w:p>
      <w:pPr>
        <w:pStyle w:val="Heading1"/>
      </w:pPr>
      <w:r>
        <w:t>7. Matter Completion and Release Checklist</w:t>
      </w:r>
    </w:p>
    <w:tbl>
      <w:tblPr>
        <w:tblStyle w:val="TableGrid"/>
        <w:tblW w:type="dxa" w:w="9360"/>
        <w:jc w:val="left"/>
        <w:tblLayout w:type="fixed"/>
        <w:tblLook w:firstColumn="1" w:firstRow="1" w:lastColumn="0" w:lastRow="0" w:noHBand="0" w:noVBand="1" w:val="04A0"/>
        <w:tblInd w:w="120" w:type="dxa"/>
      </w:tblPr>
      <w:tblGrid>
        <w:gridCol w:w="1200"/>
        <w:gridCol w:w="8160"/>
      </w:tblGrid>
      <w:tr>
        <w:trPr>
          <w:trHeight w:hRule="atLeast"/>
          <w:tblHeader w:val="true"/>
          <w:cantSplit/>
        </w:trPr>
        <w:tc>
          <w:tcPr>
            <w:tcW w:type="dxa" w:w="1200"/>
            <w:shd w:fill="F2F4F7"/>
            <w:vAlign w:val="top"/>
            <w:tcMar>
              <w:top w:w="80" w:type="dxa"/>
              <w:bottom w:w="80" w:type="dxa"/>
              <w:start w:w="120" w:type="dxa"/>
              <w:end w:w="120" w:type="dxa"/>
            </w:tcMar>
          </w:tcPr>
          <w:p>
            <w:r>
              <w:rPr>
                <w:rFonts w:ascii="Calibri" w:hAnsi="Calibri" w:eastAsia="Calibri"/>
                <w:b/>
                <w:i w:val="0"/>
                <w:color w:val="17365D"/>
                <w:sz w:val="18"/>
              </w:rPr>
              <w:t>Status</w:t>
            </w:r>
          </w:p>
        </w:tc>
        <w:tc>
          <w:tcPr>
            <w:tcW w:type="dxa" w:w="8160"/>
            <w:shd w:fill="F2F4F7"/>
            <w:vAlign w:val="top"/>
            <w:tcMar>
              <w:top w:w="80" w:type="dxa"/>
              <w:bottom w:w="80" w:type="dxa"/>
              <w:start w:w="120" w:type="dxa"/>
              <w:end w:w="120" w:type="dxa"/>
            </w:tcMar>
          </w:tcPr>
          <w:p>
            <w:r>
              <w:rPr>
                <w:rFonts w:ascii="Calibri" w:hAnsi="Calibri" w:eastAsia="Calibri"/>
                <w:b/>
                <w:i w:val="0"/>
                <w:color w:val="17365D"/>
                <w:sz w:val="18"/>
              </w:rPr>
              <w:t>Release condition</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Map products, sites, regulatory roles, specifications, critical characteristics, and standards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Reconcile quality agreement with supply contract, PO terms, privacy/security, and recall plan</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Implement document, training, validation, sub-tier, inspection, traceability, and change controls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Define nonconformance, deviation, CAPA, complaint, field-action, and regulator processes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Set usable audit, data-integrity, retention, continuity, metrics, and exit controls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Exercise traceability and critical escalation before production</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Obtain quality, engineering, regulatory, operations, security, procurement, and responsible-lawyer approval</w:t>
            </w:r>
          </w:p>
        </w:tc>
      </w:tr>
    </w:tbl>
    <w:p/>
    <w:p>
      <w:pPr>
        <w:pStyle w:val="Heading1"/>
      </w:pPr>
      <w:r>
        <w:t>8. Release Certification and Matter Sign-Off</w:t>
      </w:r>
    </w:p>
    <w:p>
      <w:pPr>
        <w:spacing w:after="240"/>
      </w:pPr>
      <w:r>
        <w:t>Complete this page only after every open release condition is satisfied. Each approver confirms only the matters within that person’s responsibility; responsible counsel controls final legal release.</w:t>
      </w:r>
    </w:p>
    <w:tbl>
      <w:tblPr>
        <w:tblStyle w:val="TableGrid"/>
        <w:tblW w:type="dxa" w:w="9360"/>
        <w:jc w:val="left"/>
        <w:tblLayout w:type="fixed"/>
        <w:tblLook w:firstColumn="1" w:firstRow="1" w:lastColumn="0" w:lastRow="0" w:noHBand="0" w:noVBand="1" w:val="04A0"/>
        <w:tblInd w:w="120" w:type="dxa"/>
      </w:tblPr>
      <w:tblGrid>
        <w:gridCol w:w="3000"/>
        <w:gridCol w:w="6360"/>
      </w:tblGrid>
      <w:tr>
        <w:trPr>
          <w:trHeight w:hRule="atLeast"/>
          <w:tblHeader w:val="true"/>
          <w:cantSplit/>
        </w:trPr>
        <w:tc>
          <w:tcPr>
            <w:tcW w:type="dxa" w:w="3000"/>
            <w:shd w:fill="F2F4F7"/>
            <w:vAlign w:val="top"/>
            <w:tcMar>
              <w:top w:w="80" w:type="dxa"/>
              <w:bottom w:w="80" w:type="dxa"/>
              <w:start w:w="120" w:type="dxa"/>
              <w:end w:w="120" w:type="dxa"/>
            </w:tcMar>
          </w:tcPr>
          <w:p>
            <w:r>
              <w:rPr>
                <w:rFonts w:ascii="Calibri" w:hAnsi="Calibri" w:eastAsia="Calibri"/>
                <w:b/>
                <w:i w:val="0"/>
                <w:color w:val="17365D"/>
                <w:sz w:val="18"/>
              </w:rPr>
              <w:t>Certification item</w:t>
            </w:r>
          </w:p>
        </w:tc>
        <w:tc>
          <w:tcPr>
            <w:tcW w:type="dxa" w:w="6360"/>
            <w:shd w:fill="F2F4F7"/>
            <w:vAlign w:val="top"/>
            <w:tcMar>
              <w:top w:w="80" w:type="dxa"/>
              <w:bottom w:w="80" w:type="dxa"/>
              <w:start w:w="120" w:type="dxa"/>
              <w:end w:w="120" w:type="dxa"/>
            </w:tcMar>
          </w:tcPr>
          <w:p>
            <w:r>
              <w:rPr>
                <w:rFonts w:ascii="Calibri" w:hAnsi="Calibri" w:eastAsia="Calibri"/>
                <w:b/>
                <w:i w:val="0"/>
                <w:color w:val="17365D"/>
                <w:sz w:val="18"/>
              </w:rPr>
              <w:t>Completed entry</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Final document title and version</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Vendor Quality Agreement and Quality Control Schedule / [FINAL VERSION]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Matter / client / project</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Responsible lawyer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SIGNATURE OR APPROVAL RECORD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Specialist reviewers</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[NAMES / DOMAINS / DATES]</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Business and operational owner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APPROVAL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Alternatives deleted; schedules and cross-references reconciled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Law, guidance, technical standards, facts, and linked workflows refreshed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AS-OF DATE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Approval and evidence archive</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[CONTROLLED LOCATION / MATTER NUMBER]</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RELEASE STATUS.  </w:t>
            </w:r>
            <w:r>
              <w:rPr>
                <w:rFonts w:ascii="Calibri" w:hAnsi="Calibri" w:eastAsia="Calibri"/>
                <w:b w:val="0"/>
                <w:i w:val="0"/>
                <w:color w:val="111111"/>
                <w:sz w:val="21"/>
              </w:rPr>
              <w:t>No matter may be described as approved, compliant, or ready for signature while an entry above remains incomplete or qualified without documented responsible-lawyer resolution.</w:t>
            </w:r>
          </w:p>
        </w:tc>
      </w:tr>
    </w:tbl>
    <w:p/>
    <w:sectPr w:rsidR="00FC693F" w:rsidRPr="0006063C" w:rsidSect="00034616">
      <w:headerReference w:type="default" r:id="rId9"/>
      <w:footerReference w:type="default" r:id="rId10"/>
      <w:pgSz w:w="12240" w:h="15840"/>
      <w:pgMar w:top="1080" w:right="1440" w:bottom="1080" w:left="1440"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Pr>
    <w:tblGrid>
      <w:gridCol w:w="7000"/>
      <w:gridCol w:w="2360"/>
    </w:tblGrid>
    <w:tr>
      <w:trPr>
        <w:cantSplit/>
        <w:trHeight w:hRule="atLeast"/>
      </w:trPr>
      <w:tc>
        <w:tcPr>
          <w:tcW w:type="dxa" w:w="7000"/>
          <w:vAlign w:val="top"/>
          <w:tcMar>
            <w:top w:w="80" w:type="dxa"/>
            <w:bottom w:w="80" w:type="dxa"/>
            <w:start w:w="120" w:type="dxa"/>
            <w:end w:w="120" w:type="dxa"/>
          </w:tcMar>
        </w:tcPr>
        <w:p>
          <w:r>
            <w:rPr>
              <w:rFonts w:ascii="Calibri" w:hAnsi="Calibri" w:eastAsia="Calibri"/>
              <w:b w:val="0"/>
              <w:i w:val="0"/>
              <w:color w:val="5B6573"/>
              <w:sz w:val="16"/>
            </w:rPr>
            <w:t>Study and drafting use only | Matter completion required</w:t>
          </w:r>
        </w:p>
      </w:tc>
      <w:tc>
        <w:tcPr>
          <w:tcW w:type="dxa" w:w="2360"/>
          <w:vAlign w:val="top"/>
          <w:tcMar>
            <w:top w:w="80" w:type="dxa"/>
            <w:bottom w:w="80" w:type="dxa"/>
            <w:start w:w="120" w:type="dxa"/>
            <w:end w:w="120" w:type="dxa"/>
          </w:tcMar>
        </w:tcPr>
        <w:p>
          <w:pPr>
            <w:jc w:val="right"/>
          </w:pPr>
          <w:r>
            <w:rPr>
              <w:rFonts w:ascii="Calibri" w:hAnsi="Calibri" w:eastAsia="Calibri"/>
              <w:b w:val="0"/>
              <w:i w:val="0"/>
              <w:color w:val="5B6573"/>
              <w:sz w:val="16"/>
            </w:rPr>
            <w:t xml:space="preserve">Page </w:t>
          </w:r>
          <w:r>
            <w:rPr>
              <w:rFonts w:ascii="Calibri" w:hAnsi="Calibri" w:eastAsia="Calibri"/>
              <w:b w:val="0"/>
              <w:i w:val="0"/>
              <w:color w:val="5B6573"/>
              <w:sz w:val="16"/>
            </w:rPr>
            <w:fldChar w:fldCharType="begin"/>
            <w:instrText xml:space="preserve">PAGE</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120" w:type="dxa"/>
    </w:tblPr>
    <w:tblGrid>
      <w:gridCol w:w="5200"/>
      <w:gridCol w:w="4160"/>
    </w:tblGrid>
    <w:tr>
      <w:trPr>
        <w:cantSplit/>
        <w:trHeight w:hRule="atLeast"/>
      </w:trPr>
      <w:tc>
        <w:tcPr>
          <w:tcW w:type="dxa" w:w="5200"/>
          <w:vAlign w:val="top"/>
          <w:tcMar>
            <w:top w:w="80" w:type="dxa"/>
            <w:bottom w:w="80" w:type="dxa"/>
            <w:start w:w="120" w:type="dxa"/>
            <w:end w:w="120" w:type="dxa"/>
          </w:tcMar>
        </w:tcPr>
        <w:p>
          <w:pPr>
            <w:jc w:val="left"/>
          </w:pPr>
          <w:r>
            <w:rPr>
              <w:rFonts w:ascii="Calibri" w:hAnsi="Calibri" w:eastAsia="Calibri"/>
              <w:b/>
              <w:i w:val="0"/>
              <w:color w:val="17365D"/>
              <w:sz w:val="17"/>
            </w:rPr>
            <w:t>MONTAGUE ENTREPRENEUR FORMS</w:t>
          </w:r>
        </w:p>
      </w:tc>
      <w:tc>
        <w:tcPr>
          <w:tcW w:type="dxa" w:w="4160"/>
          <w:vAlign w:val="top"/>
          <w:tcMar>
            <w:top w:w="80" w:type="dxa"/>
            <w:bottom w:w="80" w:type="dxa"/>
            <w:start w:w="120" w:type="dxa"/>
            <w:end w:w="120" w:type="dxa"/>
          </w:tcMar>
        </w:tcPr>
        <w:p>
          <w:pPr>
            <w:jc w:val="right"/>
          </w:pPr>
          <w:r>
            <w:rPr>
              <w:rFonts w:ascii="Calibri" w:hAnsi="Calibri" w:eastAsia="Calibri"/>
              <w:b/>
              <w:i w:val="0"/>
              <w:color w:val="17365D"/>
              <w:sz w:val="17"/>
            </w:rPr>
            <w:t>EF-069 | Practitioner Master</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eastAsia="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eastAsia="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eastAsia="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eastAsia="Calibri"/>
      <w:b/>
      <w:color w:val="17365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432" w:hanging="259"/>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432" w:hanging="259"/>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Text">
    <w:name w:val="Clause Text"/>
    <w:pPr>
      <w:spacing w:after="120" w:line="259" w:lineRule="auto"/>
    </w:pPr>
    <w:rPr>
      <w:rFonts w:ascii="Calibri" w:hAnsi="Calibri"/>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Quality Agreement and Quality Control Schedule</dc:title>
  <dc:subject>Original entrepreneur legal practitioner master for study and matter-specific drafting</dc:subject>
  <dc:creator>Montague Entrepreneur Forms</dc:creator>
  <cp:keywords>EF-069, entrepreneur forms, practitioner master</cp:keywords>
  <dc:description>Original form; no Westlaw or Practical Law text reproduced.</dc:description>
  <cp:lastModifiedBy/>
  <cp:revision>1</cp:revision>
  <dcterms:created xsi:type="dcterms:W3CDTF">2013-12-23T23:15:00Z</dcterms:created>
  <dcterms:modified xsi:type="dcterms:W3CDTF">2013-12-23T23:15:00Z</dcterms:modified>
  <cp:category/>
</cp:coreProperties>
</file>