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Related-Party Transactions and Founder Conflicts Policy</w:t>
      </w:r>
    </w:p>
    <w:p>
      <w:r>
        <w:rPr>
          <w:rFonts w:ascii="Calibri" w:hAnsi="Calibri" w:eastAsia="Calibri"/>
          <w:b w:val="0"/>
          <w:i w:val="0"/>
          <w:color w:val="5B6573"/>
          <w:sz w:val="24"/>
        </w:rPr>
        <w:t>A private-company governance package for identifying, disclosing, reviewing, approving, monitoring, and recording founder, director, officer, investor, family, affiliate, and other related-party transactions without importing public-company thresholds mechanically.</w:t>
      </w:r>
    </w:p>
    <w:tbl>
      <w:tblPr>
        <w:tblStyle w:val="TableGrid"/>
        <w:tblW w:type="dxa" w:w="9360"/>
        <w:jc w:val="left"/>
        <w:tblLayout w:type="fixed"/>
        <w:tblLook w:firstColumn="1" w:firstRow="1" w:lastColumn="0" w:lastRow="0" w:noHBand="0" w:noVBand="1" w:val="04A0"/>
        <w:tblInd w:w="120" w:type="dxa"/>
      </w:tblPr>
      <w:tblGrid>
        <w:gridCol w:w="1500"/>
        <w:gridCol w:w="3180"/>
        <w:gridCol w:w="1500"/>
        <w:gridCol w:w="3180"/>
      </w:tblGrid>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FORM ID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EF-068</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VERSION</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3.0.0</w:t>
            </w:r>
          </w:p>
        </w:tc>
      </w:tr>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STATUS</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Practitioner master</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PREPARED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2026-08-28</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IMPORTANT — NOT EXECUTION-READY.  </w:t>
            </w:r>
            <w:r>
              <w:rPr>
                <w:rFonts w:ascii="Calibri" w:hAnsi="Calibri" w:eastAsia="Calibri"/>
                <w:b w:val="0"/>
                <w:i w:val="0"/>
                <w:color w:val="111111"/>
                <w:sz w:val="21"/>
              </w:rPr>
              <w:t>This original practitioner master is for study and drafting. Complete verified facts, select and delete alternatives, reconcile every schedule and related workflow, update law and technical standards, obtain relevant specialist review, and secure responsible-lawyer approval before use. It is not legal advice and does not establish that a matter complies with law.</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D9EAF7"/>
          </w:tcPr>
          <w:p>
            <w:r>
              <w:rPr>
                <w:rFonts w:ascii="Calibri" w:hAnsi="Calibri" w:eastAsia="Calibri"/>
                <w:b/>
                <w:i w:val="0"/>
                <w:color w:val="17365D"/>
                <w:sz w:val="21"/>
              </w:rPr>
              <w:t xml:space="preserve">MODULE CONTROL.  </w:t>
            </w:r>
            <w:r>
              <w:rPr>
                <w:rFonts w:ascii="Calibri" w:hAnsi="Calibri" w:eastAsia="Calibri"/>
                <w:b w:val="0"/>
                <w:i w:val="0"/>
                <w:color w:val="111111"/>
                <w:sz w:val="21"/>
              </w:rPr>
              <w:t>Adopt a private-company materiality framework tied to fiduciary duties, governing documents, financing agreements, tax, disclosure, and actual risk. Public-company Item 404 concepts may be informative but are not the default legal standard for a startup. Complete the disinterested decision process and state-law safe-harbor analysis for each matter.</w:t>
            </w:r>
          </w:p>
        </w:tc>
      </w:tr>
    </w:tbl>
    <w:p/>
    <w:p>
      <w:pPr>
        <w:pStyle w:val="Heading1"/>
      </w:pPr>
      <w:r>
        <w:t>1. Matter Control Sheet</w:t>
      </w:r>
    </w:p>
    <w:tbl>
      <w:tblPr>
        <w:tblStyle w:val="TableGrid"/>
        <w:tblW w:type="dxa" w:w="9360"/>
        <w:jc w:val="left"/>
        <w:tblLayout w:type="fixed"/>
        <w:tblLook w:firstColumn="1" w:firstRow="1" w:lastColumn="0" w:lastRow="0" w:noHBand="0" w:noVBand="1" w:val="04A0"/>
        <w:tblInd w:w="120" w:type="dxa"/>
      </w:tblPr>
      <w:tblGrid>
        <w:gridCol w:w="2600"/>
        <w:gridCol w:w="6760"/>
      </w:tblGrid>
      <w:tr>
        <w:trPr>
          <w:trHeight w:hRule="atLeast"/>
          <w:tblHeader w:val="true"/>
          <w:cantSplit/>
        </w:trPr>
        <w:tc>
          <w:tcPr>
            <w:tcW w:type="dxa" w:w="2600"/>
            <w:shd w:fill="F2F4F7"/>
            <w:vAlign w:val="top"/>
            <w:tcMar>
              <w:top w:w="80" w:type="dxa"/>
              <w:bottom w:w="80" w:type="dxa"/>
              <w:start w:w="120" w:type="dxa"/>
              <w:end w:w="120" w:type="dxa"/>
            </w:tcMar>
          </w:tcPr>
          <w:p>
            <w:r>
              <w:rPr>
                <w:rFonts w:ascii="Calibri" w:hAnsi="Calibri" w:eastAsia="Calibri"/>
                <w:b/>
                <w:i w:val="0"/>
                <w:color w:val="17365D"/>
                <w:sz w:val="18"/>
              </w:rPr>
              <w:t>Matter variable</w:t>
            </w:r>
          </w:p>
        </w:tc>
        <w:tc>
          <w:tcPr>
            <w:tcW w:type="dxa" w:w="6760"/>
            <w:shd w:fill="F2F4F7"/>
            <w:vAlign w:val="top"/>
            <w:tcMar>
              <w:top w:w="80" w:type="dxa"/>
              <w:bottom w:w="80" w:type="dxa"/>
              <w:start w:w="120" w:type="dxa"/>
              <w:end w:w="120" w:type="dxa"/>
            </w:tcMar>
          </w:tcPr>
          <w:p>
            <w:r>
              <w:rPr>
                <w:rFonts w:ascii="Calibri" w:hAnsi="Calibri" w:eastAsia="Calibri"/>
                <w:b/>
                <w:i w:val="0"/>
                <w:color w:val="17365D"/>
                <w:sz w:val="18"/>
              </w:rPr>
              <w:t>Required completion</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Company / entity form</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[CORPORATION / LLC; STATE; GOVERNING DOCUMENTS]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Approval body</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[DISINTERESTED BOARD / COMMITTEE / MEMBERS / STOCKHOLDERS]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Covered persons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[FOUNDERS, DIRECTORS, OFFICERS, KEY HOLDERS, FAMILY, AFFILIATES]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Transaction threshold</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[DOLLAR / QUALITATIVE / AGGREGATION / RECURRING]</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Disclosure channel</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[ANNUAL QUESTIONNAIRE + EVENT NOTICE]</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Independent support</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[VALUATION / MARKET CHECK / COUNSEL / TAX / CONFLICTS ADVISER]</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Records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[MINUTES, CONSENTS, RECUSAL, SUPPORTING DATA, MONITORING]</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Related agreements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[CHARTER, BYLAWS/OA, INVESTOR RIGHTS, DEBT, 409A, TAX]</w:t>
            </w:r>
          </w:p>
        </w:tc>
      </w:tr>
    </w:tbl>
    <w:p/>
    <w:p>
      <w:pPr>
        <w:pStyle w:val="Heading1"/>
      </w:pPr>
      <w:r>
        <w:t>2. Operative Form</w:t>
      </w:r>
    </w:p>
    <w:p>
      <w:pPr>
        <w:pStyle w:val="Heading2"/>
        <w:keepNext/>
      </w:pPr>
      <w:r>
        <w:t>1. Purpose and Governing Standard</w:t>
      </w:r>
    </w:p>
    <w:p>
      <w:pPr>
        <w:pStyle w:val="ClauseText"/>
        <w:keepNext/>
        <w:keepLines/>
      </w:pPr>
      <w:r>
        <w:t>This Policy establishes a process for identifying and reviewing related-party transactions and conflicts affecting [COMPANY]. It supplements fiduciary duties, the certificate or articles, bylaws or operating agreement, investor and debt agreements, applicable law, and any committee charter. It does not convert a process-compliant transaction into a permissible one if the substance remains unfair, wasteful, prohibited, or unauthorized.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Identify entity form and state law first. Treat the policy as a control, not a liability shield.</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Procedural compliance cannot cure lack of authority or unfairness.</w:t>
            </w:r>
          </w:p>
        </w:tc>
      </w:tr>
    </w:tbl>
    <w:p/>
    <w:p>
      <w:pPr>
        <w:pStyle w:val="Heading2"/>
        <w:keepNext/>
      </w:pPr>
      <w:r>
        <w:t>2. Covered Persons</w:t>
      </w:r>
    </w:p>
    <w:p>
      <w:pPr>
        <w:pStyle w:val="ClauseText"/>
        <w:keepNext/>
        <w:keepLines/>
      </w:pPr>
      <w:r>
        <w:t>Covered Persons include each founder, director, manager, officer, executive, key employee, controlling or significant equityholder designated by the Board, and each immediate-family, household, trust, entity, or other affiliate through which that person has a direct or indirect material interest. The Secretary maintains the current list and sends annual and event-driven disclosure requests.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Tailor ownership thresholds and relationship categories to the cap table and governing documents; protect sensitive family information.</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narrow definition misses indirect founder and investor arrangements.</w:t>
            </w:r>
          </w:p>
        </w:tc>
      </w:tr>
    </w:tbl>
    <w:p/>
    <w:p>
      <w:pPr>
        <w:pStyle w:val="Heading2"/>
        <w:keepNext/>
      </w:pPr>
      <w:r>
        <w:t>3. Related-Party Transaction</w:t>
      </w:r>
    </w:p>
    <w:p>
      <w:pPr>
        <w:pStyle w:val="ClauseText"/>
        <w:keepNext/>
        <w:keepLines/>
      </w:pPr>
      <w:r>
        <w:t>A Related-Party Transaction is a transaction, arrangement, opportunity, series, amendment, waiver, settlement, compensation item, loan, guaranty, asset transfer, license, service, lease, investment, or other relationship involving Company and a Covered Person or affiliated interest where the person has a material direct or indirect interest. Ordinary broadly available benefits may be excluded only as stated in the Scope Schedule.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Aggregate related steps and recurring arrangements. Include corporate opportunities, expense reimbursements, IP, and use of company personnel or data.</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Structuring a deal into pieces can evade a purely dollar-based threshold.</w:t>
            </w:r>
          </w:p>
        </w:tc>
      </w:tr>
    </w:tbl>
    <w:p/>
    <w:p>
      <w:pPr>
        <w:pStyle w:val="Heading2"/>
        <w:keepNext/>
      </w:pPr>
      <w:r>
        <w:t>4. Conflict of Interest</w:t>
      </w:r>
    </w:p>
    <w:p>
      <w:pPr>
        <w:pStyle w:val="ClauseText"/>
        <w:keepNext/>
        <w:keepLines/>
      </w:pPr>
      <w:r>
        <w:t>A conflict exists when personal, financial, family, professional, fiduciary, or other interests could reasonably affect—or appear to affect—a Covered Person’s judgment for Company. A conflict may exist without a completed transaction and without misconduct. Covered Persons must disclose uncertainty rather than deciding alone that an interest is immaterial.</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a broad disclosure trigger and a separate approval threshold. Explain apparent conflicts and dual fiduciary roles.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Self-screening suppresses facts the disinterested body needs.</w:t>
            </w:r>
          </w:p>
        </w:tc>
      </w:tr>
    </w:tbl>
    <w:p/>
    <w:p>
      <w:pPr>
        <w:pStyle w:val="Heading2"/>
        <w:keepNext/>
      </w:pPr>
      <w:r>
        <w:t>5. Advance and Ongoing Disclosure</w:t>
      </w:r>
    </w:p>
    <w:p>
      <w:pPr>
        <w:pStyle w:val="ClauseText"/>
        <w:keepNext/>
        <w:keepLines/>
      </w:pPr>
      <w:r>
        <w:t>A Covered Person must disclose in writing before Company commits: the parties, relationships, economics, noncash value, duration, alternatives, personal benefit, competing duties, relevant communications, and any changed facts. Annual questionnaires supplement but do not replace event notice. Late disclosure must be escalated promptly with an explanation and preservation of records.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Create an accessible confidential channel and certification cadence. Require updates when pricing, control, or relationship changes.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Annual forms alone miss fast-moving founder transactions.</w:t>
            </w:r>
          </w:p>
        </w:tc>
      </w:tr>
    </w:tbl>
    <w:p/>
    <w:p>
      <w:pPr>
        <w:pStyle w:val="Heading2"/>
        <w:keepNext/>
      </w:pPr>
      <w:r>
        <w:t>6. Initial Triage and Legal Review</w:t>
      </w:r>
    </w:p>
    <w:p>
      <w:pPr>
        <w:pStyle w:val="ClauseText"/>
        <w:keepNext/>
        <w:keepLines/>
      </w:pPr>
      <w:r>
        <w:t>The Secretary and Legal will determine applicable approval bodies, governing-document consents, contractual rights, fiduciary standards, tax, accounting, securities, disclosure, valuation, employment, sanctions, and other specialist issues. They may pause negotiations, request data, separate privileged advice, and recommend independent counsel or a special committee. The interested person cannot control triage, the information supplied to reviewers, the selection of advisers, or the recommendation presented to the approval body.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Define emergency coverage and conflicts checks for company counsel.</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Using interested management to frame the issue can bias the entire process.</w:t>
            </w:r>
          </w:p>
        </w:tc>
      </w:tr>
    </w:tbl>
    <w:p/>
    <w:p>
      <w:pPr>
        <w:pStyle w:val="Heading2"/>
        <w:keepNext/>
      </w:pPr>
      <w:r>
        <w:t>7. Recusal and Information Boundaries</w:t>
      </w:r>
    </w:p>
    <w:p>
      <w:pPr>
        <w:pStyle w:val="ClauseText"/>
        <w:keepNext/>
        <w:keepLines/>
      </w:pPr>
      <w:r>
        <w:t>An interested Covered Person must not vote, approve, direct the review, pressure reviewers, or receive confidential deliberation material except factual information needed for the decision. The person may present facts and answer questions at the chair’s request and then leaves deliberations. Attendance, departure, return, abstention, and any disputed participation are recorded.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Tailor quorum and notice rules; do not assume recusal solves quorum or approval requirements.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Informal founder influence can undermine nominally disinterested approval.</w:t>
            </w:r>
          </w:p>
        </w:tc>
      </w:tr>
    </w:tbl>
    <w:p/>
    <w:p>
      <w:pPr>
        <w:pStyle w:val="Heading2"/>
        <w:keepNext/>
      </w:pPr>
      <w:r>
        <w:t>8. Disinterested Approval Body</w:t>
      </w:r>
    </w:p>
    <w:p>
      <w:pPr>
        <w:pStyle w:val="ClauseText"/>
        <w:keepNext/>
        <w:keepLines/>
      </w:pPr>
      <w:r>
        <w:t>The approval body is the disinterested Board, committee, managers, members, or equityholders with authority under the Approval Matrix. A reviewer is disinterested only if independent in judgment and not materially affected by the transaction. If an adequate disinterested body cannot be formed, Legal will advise on an independent committee, equityholder approval, judicial process, abandonment, or other lawful route.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Analyze independence factually, including investor, employment, family, financing, and future-deal ties.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Formal title does not establish independence.</w:t>
            </w:r>
          </w:p>
        </w:tc>
      </w:tr>
    </w:tbl>
    <w:p/>
    <w:p>
      <w:pPr>
        <w:pStyle w:val="Heading2"/>
        <w:keepNext/>
      </w:pPr>
      <w:r>
        <w:t>9. Review Criteria</w:t>
      </w:r>
    </w:p>
    <w:p>
      <w:pPr>
        <w:pStyle w:val="ClauseText"/>
        <w:keepNext/>
        <w:keepLines/>
      </w:pPr>
      <w:r>
        <w:t>The approval body will consider authority, business purpose, strategic benefit, fair value, market terms, alternatives, process integrity, conflicts, use of Company assets or opportunities, dilution, liquidity, tax, accounting, employee, creditor and minority-holder effects, risk, duration, termination rights, and monitoring. It may approve only if it determines the transaction is fair to Company or otherwise satisfies the applicable legal standard.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Complete a written record tailored to the transaction; avoid a box-checking recital.</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Unexplained approval is vulnerable when the transaction later performs poorly.</w:t>
            </w:r>
          </w:p>
        </w:tc>
      </w:tr>
    </w:tbl>
    <w:p/>
    <w:p>
      <w:pPr>
        <w:pStyle w:val="Heading2"/>
        <w:keepNext/>
      </w:pPr>
      <w:r>
        <w:t>10. Market Check, Valuation, and Independent Advice</w:t>
      </w:r>
    </w:p>
    <w:p>
      <w:pPr>
        <w:pStyle w:val="ClauseText"/>
        <w:keepNext/>
        <w:keepLines/>
      </w:pPr>
      <w:r>
        <w:t>For material, unusual, illiquid, insider-financing, IP, compensation, asset, or control transactions, the approval body should obtain proportionate evidence such as comparable bids, independent valuation, fairness analysis, 409A work, market compensation data, independent counsel, or financial advice. Any decision not to obtain common evidence must be reasoned and recorded.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Select evidence based on risk and cost; confirm adviser independence and scope.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Related-party pricing is difficult to defend without contemporaneous evidence.</w:t>
            </w:r>
          </w:p>
        </w:tc>
      </w:tr>
    </w:tbl>
    <w:p/>
    <w:p>
      <w:pPr>
        <w:pStyle w:val="Heading2"/>
        <w:keepNext/>
      </w:pPr>
      <w:r>
        <w:t>11. Special Categories</w:t>
      </w:r>
    </w:p>
    <w:p>
      <w:pPr>
        <w:pStyle w:val="ClauseText"/>
        <w:keepNext/>
        <w:keepLines/>
      </w:pPr>
      <w:r>
        <w:t>The Approval Matrix must separately address founder IP and services; insider loans and guaranties; equity grants, repricing and liquidity; secondary sales; leases and asset use; affiliate vendors or customers; investments and corporate opportunities; family employment; expense arrangements; waivers of vesting or restrictive covenants; and settlements. No general approval covers a category unless its limits and monitoring are explicit.</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Add regulated or investor-specific categories. Coordinate compensation committee and financing consents.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High-risk transactions often hide in operational categories treated as routine.</w:t>
            </w:r>
          </w:p>
        </w:tc>
      </w:tr>
    </w:tbl>
    <w:p/>
    <w:p>
      <w:pPr>
        <w:pStyle w:val="Heading2"/>
        <w:keepNext/>
      </w:pPr>
      <w:r>
        <w:t>12. Corporate Opportunities and Competing Activities</w:t>
      </w:r>
    </w:p>
    <w:p>
      <w:pPr>
        <w:pStyle w:val="ClauseText"/>
        <w:keepNext/>
        <w:keepLines/>
      </w:pPr>
      <w:r>
        <w:t>A Covered Person must present to Company any opportunity that applicable duty, contract, or governing document requires before pursuing it personally or through an affiliate. The disinterested body may reject, waive, allocate, or condition the opportunity only after receiving material facts and completing required approvals. General opportunity waivers are effective only to the extent lawful and properly adopted.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Analyze charter and LLC opportunity waivers, investor funds, side letters, and employment/IP duties.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Informal opportunity allocation creates ownership and fiduciary disputes.</w:t>
            </w:r>
          </w:p>
        </w:tc>
      </w:tr>
    </w:tbl>
    <w:p/>
    <w:p>
      <w:pPr>
        <w:pStyle w:val="Heading2"/>
        <w:keepNext/>
      </w:pPr>
      <w:r>
        <w:t>13. Emergency and Pre-Approved Transactions</w:t>
      </w:r>
    </w:p>
    <w:p>
      <w:pPr>
        <w:pStyle w:val="ClauseText"/>
        <w:keepNext/>
        <w:keepLines/>
      </w:pPr>
      <w:r>
        <w:t>A genuinely urgent transaction may receive conditional approval from [AUTHORIZED DISINTERESTED PERSONS] only within stated limits, followed by full review within [●] days. A recurring transaction may be pre-approved for a defined term, counterparty, purpose, pricing formula, maximum exposure, and monitoring report. Material deviation or renewal requires fresh review.</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Keep emergency and preapproval limits narrow and auditable.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Broad blanket approvals defeat meaningful review.</w:t>
            </w:r>
          </w:p>
        </w:tc>
      </w:tr>
    </w:tbl>
    <w:p/>
    <w:p>
      <w:pPr>
        <w:pStyle w:val="Heading2"/>
        <w:keepNext/>
      </w:pPr>
      <w:r>
        <w:t>14. Documentation and Minutes</w:t>
      </w:r>
    </w:p>
    <w:p>
      <w:pPr>
        <w:pStyle w:val="ClauseText"/>
        <w:keepNext/>
        <w:keepLines/>
      </w:pPr>
      <w:r>
        <w:t>The record will identify disclosed interests, reviewers and independence, recusal, materials, alternatives, valuation, advice, questions, deliberative factors, statutory or contractual approvals, resolution, conditions, dissent, and monitoring. Minutes should be accurate and sufficient without exposing unnecessary privileged advice. Executed agreements must match the approved terms.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counsel-reviewed minutes and a closing checklist; preserve supporting materials and version control.</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Generic minutes may not evidence informed disinterested judgment.</w:t>
            </w:r>
          </w:p>
        </w:tc>
      </w:tr>
    </w:tbl>
    <w:p/>
    <w:p>
      <w:pPr>
        <w:pStyle w:val="Heading2"/>
        <w:keepNext/>
      </w:pPr>
      <w:r>
        <w:t>15. Monitoring, Changes, and Renewal</w:t>
      </w:r>
    </w:p>
    <w:p>
      <w:pPr>
        <w:pStyle w:val="ClauseText"/>
        <w:keepNext/>
        <w:keepLines/>
      </w:pPr>
      <w:r>
        <w:t>An approved transaction owner will report performance, payments, deviations, conflicts, complaints, covenant compliance, and renewal status at the cadence in the approval. Material amendment, waiver, extension, underperformance, enforcement decision, change in relationship, or aggregate threshold breach requires re-review. Approval is not perpetual acquiescence.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Build calendar and payment-system alerts. Monitor recurring affiliate vendors and loans.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Initial fairness can disappear as terms or circumstances change.</w:t>
            </w:r>
          </w:p>
        </w:tc>
      </w:tr>
    </w:tbl>
    <w:p/>
    <w:p>
      <w:pPr>
        <w:pStyle w:val="Heading2"/>
        <w:keepNext/>
      </w:pPr>
      <w:r>
        <w:t>16. Violations, Ratification, and Remedies</w:t>
      </w:r>
    </w:p>
    <w:p>
      <w:pPr>
        <w:pStyle w:val="ClauseText"/>
        <w:keepNext/>
        <w:keepLines/>
      </w:pPr>
      <w:r>
        <w:t>Suspected non-disclosure, participation, circumvention, or unauthorized benefit is reported to Legal or the disinterested chair. Company may investigate, suspend performance, seek restitution, rescission, damages, discipline, contract remedies, or other relief. Ratification, if available, requires full disclosure and the legally appropriate disinterested process; it is not automatic.</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Coordinate privilege, employment, whistleblower, insurance, disclosure, and litigation-hold issues.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Casual retroactive approval may worsen rather than cure a breach.</w:t>
            </w:r>
          </w:p>
        </w:tc>
      </w:tr>
    </w:tbl>
    <w:p/>
    <w:p>
      <w:pPr>
        <w:pStyle w:val="Heading2"/>
        <w:keepNext/>
      </w:pPr>
      <w:r>
        <w:t>17. Confidentiality, Non-Retaliation, and Data</w:t>
      </w:r>
    </w:p>
    <w:p>
      <w:pPr>
        <w:pStyle w:val="ClauseText"/>
        <w:keepNext/>
        <w:keepLines/>
      </w:pPr>
      <w:r>
        <w:t>Disclosures and reviews will be shared only with persons who need them, subject to legal and governance duties. Company will not retaliate for a good-faith disclosure or concern. Personal, family, compensation, tax, and financial information will be collected and retained proportionately and protected under applicable policy and law.</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Separate governance transparency from unnecessary circulation. Provide conflict-safe reporting routes.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Sensitive disclosures deter candor if mishandled.</w:t>
            </w:r>
          </w:p>
        </w:tc>
      </w:tr>
    </w:tbl>
    <w:p/>
    <w:p>
      <w:pPr>
        <w:pStyle w:val="Heading2"/>
        <w:keepNext/>
      </w:pPr>
      <w:r>
        <w:t>18. Training, Annual Certification, and Policy Review</w:t>
      </w:r>
    </w:p>
    <w:p>
      <w:pPr>
        <w:pStyle w:val="ClauseText"/>
        <w:keepNext/>
        <w:keepLines/>
      </w:pPr>
      <w:r>
        <w:t>Covered Persons will receive onboarding and annual training and certify that they disclosed required interests, reviewed listed relationships, and understand event-driven duties, with qualified exceptions permitted. Legal and the Board will review thresholds, categories, cap table, governing documents, financing covenants, laws, and process performance at least annually and after material change.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real examples and reconcile questionnaires across D&amp;O, investor, tax, and audit processes.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An obsolete policy may omit new investors, entities, and financing restrictions.</w:t>
            </w:r>
          </w:p>
        </w:tc>
      </w:tr>
    </w:tbl>
    <w:p/>
    <w:p>
      <w:pPr>
        <w:pStyle w:val="Heading1"/>
      </w:pPr>
      <w:r>
        <w:t>3. Required Schedules and Closing Tools</w:t>
      </w:r>
    </w:p>
    <w:p>
      <w:pPr>
        <w:pStyle w:val="Heading2"/>
      </w:pPr>
      <w:r>
        <w:t>Schedule 1 — Covered Persons and Scope</w:t>
      </w:r>
    </w:p>
    <w:p>
      <w:pPr>
        <w:keepNext/>
      </w:pPr>
      <w:r>
        <w:t>Restrict access and refresh after cap-table or role changes.</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Person/category</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Relationship/affiliate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Covered categories</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Validated</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Founder/director</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[date]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Officer/key employee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[date]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Investor/controller</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[date]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Family/trust/entity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[date]</w:t>
            </w:r>
          </w:p>
        </w:tc>
      </w:tr>
    </w:tbl>
    <w:p/>
    <w:p>
      <w:pPr>
        <w:pStyle w:val="Heading2"/>
      </w:pPr>
      <w:r>
        <w:t>Schedule 2 — Approval Matrix</w:t>
      </w:r>
    </w:p>
    <w:p>
      <w:pPr>
        <w:keepNext/>
      </w:pPr>
      <w:r>
        <w:t>Map statutory, charter, investor, lender, and tax requirements separately.</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Transaction/category</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Threshold/aggregation</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Approval body</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Independent support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Founder/affiliate service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Loan/guaranty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Equity/liquidity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IP/asset/opportunity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2"/>
      </w:pPr>
      <w:r>
        <w:t>Schedule 3 — Transaction Disclosure and Decision Record</w:t>
      </w:r>
    </w:p>
    <w:p>
      <w:pPr>
        <w:keepNext/>
      </w:pPr>
      <w:r>
        <w:t>Use before commitment and attach final agreements and approvals.</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Required item</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Disclosure/finding</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Evidence</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Reviewer</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Interest/relationships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Terms/value/alternatives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Recusal/independence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Decision/conditions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2"/>
      </w:pPr>
      <w:r>
        <w:t>Schedule 4 — Monitoring and Annual Certification</w:t>
      </w:r>
    </w:p>
    <w:p>
      <w:pPr>
        <w:keepNext/>
      </w:pPr>
      <w:r>
        <w:t>Escalate changes before renewal or payment outside approved limits.</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Control</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Owner/cadence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Status/exception</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Action</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Payments/performance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Amendment/renewal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Annual questionnaire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Policy/process review</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1"/>
      </w:pPr>
      <w:r>
        <w:t>4. Negotiation and Design Map</w:t>
      </w:r>
    </w:p>
    <w:tbl>
      <w:tblPr>
        <w:tblStyle w:val="TableGrid"/>
        <w:tblW w:type="dxa" w:w="9360"/>
        <w:jc w:val="left"/>
        <w:tblLayout w:type="fixed"/>
        <w:tblLook w:firstColumn="1" w:firstRow="1" w:lastColumn="0" w:lastRow="0" w:noHBand="0" w:noVBand="1" w:val="04A0"/>
        <w:tblInd w:w="120" w:type="dxa"/>
      </w:tblPr>
      <w:tblGrid>
        <w:gridCol w:w="1800"/>
        <w:gridCol w:w="2520"/>
        <w:gridCol w:w="2520"/>
        <w:gridCol w:w="2520"/>
      </w:tblGrid>
      <w:tr>
        <w:trPr>
          <w:trHeight w:hRule="atLeast"/>
          <w:tblHeader w:val="true"/>
          <w:cantSplit/>
        </w:trPr>
        <w:tc>
          <w:tcPr>
            <w:tcW w:type="dxa" w:w="1800"/>
            <w:shd w:fill="F2F4F7"/>
            <w:vAlign w:val="top"/>
            <w:tcMar>
              <w:top w:w="80" w:type="dxa"/>
              <w:bottom w:w="80" w:type="dxa"/>
              <w:start w:w="120" w:type="dxa"/>
              <w:end w:w="120" w:type="dxa"/>
            </w:tcMar>
          </w:tcPr>
          <w:p>
            <w:r>
              <w:rPr>
                <w:rFonts w:ascii="Calibri" w:hAnsi="Calibri" w:eastAsia="Calibri"/>
                <w:b/>
                <w:i w:val="0"/>
                <w:color w:val="17365D"/>
                <w:sz w:val="18"/>
              </w:rPr>
              <w:t>Issue</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Preferred control</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Avoid / escalation</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Required evidence</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Threshold</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Qualitative + aggregate, private-company fit</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Mechanical public-company number</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Approval matrix</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Independence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Fact-specific disinterested judgment</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Title-only assumption</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Relationship record</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Fairness evidence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Proportionate market/valuation support</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Founder assertion alone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Contemporaneous record</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Monitoring</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Term, cap, conditions, renewal</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One-time perpetual approval</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Owner and cadence</w:t>
            </w:r>
          </w:p>
        </w:tc>
      </w:tr>
    </w:tbl>
    <w:p/>
    <w:p>
      <w:pPr>
        <w:pStyle w:val="Heading1"/>
      </w:pPr>
      <w:r>
        <w:t>5. Scenario Tests</w:t>
      </w:r>
    </w:p>
    <w:tbl>
      <w:tblPr>
        <w:tblStyle w:val="TableGrid"/>
        <w:tblW w:type="dxa" w:w="9360"/>
        <w:jc w:val="left"/>
        <w:tblLayout w:type="fixed"/>
        <w:tblLook w:firstColumn="1" w:firstRow="1" w:lastColumn="0" w:lastRow="0" w:noHBand="0" w:noVBand="1" w:val="04A0"/>
        <w:tblInd w:w="120" w:type="dxa"/>
      </w:tblPr>
      <w:tblGrid>
        <w:gridCol w:w="2200"/>
        <w:gridCol w:w="3600"/>
        <w:gridCol w:w="3560"/>
      </w:tblGrid>
      <w:tr>
        <w:trPr>
          <w:trHeight w:hRule="atLeast"/>
          <w:tblHeader w:val="true"/>
          <w:cantSplit/>
        </w:trPr>
        <w:tc>
          <w:tcPr>
            <w:tcW w:type="dxa" w:w="2200"/>
            <w:shd w:fill="F2F4F7"/>
            <w:vAlign w:val="top"/>
            <w:tcMar>
              <w:top w:w="80" w:type="dxa"/>
              <w:bottom w:w="80" w:type="dxa"/>
              <w:start w:w="120" w:type="dxa"/>
              <w:end w:w="120" w:type="dxa"/>
            </w:tcMar>
          </w:tcPr>
          <w:p>
            <w:r>
              <w:rPr>
                <w:rFonts w:ascii="Calibri" w:hAnsi="Calibri" w:eastAsia="Calibri"/>
                <w:b/>
                <w:i w:val="0"/>
                <w:color w:val="17365D"/>
                <w:sz w:val="18"/>
              </w:rPr>
              <w:t>Scenario</w:t>
            </w:r>
          </w:p>
        </w:tc>
        <w:tc>
          <w:tcPr>
            <w:tcW w:type="dxa" w:w="3600"/>
            <w:shd w:fill="F2F4F7"/>
            <w:vAlign w:val="top"/>
            <w:tcMar>
              <w:top w:w="80" w:type="dxa"/>
              <w:bottom w:w="80" w:type="dxa"/>
              <w:start w:w="120" w:type="dxa"/>
              <w:end w:w="120" w:type="dxa"/>
            </w:tcMar>
          </w:tcPr>
          <w:p>
            <w:r>
              <w:rPr>
                <w:rFonts w:ascii="Calibri" w:hAnsi="Calibri" w:eastAsia="Calibri"/>
                <w:b/>
                <w:i w:val="0"/>
                <w:color w:val="17365D"/>
                <w:sz w:val="18"/>
              </w:rPr>
              <w:t>Required operation</w:t>
            </w:r>
          </w:p>
        </w:tc>
        <w:tc>
          <w:tcPr>
            <w:tcW w:type="dxa" w:w="3560"/>
            <w:shd w:fill="F2F4F7"/>
            <w:vAlign w:val="top"/>
            <w:tcMar>
              <w:top w:w="80" w:type="dxa"/>
              <w:bottom w:w="80" w:type="dxa"/>
              <w:start w:w="120" w:type="dxa"/>
              <w:end w:w="120" w:type="dxa"/>
            </w:tcMar>
          </w:tcPr>
          <w:p>
            <w:r>
              <w:rPr>
                <w:rFonts w:ascii="Calibri" w:hAnsi="Calibri" w:eastAsia="Calibri"/>
                <w:b/>
                <w:i w:val="0"/>
                <w:color w:val="17365D"/>
                <w:sz w:val="18"/>
              </w:rPr>
              <w:t>Review point</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Founder rents office to Company</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Disclose, recuse, market-check, document and monitor</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Review lease and alternatives</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Investor director’s fund leads bridge</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Analyze dual duties, information and approval body</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Independent support</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Founder wants Company opportunity</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Present before pursuit and follow waiver rules</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Record scope and facts</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Affiliate vendor exceeds approved cap</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Pause/triage and reapprove before further commitment</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Aggregate payments</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Late disclosure after closing</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Preserve records, independent investigation and lawful ratification/remedy</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No automatic cure</w:t>
            </w:r>
          </w:p>
        </w:tc>
      </w:tr>
    </w:tbl>
    <w:p/>
    <w:p>
      <w:pPr>
        <w:pStyle w:val="Heading1"/>
      </w:pPr>
      <w:r>
        <w:t>6. Current-Authority and Specialist Gates</w:t>
      </w:r>
    </w:p>
    <w:tbl>
      <w:tblPr>
        <w:tblStyle w:val="TableGrid"/>
        <w:tblW w:type="dxa" w:w="9360"/>
        <w:jc w:val="left"/>
        <w:tblLayout w:type="fixed"/>
        <w:tblLook w:firstColumn="1" w:firstRow="1" w:lastColumn="0" w:lastRow="0" w:noHBand="0" w:noVBand="1" w:val="04A0"/>
        <w:tblInd w:w="120" w:type="dxa"/>
      </w:tblPr>
      <w:tblGrid>
        <w:gridCol w:w="1600"/>
        <w:gridCol w:w="2800"/>
        <w:gridCol w:w="2000"/>
        <w:gridCol w:w="2960"/>
      </w:tblGrid>
      <w:tr>
        <w:trPr>
          <w:trHeight w:hRule="atLeast"/>
          <w:tblHeader w:val="true"/>
          <w:cantSplit/>
        </w:trPr>
        <w:tc>
          <w:tcPr>
            <w:tcW w:type="dxa" w:w="1600"/>
            <w:shd w:fill="F2F4F7"/>
            <w:vAlign w:val="top"/>
            <w:tcMar>
              <w:top w:w="80" w:type="dxa"/>
              <w:bottom w:w="80" w:type="dxa"/>
              <w:start w:w="120" w:type="dxa"/>
              <w:end w:w="120" w:type="dxa"/>
            </w:tcMar>
          </w:tcPr>
          <w:p>
            <w:r>
              <w:rPr>
                <w:rFonts w:ascii="Calibri" w:hAnsi="Calibri" w:eastAsia="Calibri"/>
                <w:b/>
                <w:i w:val="0"/>
                <w:color w:val="17365D"/>
                <w:sz w:val="18"/>
              </w:rPr>
              <w:t>Gate</w:t>
            </w:r>
          </w:p>
        </w:tc>
        <w:tc>
          <w:tcPr>
            <w:tcW w:type="dxa" w:w="2800"/>
            <w:shd w:fill="F2F4F7"/>
            <w:vAlign w:val="top"/>
            <w:tcMar>
              <w:top w:w="80" w:type="dxa"/>
              <w:bottom w:w="80" w:type="dxa"/>
              <w:start w:w="120" w:type="dxa"/>
              <w:end w:w="120" w:type="dxa"/>
            </w:tcMar>
          </w:tcPr>
          <w:p>
            <w:r>
              <w:rPr>
                <w:rFonts w:ascii="Calibri" w:hAnsi="Calibri" w:eastAsia="Calibri"/>
                <w:b/>
                <w:i w:val="0"/>
                <w:color w:val="17365D"/>
                <w:sz w:val="18"/>
              </w:rPr>
              <w:t>Starting authority</w:t>
            </w:r>
          </w:p>
        </w:tc>
        <w:tc>
          <w:tcPr>
            <w:tcW w:type="dxa" w:w="2000"/>
            <w:shd w:fill="F2F4F7"/>
            <w:vAlign w:val="top"/>
            <w:tcMar>
              <w:top w:w="80" w:type="dxa"/>
              <w:bottom w:w="80" w:type="dxa"/>
              <w:start w:w="120" w:type="dxa"/>
              <w:end w:w="120" w:type="dxa"/>
            </w:tcMar>
          </w:tcPr>
          <w:p>
            <w:r>
              <w:rPr>
                <w:rFonts w:ascii="Calibri" w:hAnsi="Calibri" w:eastAsia="Calibri"/>
                <w:b/>
                <w:i w:val="0"/>
                <w:color w:val="17365D"/>
                <w:sz w:val="18"/>
              </w:rPr>
              <w:t>Owner</w:t>
            </w:r>
          </w:p>
        </w:tc>
        <w:tc>
          <w:tcPr>
            <w:tcW w:type="dxa" w:w="2960"/>
            <w:shd w:fill="F2F4F7"/>
            <w:vAlign w:val="top"/>
            <w:tcMar>
              <w:top w:w="80" w:type="dxa"/>
              <w:bottom w:w="80" w:type="dxa"/>
              <w:start w:w="120" w:type="dxa"/>
              <w:end w:w="120" w:type="dxa"/>
            </w:tcMar>
          </w:tcPr>
          <w:p>
            <w:r>
              <w:rPr>
                <w:rFonts w:ascii="Calibri" w:hAnsi="Calibri" w:eastAsia="Calibri"/>
                <w:b/>
                <w:i w:val="0"/>
                <w:color w:val="17365D"/>
                <w:sz w:val="18"/>
              </w:rPr>
              <w:t>Matter-specific question</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Entity fiduciary law</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Current state corporation/LLC statutes and cases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Corporate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Authority, loyalty, fairness, safe harbors</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Governing contracts</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Charter, bylaws/OA, investor, debt and side letters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Company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Consents and opportunity waivers</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Tax/accounting/securities</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Applicable related-party, compensation, valuation and disclosure rules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Specialists</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Pricing, reporting, 409A, statements</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Employment/privacy</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Applicable wage, restrictive covenant, whistleblower and data rules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Specialists</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Family/employee arrangements and records</w:t>
            </w:r>
          </w:p>
        </w:tc>
      </w:tr>
    </w:tbl>
    <w:p/>
    <w:p>
      <w:pPr>
        <w:pStyle w:val="Heading1"/>
      </w:pPr>
      <w:r>
        <w:t>7. Matter Completion and Release Checklist</w:t>
      </w:r>
    </w:p>
    <w:tbl>
      <w:tblPr>
        <w:tblStyle w:val="TableGrid"/>
        <w:tblW w:type="dxa" w:w="9360"/>
        <w:jc w:val="left"/>
        <w:tblLayout w:type="fixed"/>
        <w:tblLook w:firstColumn="1" w:firstRow="1" w:lastColumn="0" w:lastRow="0" w:noHBand="0" w:noVBand="1" w:val="04A0"/>
        <w:tblInd w:w="120" w:type="dxa"/>
      </w:tblPr>
      <w:tblGrid>
        <w:gridCol w:w="1200"/>
        <w:gridCol w:w="8160"/>
      </w:tblGrid>
      <w:tr>
        <w:trPr>
          <w:trHeight w:hRule="atLeast"/>
          <w:tblHeader w:val="true"/>
          <w:cantSplit/>
        </w:trPr>
        <w:tc>
          <w:tcPr>
            <w:tcW w:type="dxa" w:w="1200"/>
            <w:shd w:fill="F2F4F7"/>
            <w:vAlign w:val="top"/>
            <w:tcMar>
              <w:top w:w="80" w:type="dxa"/>
              <w:bottom w:w="80" w:type="dxa"/>
              <w:start w:w="120" w:type="dxa"/>
              <w:end w:w="120" w:type="dxa"/>
            </w:tcMar>
          </w:tcPr>
          <w:p>
            <w:r>
              <w:rPr>
                <w:rFonts w:ascii="Calibri" w:hAnsi="Calibri" w:eastAsia="Calibri"/>
                <w:b/>
                <w:i w:val="0"/>
                <w:color w:val="17365D"/>
                <w:sz w:val="18"/>
              </w:rPr>
              <w:t>Status</w:t>
            </w:r>
          </w:p>
        </w:tc>
        <w:tc>
          <w:tcPr>
            <w:tcW w:type="dxa" w:w="8160"/>
            <w:shd w:fill="F2F4F7"/>
            <w:vAlign w:val="top"/>
            <w:tcMar>
              <w:top w:w="80" w:type="dxa"/>
              <w:bottom w:w="80" w:type="dxa"/>
              <w:start w:w="120" w:type="dxa"/>
              <w:end w:w="120" w:type="dxa"/>
            </w:tcMar>
          </w:tcPr>
          <w:p>
            <w:r>
              <w:rPr>
                <w:rFonts w:ascii="Calibri" w:hAnsi="Calibri" w:eastAsia="Calibri"/>
                <w:b/>
                <w:i w:val="0"/>
                <w:color w:val="17365D"/>
                <w:sz w:val="18"/>
              </w:rPr>
              <w:t>Release condition</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Identify entity law, duties, governing documents, financing consents, and conflicts of counsel</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Define covered persons, relationships, transaction categories, aggregation, and thresholds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Implement advance/event disclosure, annual questionnaire, and conflict-safe reporting</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Use disinterested approval, recusal, valuation/market evidence, and precise minutes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Monitor payments, performance, amendments, deviations, and renewal</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Address late disclosure through independent legal analysis—not automatic ratification</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Obtain board/governance, tax, accounting, investor, employment, and responsible-lawyer approval</w:t>
            </w:r>
          </w:p>
        </w:tc>
      </w:tr>
    </w:tbl>
    <w:p/>
    <w:p>
      <w:pPr>
        <w:pStyle w:val="Heading1"/>
        <w:pageBreakBefore/>
      </w:pPr>
      <w:r>
        <w:t>8. Release Certification and Matter Sign-Off</w:t>
      </w:r>
    </w:p>
    <w:p>
      <w:pPr>
        <w:spacing w:after="240"/>
      </w:pPr>
      <w:r>
        <w:t>Complete this page only after every open release condition is satisfied. Each approver confirms only the matters within that person’s responsibility; responsible counsel controls final legal release.</w:t>
      </w:r>
    </w:p>
    <w:tbl>
      <w:tblPr>
        <w:tblStyle w:val="TableGrid"/>
        <w:tblW w:type="dxa" w:w="9360"/>
        <w:jc w:val="left"/>
        <w:tblLayout w:type="fixed"/>
        <w:tblLook w:firstColumn="1" w:firstRow="1" w:lastColumn="0" w:lastRow="0" w:noHBand="0" w:noVBand="1" w:val="04A0"/>
        <w:tblInd w:w="120" w:type="dxa"/>
      </w:tblPr>
      <w:tblGrid>
        <w:gridCol w:w="3000"/>
        <w:gridCol w:w="6360"/>
      </w:tblGrid>
      <w:tr>
        <w:trPr>
          <w:trHeight w:hRule="atLeast"/>
          <w:tblHeader w:val="true"/>
          <w:cantSplit/>
        </w:trPr>
        <w:tc>
          <w:tcPr>
            <w:tcW w:type="dxa" w:w="3000"/>
            <w:shd w:fill="F2F4F7"/>
            <w:vAlign w:val="top"/>
            <w:tcMar>
              <w:top w:w="80" w:type="dxa"/>
              <w:bottom w:w="80" w:type="dxa"/>
              <w:start w:w="120" w:type="dxa"/>
              <w:end w:w="120" w:type="dxa"/>
            </w:tcMar>
          </w:tcPr>
          <w:p>
            <w:r>
              <w:rPr>
                <w:rFonts w:ascii="Calibri" w:hAnsi="Calibri" w:eastAsia="Calibri"/>
                <w:b/>
                <w:i w:val="0"/>
                <w:color w:val="17365D"/>
                <w:sz w:val="18"/>
              </w:rPr>
              <w:t>Certification item</w:t>
            </w:r>
          </w:p>
        </w:tc>
        <w:tc>
          <w:tcPr>
            <w:tcW w:type="dxa" w:w="6360"/>
            <w:shd w:fill="F2F4F7"/>
            <w:vAlign w:val="top"/>
            <w:tcMar>
              <w:top w:w="80" w:type="dxa"/>
              <w:bottom w:w="80" w:type="dxa"/>
              <w:start w:w="120" w:type="dxa"/>
              <w:end w:w="120" w:type="dxa"/>
            </w:tcMar>
          </w:tcPr>
          <w:p>
            <w:r>
              <w:rPr>
                <w:rFonts w:ascii="Calibri" w:hAnsi="Calibri" w:eastAsia="Calibri"/>
                <w:b/>
                <w:i w:val="0"/>
                <w:color w:val="17365D"/>
                <w:sz w:val="18"/>
              </w:rPr>
              <w:t>Completed entry</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Final document title and version</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Related-Party Transactions and Founder Conflicts Policy / [FINAL VERSION]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Matter / client / project</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Responsible lawyer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SIGNATURE OR APPROVAL RECORD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Specialist reviewers</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[NAMES / DOMAINS / DATES]</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Business and operational owner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APPROVAL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Alternatives deleted; schedules and cross-references reconciled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Law, guidance, technical standards, facts, and linked workflows refreshed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AS-OF DATE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Approval and evidence archive</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[CONTROLLED LOCATION / MATTER NUMBER]</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RELEASE STATUS.  </w:t>
            </w:r>
            <w:r>
              <w:rPr>
                <w:rFonts w:ascii="Calibri" w:hAnsi="Calibri" w:eastAsia="Calibri"/>
                <w:b w:val="0"/>
                <w:i w:val="0"/>
                <w:color w:val="111111"/>
                <w:sz w:val="21"/>
              </w:rPr>
              <w:t>No matter may be described as approved, compliant, or ready for signature while an entry above remains incomplete or qualified without documented responsible-lawyer resolution.</w:t>
            </w:r>
          </w:p>
        </w:tc>
      </w:tr>
    </w:tbl>
    <w:p/>
    <w:sectPr w:rsidR="00FC693F" w:rsidRPr="0006063C" w:rsidSect="00034616">
      <w:headerReference w:type="default" r:id="rId9"/>
      <w:footerReference w:type="default" r:id="rId10"/>
      <w:pgSz w:w="12240" w:h="15840"/>
      <w:pgMar w:top="1080" w:right="1440" w:bottom="1080" w:left="1440"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Pr>
    <w:tblGrid>
      <w:gridCol w:w="7000"/>
      <w:gridCol w:w="2360"/>
    </w:tblGrid>
    <w:tr>
      <w:trPr>
        <w:cantSplit/>
        <w:trHeight w:hRule="atLeast"/>
      </w:trPr>
      <w:tc>
        <w:tcPr>
          <w:tcW w:type="dxa" w:w="7000"/>
          <w:vAlign w:val="top"/>
          <w:tcMar>
            <w:top w:w="80" w:type="dxa"/>
            <w:bottom w:w="80" w:type="dxa"/>
            <w:start w:w="120" w:type="dxa"/>
            <w:end w:w="120" w:type="dxa"/>
          </w:tcMar>
        </w:tcPr>
        <w:p>
          <w:r>
            <w:rPr>
              <w:rFonts w:ascii="Calibri" w:hAnsi="Calibri" w:eastAsia="Calibri"/>
              <w:b w:val="0"/>
              <w:i w:val="0"/>
              <w:color w:val="5B6573"/>
              <w:sz w:val="16"/>
            </w:rPr>
            <w:t>Study and drafting use only | Matter completion required</w:t>
          </w:r>
        </w:p>
      </w:tc>
      <w:tc>
        <w:tcPr>
          <w:tcW w:type="dxa" w:w="2360"/>
          <w:vAlign w:val="top"/>
          <w:tcMar>
            <w:top w:w="80" w:type="dxa"/>
            <w:bottom w:w="80" w:type="dxa"/>
            <w:start w:w="120" w:type="dxa"/>
            <w:end w:w="120" w:type="dxa"/>
          </w:tcMar>
        </w:tcPr>
        <w:p>
          <w:pPr>
            <w:jc w:val="right"/>
          </w:pPr>
          <w:r>
            <w:rPr>
              <w:rFonts w:ascii="Calibri" w:hAnsi="Calibri" w:eastAsia="Calibri"/>
              <w:b w:val="0"/>
              <w:i w:val="0"/>
              <w:color w:val="5B6573"/>
              <w:sz w:val="16"/>
            </w:rPr>
            <w:t xml:space="preserve">Page </w:t>
          </w:r>
          <w:r>
            <w:rPr>
              <w:rFonts w:ascii="Calibri" w:hAnsi="Calibri" w:eastAsia="Calibri"/>
              <w:b w:val="0"/>
              <w:i w:val="0"/>
              <w:color w:val="5B6573"/>
              <w:sz w:val="16"/>
            </w:rPr>
            <w:fldChar w:fldCharType="begin"/>
            <w:instrText xml:space="preserve">PAGE</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120" w:type="dxa"/>
    </w:tblPr>
    <w:tblGrid>
      <w:gridCol w:w="5200"/>
      <w:gridCol w:w="4160"/>
    </w:tblGrid>
    <w:tr>
      <w:trPr>
        <w:cantSplit/>
        <w:trHeight w:hRule="atLeast"/>
      </w:trPr>
      <w:tc>
        <w:tcPr>
          <w:tcW w:type="dxa" w:w="5200"/>
          <w:vAlign w:val="top"/>
          <w:tcMar>
            <w:top w:w="80" w:type="dxa"/>
            <w:bottom w:w="80" w:type="dxa"/>
            <w:start w:w="120" w:type="dxa"/>
            <w:end w:w="120" w:type="dxa"/>
          </w:tcMar>
        </w:tcPr>
        <w:p>
          <w:pPr>
            <w:jc w:val="left"/>
          </w:pPr>
          <w:r>
            <w:rPr>
              <w:rFonts w:ascii="Calibri" w:hAnsi="Calibri" w:eastAsia="Calibri"/>
              <w:b/>
              <w:i w:val="0"/>
              <w:color w:val="17365D"/>
              <w:sz w:val="17"/>
            </w:rPr>
            <w:t>MONTAGUE ENTREPRENEUR FORMS</w:t>
          </w:r>
        </w:p>
      </w:tc>
      <w:tc>
        <w:tcPr>
          <w:tcW w:type="dxa" w:w="4160"/>
          <w:vAlign w:val="top"/>
          <w:tcMar>
            <w:top w:w="80" w:type="dxa"/>
            <w:bottom w:w="80" w:type="dxa"/>
            <w:start w:w="120" w:type="dxa"/>
            <w:end w:w="120" w:type="dxa"/>
          </w:tcMar>
        </w:tcPr>
        <w:p>
          <w:pPr>
            <w:jc w:val="right"/>
          </w:pPr>
          <w:r>
            <w:rPr>
              <w:rFonts w:ascii="Calibri" w:hAnsi="Calibri" w:eastAsia="Calibri"/>
              <w:b/>
              <w:i w:val="0"/>
              <w:color w:val="17365D"/>
              <w:sz w:val="17"/>
            </w:rPr>
            <w:t>EF-068 | Practitioner Master</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eastAsia="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eastAsia="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eastAsia="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eastAsia="Calibri"/>
      <w:b/>
      <w:color w:val="17365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432" w:hanging="259"/>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432" w:hanging="259"/>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Text">
    <w:name w:val="Clause Text"/>
    <w:pPr>
      <w:spacing w:after="120" w:line="259" w:lineRule="auto"/>
    </w:pPr>
    <w:rPr>
      <w:rFonts w:ascii="Calibri" w:hAnsi="Calibri"/>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Related-Party Transactions and Founder Conflicts Policy</dc:title>
  <dc:subject>Original entrepreneur legal practitioner master for study and matter-specific drafting</dc:subject>
  <dc:creator>Montague Entrepreneur Forms</dc:creator>
  <cp:keywords>EF-068, entrepreneur forms, practitioner master</cp:keywords>
  <dc:description>Original form; no Westlaw or Practical Law text reproduced.</dc:description>
  <cp:lastModifiedBy/>
  <cp:revision>1</cp:revision>
  <dcterms:created xsi:type="dcterms:W3CDTF">2013-12-23T23:15:00Z</dcterms:created>
  <dcterms:modified xsi:type="dcterms:W3CDTF">2013-12-23T23:15:00Z</dcterms:modified>
  <cp:category/>
</cp:coreProperties>
</file>