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Consumer Product Recall and Corrective Action Plan</w:t>
      </w:r>
    </w:p>
    <w:p>
      <w:r>
        <w:rPr>
          <w:rFonts w:ascii="Calibri" w:hAnsi="Calibri" w:eastAsia="Calibri"/>
          <w:b w:val="0"/>
          <w:i w:val="0"/>
          <w:color w:val="5B6573"/>
          <w:sz w:val="24"/>
        </w:rPr>
        <w:t>A U.S.-oriented recall readiness and response package for manufacturers, importers, distributors, retailers, and connected-product companies, from complaint intake and Section 15 analysis through corrective action, communications, effectiveness checks, closure, and lessons learned.</w:t>
      </w:r>
    </w:p>
    <w:tbl>
      <w:tblPr>
        <w:tblStyle w:val="TableGrid"/>
        <w:tblW w:type="dxa" w:w="9360"/>
        <w:jc w:val="left"/>
        <w:tblLayout w:type="fixed"/>
        <w:tblLook w:firstColumn="1" w:firstRow="1" w:lastColumn="0" w:lastRow="0" w:noHBand="0" w:noVBand="1" w:val="04A0"/>
        <w:tblInd w:w="120" w:type="dxa"/>
      </w:tblPr>
      <w:tblGrid>
        <w:gridCol w:w="1500"/>
        <w:gridCol w:w="3180"/>
        <w:gridCol w:w="1500"/>
        <w:gridCol w:w="3180"/>
      </w:tblGrid>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FORM ID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EF-067</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VERSION</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3.0.0</w:t>
            </w:r>
          </w:p>
        </w:tc>
      </w:tr>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STATUS</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Practitioner master</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PREPARED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2026-08-28</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IMPORTANT — NOT EXECUTION-READY.  </w:t>
            </w:r>
            <w:r>
              <w:rPr>
                <w:rFonts w:ascii="Calibri" w:hAnsi="Calibri" w:eastAsia="Calibri"/>
                <w:b w:val="0"/>
                <w:i w:val="0"/>
                <w:color w:val="111111"/>
                <w:sz w:val="21"/>
              </w:rPr>
              <w:t>This original practitioner master is for study and drafting. Complete verified facts, select and delete alternatives, reconcile every schedule and related workflow, update law and technical standards, obtain relevant specialist review, and secure responsible-lawyer approval before use. It is not legal advice and does not establish that a matter complies with law.</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D9EAF7"/>
          </w:tcPr>
          <w:p>
            <w:r>
              <w:rPr>
                <w:rFonts w:ascii="Calibri" w:hAnsi="Calibri" w:eastAsia="Calibri"/>
                <w:b/>
                <w:i w:val="0"/>
                <w:color w:val="17365D"/>
                <w:sz w:val="21"/>
              </w:rPr>
              <w:t xml:space="preserve">MODULE CONTROL.  </w:t>
            </w:r>
            <w:r>
              <w:rPr>
                <w:rFonts w:ascii="Calibri" w:hAnsi="Calibri" w:eastAsia="Calibri"/>
                <w:b w:val="0"/>
                <w:i w:val="0"/>
                <w:color w:val="111111"/>
                <w:sz w:val="21"/>
              </w:rPr>
              <w:t>Select the product and regulator module before use. CPSC, FDA, NHTSA, USDA, FCC, state, contractual, and international duties differ. Legal must make or supervise reportability and privilege decisions; operations must be able to execute the stop-sale, traceability, remedy, and communication plan.</w:t>
            </w:r>
          </w:p>
        </w:tc>
      </w:tr>
    </w:tbl>
    <w:p/>
    <w:p>
      <w:pPr>
        <w:pStyle w:val="Heading1"/>
      </w:pPr>
      <w:r>
        <w:t>1. Matter Control Sheet</w:t>
      </w:r>
    </w:p>
    <w:tbl>
      <w:tblPr>
        <w:tblStyle w:val="TableGrid"/>
        <w:tblW w:type="dxa" w:w="9360"/>
        <w:jc w:val="left"/>
        <w:tblLayout w:type="fixed"/>
        <w:tblLook w:firstColumn="1" w:firstRow="1" w:lastColumn="0" w:lastRow="0" w:noHBand="0" w:noVBand="1" w:val="04A0"/>
        <w:tblInd w:w="120" w:type="dxa"/>
      </w:tblPr>
      <w:tblGrid>
        <w:gridCol w:w="2600"/>
        <w:gridCol w:w="6760"/>
      </w:tblGrid>
      <w:tr>
        <w:trPr>
          <w:trHeight w:hRule="atLeast"/>
          <w:tblHeader w:val="true"/>
          <w:cantSplit/>
        </w:trPr>
        <w:tc>
          <w:tcPr>
            <w:tcW w:type="dxa" w:w="2600"/>
            <w:shd w:fill="F2F4F7"/>
            <w:vAlign w:val="top"/>
            <w:tcMar>
              <w:top w:w="80" w:type="dxa"/>
              <w:bottom w:w="80" w:type="dxa"/>
              <w:start w:w="120" w:type="dxa"/>
              <w:end w:w="120" w:type="dxa"/>
            </w:tcMar>
          </w:tcPr>
          <w:p>
            <w:r>
              <w:rPr>
                <w:rFonts w:ascii="Calibri" w:hAnsi="Calibri" w:eastAsia="Calibri"/>
                <w:b/>
                <w:i w:val="0"/>
                <w:color w:val="17365D"/>
                <w:sz w:val="18"/>
              </w:rPr>
              <w:t>Matter variable</w:t>
            </w:r>
          </w:p>
        </w:tc>
        <w:tc>
          <w:tcPr>
            <w:tcW w:type="dxa" w:w="6760"/>
            <w:shd w:fill="F2F4F7"/>
            <w:vAlign w:val="top"/>
            <w:tcMar>
              <w:top w:w="80" w:type="dxa"/>
              <w:bottom w:w="80" w:type="dxa"/>
              <w:start w:w="120" w:type="dxa"/>
              <w:end w:w="120" w:type="dxa"/>
            </w:tcMar>
          </w:tcPr>
          <w:p>
            <w:r>
              <w:rPr>
                <w:rFonts w:ascii="Calibri" w:hAnsi="Calibri" w:eastAsia="Calibri"/>
                <w:b/>
                <w:i w:val="0"/>
                <w:color w:val="17365D"/>
                <w:sz w:val="18"/>
              </w:rPr>
              <w:t>Required completion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Company / product family</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[LEGAL NAME; BRAND; SKU/MODEL/VERSION]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Role in chain</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[MANUFACTURER / IMPORTER / DISTRIBUTOR / RETAILER / PLATFORM]</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Lead regulator(s)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[CPSC / FDA / NHTSA / USDA / OTHER]</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Recall decision authority</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[EXECUTIVE / COMMITTEE / EMERGENCY DELEGATE]</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24/7 escalation</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[LEGAL / SAFETY / OPERATIONS / COMMUNICATIONS CONTACTS]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Traceability</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[LOT/SERIAL/SOFTWARE VERSION / CUSTOMER/CHANNEL DATA]</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Remedy options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[REFUND / REPAIR / REPLACE / SOFTWARE UPDATE / DISPOSAL]</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Insurance / key contracts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[POLICY NOTICE; SUPPLIER/DISTRIBUTOR COST AND COOPERATION]</w:t>
            </w:r>
          </w:p>
        </w:tc>
      </w:tr>
    </w:tbl>
    <w:p/>
    <w:p>
      <w:pPr>
        <w:pStyle w:val="Heading1"/>
      </w:pPr>
      <w:r>
        <w:t>2. Operative Form</w:t>
      </w:r>
    </w:p>
    <w:p>
      <w:pPr>
        <w:pStyle w:val="Heading2"/>
        <w:keepNext/>
      </w:pPr>
      <w:r>
        <w:t>1. Purpose, Scope, and Product Modules</w:t>
      </w:r>
    </w:p>
    <w:p>
      <w:pPr>
        <w:pStyle w:val="ClauseText"/>
        <w:keepNext/>
        <w:keepLines/>
      </w:pPr>
      <w:r>
        <w:t>This Plan governs suspected product hazards, defects, noncompliance, counterfeit or unauthorized substitutions, cybersecurity or software safety issues, and recall or market-correction events involving the listed products. It applies from first signal through closure and lessons learned. Product-specific regulatory modules and emergency contacts are incorporated only when completed and approved.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Inventory every regulated product and company role; connect software updates and connected-product vulnerabilities to physical safety.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One generic plan cannot resolve regulator- and product-specific reporting rules.</w:t>
            </w:r>
          </w:p>
        </w:tc>
      </w:tr>
    </w:tbl>
    <w:p/>
    <w:p>
      <w:pPr>
        <w:pStyle w:val="Heading2"/>
        <w:keepNext/>
      </w:pPr>
      <w:r>
        <w:t>2. Recall Team and Command</w:t>
      </w:r>
    </w:p>
    <w:p>
      <w:pPr>
        <w:pStyle w:val="ClauseText"/>
        <w:keepNext/>
        <w:keepLines/>
      </w:pPr>
      <w:r>
        <w:t>The Recall Leader activates a cross-functional team including Legal, Product Safety/Quality, Engineering, Operations, Supply Chain, Customer Support, Communications, Finance, Insurance, Privacy/Security, and executive management. The decision matrix assigns one accountable owner, alternates, 24/7 contacts, authority limits, and meeting cadence. Only authorized spokespersons communicate externally.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Name individuals and alternates; run exercises. Define which decisions Legal advises and which business leaders own.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Ambiguous command delays stop-sale, reporting, and consistent messaging.</w:t>
            </w:r>
          </w:p>
        </w:tc>
      </w:tr>
    </w:tbl>
    <w:p/>
    <w:p>
      <w:pPr>
        <w:pStyle w:val="Heading2"/>
        <w:keepNext/>
      </w:pPr>
      <w:r>
        <w:t>3. Complaint and Signal Intake</w:t>
      </w:r>
    </w:p>
    <w:p>
      <w:pPr>
        <w:pStyle w:val="ClauseText"/>
        <w:keepNext/>
        <w:keepLines/>
      </w:pPr>
      <w:r>
        <w:t>All complaints, warranty claims, returns, injuries, near misses, deaths, fires, property damage, regulator contacts, testing failures, quality deviations, marketplace reports, social media signals, and supplier notices must enter one traceable intake process. Staff must preserve the reporter’s words, product identifiers, circumstances, evidence, and contact permissions without promising an outcome.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Integrate support, e-commerce, insurers, distributors, and foreign affiliates. Train staff not to filter legal significance.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Fragmented complaint data can conceal a reportable pattern.</w:t>
            </w:r>
          </w:p>
        </w:tc>
      </w:tr>
    </w:tbl>
    <w:p/>
    <w:p>
      <w:pPr>
        <w:pStyle w:val="Heading2"/>
        <w:keepNext/>
      </w:pPr>
      <w:r>
        <w:t>4. Immediate Safety and Evidence Preservation</w:t>
      </w:r>
    </w:p>
    <w:p>
      <w:pPr>
        <w:pStyle w:val="ClauseText"/>
        <w:keepNext/>
        <w:keepLines/>
      </w:pPr>
      <w:r>
        <w:t>On a credible severe signal, authorized personnel may stop shipment, quarantine stock, disable a feature, warn internal channels, preserve logs and samples, and advise a customer on immediate safe handling, subject to emergency protocols. Do not alter, destructively test, or return key evidence without a documented protocol. Issue a legal hold where appropriate.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Preapprove stop-sale authority and physical/digital evidence custody; protect personal and health information.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Continued distribution and spoiled evidence materially increase risk.</w:t>
            </w:r>
          </w:p>
        </w:tc>
      </w:tr>
    </w:tbl>
    <w:p/>
    <w:p>
      <w:pPr>
        <w:pStyle w:val="Heading2"/>
        <w:keepNext/>
      </w:pPr>
      <w:r>
        <w:t>5. Preliminary Triage and Risk Assessment</w:t>
      </w:r>
    </w:p>
    <w:p>
      <w:pPr>
        <w:pStyle w:val="ClauseText"/>
        <w:keepNext/>
        <w:keepLines/>
      </w:pPr>
      <w:r>
        <w:t>Within [●] hours, the team will assess severity, probability, exposure population, vulnerable users, foreseeable misuse, detectability, incident pattern, product life, distribution, software connectivity, and available mitigations. The record must distinguish confirmed facts, hypotheses, missing data, and assumptions. A scoring tool informs but does not replace expert judgment.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competent safety/engineering specialists and revisit as facts change.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Prematurely minimizing sparse data can delay mandatory reporting.</w:t>
            </w:r>
          </w:p>
        </w:tc>
      </w:tr>
    </w:tbl>
    <w:p/>
    <w:p>
      <w:pPr>
        <w:pStyle w:val="Heading2"/>
        <w:keepNext/>
      </w:pPr>
      <w:r>
        <w:t>6. Reportability Analysis and Escalation</w:t>
      </w:r>
    </w:p>
    <w:p>
      <w:pPr>
        <w:pStyle w:val="ClauseText"/>
        <w:keepNext/>
        <w:keepLines/>
      </w:pPr>
      <w:r>
        <w:t>Legal will document whether and when applicable law requires notice to a regulator, distributor, customer, marketplace, insurer, lender, board, or other party. For CPSC-regulated products, the team will promptly evaluate potential Section 15(b) reporting and avoid waiting for certainty where the governing standard requires earlier action. The analysis must use current law and product-specific facts.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Track discovery date, knowledge accumulation, consultations, and deadlines. Do not embed fixed legal conclusions in the template.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Late reporting can be a separate violation even if the product issue is later resolved.</w:t>
            </w:r>
          </w:p>
        </w:tc>
      </w:tr>
    </w:tbl>
    <w:p/>
    <w:p>
      <w:pPr>
        <w:pStyle w:val="Heading2"/>
        <w:keepNext/>
      </w:pPr>
      <w:r>
        <w:t>7. Stop-Sale, Quarantine, and Distribution Hold</w:t>
      </w:r>
    </w:p>
    <w:p>
      <w:pPr>
        <w:pStyle w:val="ClauseText"/>
        <w:keepNext/>
        <w:keepLines/>
      </w:pPr>
      <w:r>
        <w:t>When authorized, Operations will stop production and shipment; instruct warehouses, marketplaces, distributors, retailers, installers, and service providers; quarantine and count affected units; block ordering; and preserve a documented exception process. Digital products may require feature disablement, certificate revocation, update gating, or access controls.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Prebuild channel-specific notices and system controls; verify acknowledgement rather than merely sending notice.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paper stop-sale that does not reach each channel permits continued exposure.</w:t>
            </w:r>
          </w:p>
        </w:tc>
      </w:tr>
    </w:tbl>
    <w:p/>
    <w:p>
      <w:pPr>
        <w:pStyle w:val="Heading2"/>
        <w:keepNext/>
      </w:pPr>
      <w:r>
        <w:t>8. Traceability and Population Definition</w:t>
      </w:r>
    </w:p>
    <w:p>
      <w:pPr>
        <w:pStyle w:val="ClauseText"/>
        <w:keepNext/>
        <w:keepLines/>
      </w:pPr>
      <w:r>
        <w:t>The team will define affected models, lots, serial ranges, dates, components, suppliers, software/firmware versions, geographies, channels, customers, and units manufactured, imported, distributed, sold, returned, repaired, and remaining. Assumptions and data gaps must be stated; inclusion decisions should favor safety while investigation continues.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Test ERP, distributor, marketplace, warranty, and direct-customer data before an incident. Plan privacy-compliant outreach.</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Weak traceability makes recall scope either dangerously narrow or unnecessarily broad.</w:t>
            </w:r>
          </w:p>
        </w:tc>
      </w:tr>
    </w:tbl>
    <w:p/>
    <w:p>
      <w:pPr>
        <w:pStyle w:val="Heading2"/>
        <w:keepNext/>
      </w:pPr>
      <w:r>
        <w:t>9. Root Cause and Variant Analysis</w:t>
      </w:r>
    </w:p>
    <w:p>
      <w:pPr>
        <w:pStyle w:val="ClauseText"/>
        <w:keepNext/>
        <w:keepLines/>
      </w:pPr>
      <w:r>
        <w:t>Qualified personnel will investigate design, manufacturing, software, component, labeling, warning, packaging, transport, installation, use, maintenance, and cybersecurity causes; preserve failed units; evaluate supplier and process changes; and search for variants across related products. Corrective action must address root cause, not only the observed failure.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independent experts when needed and coordinate privilege without compromising operational facts.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Fixing one symptom while variants remain creates repeat recalls.</w:t>
            </w:r>
          </w:p>
        </w:tc>
      </w:tr>
    </w:tbl>
    <w:p/>
    <w:p>
      <w:pPr>
        <w:pStyle w:val="Heading2"/>
        <w:keepNext/>
      </w:pPr>
      <w:r>
        <w:t>10. Recall Strategy and Corrective Action Plan</w:t>
      </w:r>
    </w:p>
    <w:p>
      <w:pPr>
        <w:pStyle w:val="ClauseText"/>
        <w:keepNext/>
        <w:keepLines/>
      </w:pPr>
      <w:r>
        <w:t>The team will recommend scope, level and channel of recall, stop-use language, consumer remedy, logistics, disposal, repair validation, dealer/distributor duties, timing, cost, and success metrics. The regulator-facing corrective action plan will be negotiated and approved as required. No team member may promise regulator approval or a definitive remedy before authority is confirmed.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Compare refund, replacement, repair, retrofit, software update, and return-free disposal for safety and accessibility.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remedy that is slow, burdensome, or incomplete reduces effectiveness and trust.</w:t>
            </w:r>
          </w:p>
        </w:tc>
      </w:tr>
    </w:tbl>
    <w:p/>
    <w:p>
      <w:pPr>
        <w:pStyle w:val="Heading2"/>
        <w:keepNext/>
      </w:pPr>
      <w:r>
        <w:t>11. Regulator Engagement</w:t>
      </w:r>
    </w:p>
    <w:p>
      <w:pPr>
        <w:pStyle w:val="ClauseText"/>
        <w:keepNext/>
        <w:keepLines/>
      </w:pPr>
      <w:r>
        <w:t>Legal or its designee is the primary regulator contact. Submissions and communications must be accurate, timely, consistent, supported, and preserved. The team will track oral requests, commitments, draft language, confidentiality treatment, public database implications, interviews, inspections, and reporting cadence. Employees may not obstruct or make false statements.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Build regulator-specific checklists and identify who can sign. Preserve statutory and regulatory deadlines.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Inconsistent or unsupported statements can expand enforcement exposure.</w:t>
            </w:r>
          </w:p>
        </w:tc>
      </w:tr>
    </w:tbl>
    <w:p/>
    <w:p>
      <w:pPr>
        <w:pStyle w:val="Heading2"/>
        <w:keepNext/>
      </w:pPr>
      <w:r>
        <w:t>12. Consumer, Channel, and Public Communications</w:t>
      </w:r>
    </w:p>
    <w:p>
      <w:pPr>
        <w:pStyle w:val="ClauseText"/>
        <w:keepNext/>
        <w:keepLines/>
      </w:pPr>
      <w:r>
        <w:t>Communications will be plain, prominent, accessible, multilingual where appropriate, consistent across press, website, email, SMS, social media, marketplace, retailer, distributor, packaging, and support scripts, and limited to verified facts. It will identify affected product, hazard, incidents as approved, immediate action, remedy, contact method, and update date. Marketing language and legal admissions require review.</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Test readability, accessibility, translation, deliverability, and contact capacity. Correct misinformation quickly.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Confusing recall notices reduce response rates and may mislead consumers.</w:t>
            </w:r>
          </w:p>
        </w:tc>
      </w:tr>
    </w:tbl>
    <w:p/>
    <w:p>
      <w:pPr>
        <w:pStyle w:val="Heading2"/>
        <w:keepNext/>
      </w:pPr>
      <w:r>
        <w:t>13. Consumer Remedy and Support</w:t>
      </w:r>
    </w:p>
    <w:p>
      <w:pPr>
        <w:pStyle w:val="ClauseText"/>
        <w:keepNext/>
        <w:keepLines/>
      </w:pPr>
      <w:r>
        <w:t>The remedy must be free of unreasonable burden, safely executable, available through accessible channels, and consistent with regulator approval and law. Support will use approved scripts, authenticate only as necessary, protect data, escalate injuries and severe events, issue case IDs, track completion, and avoid requiring releases or waivers not expressly approved and lawful.</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Plan surge staffing, shipping materials, hazardous returns, refunds, replacement stock, accessibility, and fraud controls.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poorly administered remedy can cause further injury or consumer-protection exposure.</w:t>
            </w:r>
          </w:p>
        </w:tc>
      </w:tr>
    </w:tbl>
    <w:p/>
    <w:p>
      <w:pPr>
        <w:pStyle w:val="Heading2"/>
        <w:keepNext/>
      </w:pPr>
      <w:r>
        <w:t>14. Supply-Chain, Marketplace, and Contract Coordination</w:t>
      </w:r>
    </w:p>
    <w:p>
      <w:pPr>
        <w:pStyle w:val="ClauseText"/>
        <w:keepNext/>
        <w:keepLines/>
      </w:pPr>
      <w:r>
        <w:t>Suppliers, manufacturers, importers, distributors, retailers, logistics providers, repair networks, and platforms will receive role-specific instructions and reporting requirements. Legal will enforce cooperation, records, insurance, indemnity, cost allocation, and access rights while preserving the safety response. Contract disputes may not delay legally required action.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Maintain a contract matrix before a crisis and define who controls public communications and regulator contact.</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Unclear channel duties produce gaps, duplicate messages, and cost disputes.</w:t>
            </w:r>
          </w:p>
        </w:tc>
      </w:tr>
    </w:tbl>
    <w:p/>
    <w:p>
      <w:pPr>
        <w:pStyle w:val="Heading2"/>
        <w:keepNext/>
      </w:pPr>
      <w:r>
        <w:t>15. Insurance and Financial Controls</w:t>
      </w:r>
    </w:p>
    <w:p>
      <w:pPr>
        <w:pStyle w:val="ClauseText"/>
        <w:keepNext/>
        <w:keepLines/>
      </w:pPr>
      <w:r>
        <w:t>Risk Management will give timely notice under product liability, recall, cyber, property, D&amp;O, and other potentially responsive policies without delaying safety action. Finance will establish charge codes, approval limits, reserves, recovery tracking, refund controls, and evidence for insurers and counterparties. Coverage communications are coordinated with privilege strategy.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Inventory policies, notice addresses, deductibles, consent provisions, and crisis vendors annually.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Late notice and incomplete cost evidence can forfeit recovery.</w:t>
            </w:r>
          </w:p>
        </w:tc>
      </w:tr>
    </w:tbl>
    <w:p/>
    <w:p>
      <w:pPr>
        <w:pStyle w:val="Heading2"/>
        <w:keepNext/>
      </w:pPr>
      <w:r>
        <w:t>16. Effectiveness Checks and Metrics</w:t>
      </w:r>
    </w:p>
    <w:p>
      <w:pPr>
        <w:pStyle w:val="ClauseText"/>
        <w:keepNext/>
        <w:keepLines/>
      </w:pPr>
      <w:r>
        <w:t>The plan will define target notification reach, response, remedy completion, residual units, repeat incidents, channel acknowledgement, and time-to-action. Use risk-based sampling, follow-up waves, targeted outreach, retailer audits, and regulator-required reports. Low response or continuing incidents trigger revised communications or remedy.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Set measurable thresholds and dashboard ownership. Separate vanity impressions from actual affected-unit recovery or risk reduction.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launched recall is not necessarily an effective recall.</w:t>
            </w:r>
          </w:p>
        </w:tc>
      </w:tr>
    </w:tbl>
    <w:p/>
    <w:p>
      <w:pPr>
        <w:pStyle w:val="Heading2"/>
        <w:keepNext/>
      </w:pPr>
      <w:r>
        <w:t>17. Data Protection, Security, and Fraud</w:t>
      </w:r>
    </w:p>
    <w:p>
      <w:pPr>
        <w:pStyle w:val="ClauseText"/>
        <w:keepNext/>
        <w:keepLines/>
      </w:pPr>
      <w:r>
        <w:t>Recall data will be collected and used only for safety, remedy, compliance, fraud prevention, and related legal purposes; protected with appropriate security; shared on a need-to-know basis; and retained under the completed schedule. Public notices must warn against scams and identify official channels. Do not expose customer lists or vulnerability details unnecessarily.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Map vendors, cross-border transfers, minors, health data, credentials, and breach response.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recall database is a high-value target and can create a second incident.</w:t>
            </w:r>
          </w:p>
        </w:tc>
      </w:tr>
    </w:tbl>
    <w:p/>
    <w:p>
      <w:pPr>
        <w:pStyle w:val="Heading2"/>
        <w:keepNext/>
      </w:pPr>
      <w:r>
        <w:t>18. Closure and Residual Obligations</w:t>
      </w:r>
    </w:p>
    <w:p>
      <w:pPr>
        <w:pStyle w:val="ClauseText"/>
        <w:keepNext/>
        <w:keepLines/>
      </w:pPr>
      <w:r>
        <w:t>Closure requires regulator concurrence where applicable, completion of required reports, documented effectiveness, disposition of returned/quarantined units, continuing incident surveillance, unresolved-customer handling, financial reconciliation, and retention instructions. Closing public messaging must not imply zero residual risk unless supported.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who signs closure and what monitoring continues for product life and limitation periods.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Premature closure can miss late incidents and ongoing obligations.</w:t>
            </w:r>
          </w:p>
        </w:tc>
      </w:tr>
    </w:tbl>
    <w:p/>
    <w:p>
      <w:pPr>
        <w:pStyle w:val="Heading2"/>
        <w:keepNext/>
      </w:pPr>
      <w:r>
        <w:t>19. Post-Event Review and Preventive Action</w:t>
      </w:r>
    </w:p>
    <w:p>
      <w:pPr>
        <w:pStyle w:val="ClauseText"/>
        <w:keepNext/>
        <w:keepLines/>
      </w:pPr>
      <w:r>
        <w:t>Within [●] days after stabilization, the team will conduct a protected and operational lessons-learned review covering detection, decision speed, traceability, root cause, supplier controls, design, testing, warnings, communications, remedy, customer experience, data, insurance, and governance. Actions receive owners, deadlines, budget, verification, and board reporting as appropriate.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Separate candid legal advice from accurate operational corrective-action records; track systemic CAPA to closure.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recall that does not improve systems is likely to recur.</w:t>
            </w:r>
          </w:p>
        </w:tc>
      </w:tr>
    </w:tbl>
    <w:p/>
    <w:p>
      <w:pPr>
        <w:pStyle w:val="Heading2"/>
        <w:keepNext/>
      </w:pPr>
      <w:r>
        <w:t>20. Plan Maintenance and Exercises</w:t>
      </w:r>
    </w:p>
    <w:p>
      <w:pPr>
        <w:pStyle w:val="ClauseText"/>
        <w:keepNext/>
        <w:keepLines/>
      </w:pPr>
      <w:r>
        <w:t>The Recall Leader will validate contacts, products, contracts, systems, regulators, templates, vendors, access credentials, insurance, languages, and training at least annually and after material change. Tabletop and traceability exercises will test notification, unit accounting, decision records, and surge capacity; findings are remediated and archived.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Run realistic scenarios across nights/weekends and third parties. Do not treat a document review as an exercise.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An untested plan fails at interfaces and after-hours escalation.</w:t>
            </w:r>
          </w:p>
        </w:tc>
      </w:tr>
    </w:tbl>
    <w:p/>
    <w:p>
      <w:pPr>
        <w:pStyle w:val="Heading1"/>
      </w:pPr>
      <w:r>
        <w:t>3. Required Schedules and Closing Tools</w:t>
      </w:r>
    </w:p>
    <w:p>
      <w:pPr>
        <w:pStyle w:val="Heading2"/>
      </w:pPr>
      <w:r>
        <w:t>Schedule 1 — Product and Regulator Module</w:t>
      </w:r>
    </w:p>
    <w:p>
      <w:pPr>
        <w:keepNext/>
      </w:pPr>
      <w:r>
        <w:t>Current specialist review is required for every listed product family.</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Product/role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Regulator/law</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Report trigger/owner</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Contact/evidence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[SKU/family]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[CPSC/etc.]</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Connected software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State/international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Contract/insurance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2 — Incident Decision Record</w:t>
      </w:r>
    </w:p>
    <w:p>
      <w:pPr>
        <w:keepNext/>
      </w:pPr>
      <w:r>
        <w:t>Distinguish facts, assumptions, legal advice, and business decisions.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Time/fact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Risk/reportability decision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Evidence/next review</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First signal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Knowledge update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Stop-sale/report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Recall/remedy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3 — Corrective Action and Communications</w:t>
      </w:r>
    </w:p>
    <w:p>
      <w:pPr>
        <w:keepNext/>
      </w:pPr>
      <w:r>
        <w:t>Use one controlled source of truth for scope, hazard, remedy, and dates.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Workstream</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Owner/deadline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Deliverable</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Approval/metric</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Root cause/CAPA</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Regulator plan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Consumer/channel notice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Remedy/logistics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4 — Effectiveness and Closure</w:t>
      </w:r>
    </w:p>
    <w:p>
      <w:pPr>
        <w:keepNext/>
      </w:pPr>
      <w:r>
        <w:t>Residual risk and open obligations must be stated at closure.</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Metric/gate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Target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Actual</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Action/approval</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Notification reach</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Affected-unit response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Repeat incidents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Regulator/financial closure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1"/>
      </w:pPr>
      <w:r>
        <w:t>4. Negotiation and Design Map</w:t>
      </w:r>
    </w:p>
    <w:tbl>
      <w:tblPr>
        <w:tblStyle w:val="TableGrid"/>
        <w:tblW w:type="dxa" w:w="9360"/>
        <w:jc w:val="left"/>
        <w:tblLayout w:type="fixed"/>
        <w:tblLook w:firstColumn="1" w:firstRow="1" w:lastColumn="0" w:lastRow="0" w:noHBand="0" w:noVBand="1" w:val="04A0"/>
        <w:tblInd w:w="120" w:type="dxa"/>
      </w:tblPr>
      <w:tblGrid>
        <w:gridCol w:w="1800"/>
        <w:gridCol w:w="2520"/>
        <w:gridCol w:w="2520"/>
        <w:gridCol w:w="2520"/>
      </w:tblGrid>
      <w:tr>
        <w:trPr>
          <w:trHeight w:hRule="atLeast"/>
          <w:tblHeader w:val="true"/>
          <w:cantSplit/>
        </w:trPr>
        <w:tc>
          <w:tcPr>
            <w:tcW w:type="dxa" w:w="1800"/>
            <w:shd w:fill="F2F4F7"/>
            <w:vAlign w:val="top"/>
            <w:tcMar>
              <w:top w:w="80" w:type="dxa"/>
              <w:bottom w:w="80" w:type="dxa"/>
              <w:start w:w="120" w:type="dxa"/>
              <w:end w:w="120" w:type="dxa"/>
            </w:tcMar>
          </w:tcPr>
          <w:p>
            <w:r>
              <w:rPr>
                <w:rFonts w:ascii="Calibri" w:hAnsi="Calibri" w:eastAsia="Calibri"/>
                <w:b/>
                <w:i w:val="0"/>
                <w:color w:val="17365D"/>
                <w:sz w:val="18"/>
              </w:rPr>
              <w:t>Issue</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Preferred control</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Avoid / escalation</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Required evidence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Report timing</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Prompt current-law analysis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Wait for certainty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Knowledge timeline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Scope/remedy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Safety-based, traceable, accessible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Cost-only narrowing</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Population and remedy model</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Communications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Verified, consistent, actionable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Marketing minimization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Controlled message set</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Cost/recovery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Act first; preserve allocation evidence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Contract dispute delays safety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Contract/insurance matrix</w:t>
            </w:r>
          </w:p>
        </w:tc>
      </w:tr>
    </w:tbl>
    <w:p/>
    <w:p>
      <w:pPr>
        <w:pStyle w:val="Heading1"/>
      </w:pPr>
      <w:r>
        <w:t>5. Scenario Tests</w:t>
      </w:r>
    </w:p>
    <w:tbl>
      <w:tblPr>
        <w:tblStyle w:val="TableGrid"/>
        <w:tblW w:type="dxa" w:w="9360"/>
        <w:jc w:val="left"/>
        <w:tblLayout w:type="fixed"/>
        <w:tblLook w:firstColumn="1" w:firstRow="1" w:lastColumn="0" w:lastRow="0" w:noHBand="0" w:noVBand="1" w:val="04A0"/>
        <w:tblInd w:w="120" w:type="dxa"/>
      </w:tblPr>
      <w:tblGrid>
        <w:gridCol w:w="2200"/>
        <w:gridCol w:w="3600"/>
        <w:gridCol w:w="3560"/>
      </w:tblGrid>
      <w:tr>
        <w:trPr>
          <w:trHeight w:hRule="atLeast"/>
          <w:tblHeader w:val="true"/>
          <w:cantSplit/>
        </w:trPr>
        <w:tc>
          <w:tcPr>
            <w:tcW w:type="dxa" w:w="2200"/>
            <w:shd w:fill="F2F4F7"/>
            <w:vAlign w:val="top"/>
            <w:tcMar>
              <w:top w:w="80" w:type="dxa"/>
              <w:bottom w:w="80" w:type="dxa"/>
              <w:start w:w="120" w:type="dxa"/>
              <w:end w:w="120" w:type="dxa"/>
            </w:tcMar>
          </w:tcPr>
          <w:p>
            <w:r>
              <w:rPr>
                <w:rFonts w:ascii="Calibri" w:hAnsi="Calibri" w:eastAsia="Calibri"/>
                <w:b/>
                <w:i w:val="0"/>
                <w:color w:val="17365D"/>
                <w:sz w:val="18"/>
              </w:rPr>
              <w:t>Scenario</w:t>
            </w:r>
          </w:p>
        </w:tc>
        <w:tc>
          <w:tcPr>
            <w:tcW w:type="dxa" w:w="3600"/>
            <w:shd w:fill="F2F4F7"/>
            <w:vAlign w:val="top"/>
            <w:tcMar>
              <w:top w:w="80" w:type="dxa"/>
              <w:bottom w:w="80" w:type="dxa"/>
              <w:start w:w="120" w:type="dxa"/>
              <w:end w:w="120" w:type="dxa"/>
            </w:tcMar>
          </w:tcPr>
          <w:p>
            <w:r>
              <w:rPr>
                <w:rFonts w:ascii="Calibri" w:hAnsi="Calibri" w:eastAsia="Calibri"/>
                <w:b/>
                <w:i w:val="0"/>
                <w:color w:val="17365D"/>
                <w:sz w:val="18"/>
              </w:rPr>
              <w:t>Required operation</w:t>
            </w:r>
          </w:p>
        </w:tc>
        <w:tc>
          <w:tcPr>
            <w:tcW w:type="dxa" w:w="3560"/>
            <w:shd w:fill="F2F4F7"/>
            <w:vAlign w:val="top"/>
            <w:tcMar>
              <w:top w:w="80" w:type="dxa"/>
              <w:bottom w:w="80" w:type="dxa"/>
              <w:start w:w="120" w:type="dxa"/>
              <w:end w:w="120" w:type="dxa"/>
            </w:tcMar>
          </w:tcPr>
          <w:p>
            <w:r>
              <w:rPr>
                <w:rFonts w:ascii="Calibri" w:hAnsi="Calibri" w:eastAsia="Calibri"/>
                <w:b/>
                <w:i w:val="0"/>
                <w:color w:val="17365D"/>
                <w:sz w:val="18"/>
              </w:rPr>
              <w:t>Review point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Single severe injury report</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Immediate preservation, risk and reportability analysis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 not wait for pattern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Supplier disputes root cause</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Continue safety response; preserve allocation claims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Independent testing</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Marketplace lacks customer data</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Use platform notice, public outreach, unit metrics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Document gap and escalation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Software update reduces hazard</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Validate deployment, rollback, offline units, user action</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 not equate release with adoption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Recall scams appear</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Publish verified channels and fraud warning</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Coordinate security/support</w:t>
            </w:r>
          </w:p>
        </w:tc>
      </w:tr>
    </w:tbl>
    <w:p/>
    <w:p>
      <w:pPr>
        <w:pStyle w:val="Heading1"/>
      </w:pPr>
      <w:r>
        <w:t>6. Current-Authority and Specialist Gates</w:t>
      </w:r>
    </w:p>
    <w:tbl>
      <w:tblPr>
        <w:tblStyle w:val="TableGrid"/>
        <w:tblW w:type="dxa" w:w="9360"/>
        <w:jc w:val="left"/>
        <w:tblLayout w:type="fixed"/>
        <w:tblLook w:firstColumn="1" w:firstRow="1" w:lastColumn="0" w:lastRow="0" w:noHBand="0" w:noVBand="1" w:val="04A0"/>
        <w:tblInd w:w="120" w:type="dxa"/>
      </w:tblPr>
      <w:tblGrid>
        <w:gridCol w:w="1600"/>
        <w:gridCol w:w="2800"/>
        <w:gridCol w:w="2000"/>
        <w:gridCol w:w="2960"/>
      </w:tblGrid>
      <w:tr>
        <w:trPr>
          <w:trHeight w:hRule="atLeast"/>
          <w:tblHeader w:val="true"/>
          <w:cantSplit/>
        </w:trPr>
        <w:tc>
          <w:tcPr>
            <w:tcW w:type="dxa" w:w="16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800"/>
            <w:shd w:fill="F2F4F7"/>
            <w:vAlign w:val="top"/>
            <w:tcMar>
              <w:top w:w="80" w:type="dxa"/>
              <w:bottom w:w="80" w:type="dxa"/>
              <w:start w:w="120" w:type="dxa"/>
              <w:end w:w="120" w:type="dxa"/>
            </w:tcMar>
          </w:tcPr>
          <w:p>
            <w:r>
              <w:rPr>
                <w:rFonts w:ascii="Calibri" w:hAnsi="Calibri" w:eastAsia="Calibri"/>
                <w:b/>
                <w:i w:val="0"/>
                <w:color w:val="17365D"/>
                <w:sz w:val="18"/>
              </w:rPr>
              <w:t>Starting authority</w:t>
            </w:r>
          </w:p>
        </w:tc>
        <w:tc>
          <w:tcPr>
            <w:tcW w:type="dxa" w:w="20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960"/>
            <w:shd w:fill="F2F4F7"/>
            <w:vAlign w:val="top"/>
            <w:tcMar>
              <w:top w:w="80" w:type="dxa"/>
              <w:bottom w:w="80" w:type="dxa"/>
              <w:start w:w="120" w:type="dxa"/>
              <w:end w:w="120" w:type="dxa"/>
            </w:tcMar>
          </w:tcPr>
          <w:p>
            <w:r>
              <w:rPr>
                <w:rFonts w:ascii="Calibri" w:hAnsi="Calibri" w:eastAsia="Calibri"/>
                <w:b/>
                <w:i w:val="0"/>
                <w:color w:val="17365D"/>
                <w:sz w:val="18"/>
              </w:rPr>
              <w:t>Matter-specific question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CPSC</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Consumer Product Safety Act, 15 U.S.C. §§ 2051 et seq., current rules/guidance</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Product-safety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Section 15(b), CAP, notice, reporting</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Sector regulators</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FDA/NHTSA/USDA/FCC and state law as applicable</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Sector specialist</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Classification and remedy</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Privacy/communications</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privacy, advertising, accessibility and breach law</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Outreach and recall data</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Contracts/insurance</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agreements, policies and chosen-state law</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Commercial/coverage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Cooperation, cost, notice</w:t>
            </w:r>
          </w:p>
        </w:tc>
      </w:tr>
    </w:tbl>
    <w:p/>
    <w:p>
      <w:pPr>
        <w:pStyle w:val="Heading1"/>
      </w:pPr>
      <w:r>
        <w:t>7. Matter Completion and Release Checklist</w:t>
      </w:r>
    </w:p>
    <w:tbl>
      <w:tblPr>
        <w:tblStyle w:val="TableGrid"/>
        <w:tblW w:type="dxa" w:w="9360"/>
        <w:jc w:val="left"/>
        <w:tblLayout w:type="fixed"/>
        <w:tblLook w:firstColumn="1" w:firstRow="1" w:lastColumn="0" w:lastRow="0" w:noHBand="0" w:noVBand="1" w:val="04A0"/>
        <w:tblInd w:w="120" w:type="dxa"/>
      </w:tblPr>
      <w:tblGrid>
        <w:gridCol w:w="1200"/>
        <w:gridCol w:w="8160"/>
      </w:tblGrid>
      <w:tr>
        <w:trPr>
          <w:trHeight w:hRule="atLeast"/>
          <w:tblHeader w:val="true"/>
          <w:cantSplit/>
        </w:trPr>
        <w:tc>
          <w:tcPr>
            <w:tcW w:type="dxa" w:w="1200"/>
            <w:shd w:fill="F2F4F7"/>
            <w:vAlign w:val="top"/>
            <w:tcMar>
              <w:top w:w="80" w:type="dxa"/>
              <w:bottom w:w="80" w:type="dxa"/>
              <w:start w:w="120" w:type="dxa"/>
              <w:end w:w="120" w:type="dxa"/>
            </w:tcMar>
          </w:tcPr>
          <w:p>
            <w:r>
              <w:rPr>
                <w:rFonts w:ascii="Calibri" w:hAnsi="Calibri" w:eastAsia="Calibri"/>
                <w:b/>
                <w:i w:val="0"/>
                <w:color w:val="17365D"/>
                <w:sz w:val="18"/>
              </w:rPr>
              <w:t>Status</w:t>
            </w:r>
          </w:p>
        </w:tc>
        <w:tc>
          <w:tcPr>
            <w:tcW w:type="dxa" w:w="8160"/>
            <w:shd w:fill="F2F4F7"/>
            <w:vAlign w:val="top"/>
            <w:tcMar>
              <w:top w:w="80" w:type="dxa"/>
              <w:bottom w:w="80" w:type="dxa"/>
              <w:start w:w="120" w:type="dxa"/>
              <w:end w:w="120" w:type="dxa"/>
            </w:tcMar>
          </w:tcPr>
          <w:p>
            <w:r>
              <w:rPr>
                <w:rFonts w:ascii="Calibri" w:hAnsi="Calibri" w:eastAsia="Calibri"/>
                <w:b/>
                <w:i w:val="0"/>
                <w:color w:val="17365D"/>
                <w:sz w:val="18"/>
              </w:rPr>
              <w:t>Release condition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Inventory products, roles, regulators, contacts, traceability, contracts, and insurance</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Train all complaint channels and preserve first-signal evidence</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Preauthorize urgent stop-sale, quarantine, and incident command</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Use current-law reportability analysis and documented knowledge timeline</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Build accessible multilingual notices, remedy logistics, data security, and surge support</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Measure actual effectiveness and residual risk through closure</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Exercise annually and obtain safety, regulatory, operations, communications, privacy, insurance, and responsible-lawyer approval</w:t>
            </w:r>
          </w:p>
        </w:tc>
      </w:tr>
    </w:tbl>
    <w:p/>
    <w:p>
      <w:pPr>
        <w:pStyle w:val="Heading1"/>
        <w:pageBreakBefore/>
      </w:pPr>
      <w:r>
        <w:t>8. Release Certification and Matter Sign-Off</w:t>
      </w:r>
    </w:p>
    <w:p>
      <w:pPr>
        <w:spacing w:after="240"/>
      </w:pPr>
      <w:r>
        <w:t>Complete this page only after every open release condition is satisfied. Each approver confirms only the matters within that person’s responsibility; responsible counsel controls final legal release.</w:t>
      </w:r>
    </w:p>
    <w:tbl>
      <w:tblPr>
        <w:tblStyle w:val="TableGrid"/>
        <w:tblW w:type="dxa" w:w="9360"/>
        <w:jc w:val="left"/>
        <w:tblLayout w:type="fixed"/>
        <w:tblLook w:firstColumn="1" w:firstRow="1" w:lastColumn="0" w:lastRow="0" w:noHBand="0" w:noVBand="1" w:val="04A0"/>
        <w:tblInd w:w="120" w:type="dxa"/>
      </w:tblPr>
      <w:tblGrid>
        <w:gridCol w:w="3000"/>
        <w:gridCol w:w="6360"/>
      </w:tblGrid>
      <w:tr>
        <w:trPr>
          <w:trHeight w:hRule="atLeast"/>
          <w:tblHeader w:val="true"/>
          <w:cantSplit/>
        </w:trPr>
        <w:tc>
          <w:tcPr>
            <w:tcW w:type="dxa" w:w="3000"/>
            <w:shd w:fill="F2F4F7"/>
            <w:vAlign w:val="top"/>
            <w:tcMar>
              <w:top w:w="80" w:type="dxa"/>
              <w:bottom w:w="80" w:type="dxa"/>
              <w:start w:w="120" w:type="dxa"/>
              <w:end w:w="120" w:type="dxa"/>
            </w:tcMar>
          </w:tcPr>
          <w:p>
            <w:r>
              <w:rPr>
                <w:rFonts w:ascii="Calibri" w:hAnsi="Calibri" w:eastAsia="Calibri"/>
                <w:b/>
                <w:i w:val="0"/>
                <w:color w:val="17365D"/>
                <w:sz w:val="18"/>
              </w:rPr>
              <w:t>Certification item</w:t>
            </w:r>
          </w:p>
        </w:tc>
        <w:tc>
          <w:tcPr>
            <w:tcW w:type="dxa" w:w="6360"/>
            <w:shd w:fill="F2F4F7"/>
            <w:vAlign w:val="top"/>
            <w:tcMar>
              <w:top w:w="80" w:type="dxa"/>
              <w:bottom w:w="80" w:type="dxa"/>
              <w:start w:w="120" w:type="dxa"/>
              <w:end w:w="120" w:type="dxa"/>
            </w:tcMar>
          </w:tcPr>
          <w:p>
            <w:r>
              <w:rPr>
                <w:rFonts w:ascii="Calibri" w:hAnsi="Calibri" w:eastAsia="Calibri"/>
                <w:b/>
                <w:i w:val="0"/>
                <w:color w:val="17365D"/>
                <w:sz w:val="18"/>
              </w:rPr>
              <w:t>Completed entry</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Final document title and version</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Consumer Product Recall and Corrective Action Plan / [FINAL VERSION]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Matter / client / project</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Responsible lawyer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SIGNATURE OR APPROVAL RECORD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Specialist reviewers</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[NAMES / DOMAINS / DATES]</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Business and operational owner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APPROVAL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Alternatives deleted; schedules and cross-references reconciled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Law, guidance, technical standards, facts, and linked workflows refreshed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AS-OF DATE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Approval and evidence archive</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[CONTROLLED LOCATION / MATTER NUMBER]</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RELEASE STATUS.  </w:t>
            </w:r>
            <w:r>
              <w:rPr>
                <w:rFonts w:ascii="Calibri" w:hAnsi="Calibri" w:eastAsia="Calibri"/>
                <w:b w:val="0"/>
                <w:i w:val="0"/>
                <w:color w:val="111111"/>
                <w:sz w:val="21"/>
              </w:rPr>
              <w:t>No matter may be described as approved, compliant, or ready for signature while an entry above remains incomplete or qualified without documented responsible-lawyer resolution.</w:t>
            </w:r>
          </w:p>
        </w:tc>
      </w:tr>
    </w:tbl>
    <w:p/>
    <w:sectPr w:rsidR="00FC693F" w:rsidRPr="0006063C" w:rsidSect="00034616">
      <w:headerReference w:type="default" r:id="rId9"/>
      <w:footerReference w:type="default" r:id="rId10"/>
      <w:pgSz w:w="12240" w:h="15840"/>
      <w:pgMar w:top="1080" w:right="1440" w:bottom="1080" w:left="144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Study and drafting use only | Matter completion required</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200"/>
      <w:gridCol w:w="4160"/>
    </w:tblGrid>
    <w:tr>
      <w:trPr>
        <w:cantSplit/>
        <w:trHeight w:hRule="atLeast"/>
      </w:trPr>
      <w:tc>
        <w:tcPr>
          <w:tcW w:type="dxa" w:w="52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4160"/>
          <w:vAlign w:val="top"/>
          <w:tcMar>
            <w:top w:w="80" w:type="dxa"/>
            <w:bottom w:w="80" w:type="dxa"/>
            <w:start w:w="120" w:type="dxa"/>
            <w:end w:w="120" w:type="dxa"/>
          </w:tcMar>
        </w:tcPr>
        <w:p>
          <w:pPr>
            <w:jc w:val="right"/>
          </w:pPr>
          <w:r>
            <w:rPr>
              <w:rFonts w:ascii="Calibri" w:hAnsi="Calibri" w:eastAsia="Calibri"/>
              <w:b/>
              <w:i w:val="0"/>
              <w:color w:val="17365D"/>
              <w:sz w:val="17"/>
            </w:rPr>
            <w:t>EF-067 | Practitioner Master</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eastAsia="Calibr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32" w:hanging="259"/>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32" w:hanging="259"/>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Text">
    <w:name w:val="Clause Text"/>
    <w:pPr>
      <w:spacing w:after="120" w:line="259" w:lineRule="auto"/>
    </w:pPr>
    <w:rPr>
      <w:rFonts w:ascii="Calibri" w:hAnsi="Calibr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Product Recall and Corrective Action Plan</dc:title>
  <dc:subject>Original entrepreneur legal practitioner master for study and matter-specific drafting</dc:subject>
  <dc:creator>Montague Entrepreneur Forms</dc:creator>
  <cp:keywords>EF-067, entrepreneur forms, practitioner master</cp:keywords>
  <dc:description>Original form; no Westlaw or Practical Law text reproduced.</dc:description>
  <cp:lastModifiedBy/>
  <cp:revision>1</cp:revision>
  <dcterms:created xsi:type="dcterms:W3CDTF">2013-12-23T23:15:00Z</dcterms:created>
  <dcterms:modified xsi:type="dcterms:W3CDTF">2013-12-23T23:15:00Z</dcterms:modified>
  <cp:category/>
</cp:coreProperties>
</file>