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Supplier Code of Conduct and Compliance Attestation</w:t>
      </w:r>
    </w:p>
    <w:p>
      <w:r>
        <w:rPr>
          <w:rFonts w:ascii="Calibri" w:hAnsi="Calibri" w:eastAsia="Calibri"/>
          <w:b w:val="0"/>
          <w:i w:val="0"/>
          <w:color w:val="5B6573"/>
          <w:sz w:val="24"/>
        </w:rPr>
        <w:t>A scalable supplier standards package covering lawful labor, forced-labor prevention, health and safety, environment, ethics, trade, data, AI, reporting, diligence, remediation, flow-downs, and annual attestation.</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EF-066</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Adopt only standards the company can administer and evidence. Select risk tiers, jurisdictions, product categories, audit rights, remediation consequences, and public claims. This is not a substitute for contract-specific warranties, import controls, or legally required supply-chain diligence.</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Issuing company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NAME / GROUP ENTITIES]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Covered suppliers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[DIRECT, INDIRECT, LABOR, LOGISTICS, DATA/AI, SUBCONTRACTORS]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Risk tiers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[LOW / MEDIUM / HIGH / CRITICAL CRITERIA]</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Reporting channel</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[ANONYMOUS / WEB / PHONE / EMAIL / LANGUAGES]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Audit model</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[SELF-ASSESSMENT / DESK REVIEW / ONSITE / THIRD PARTY]</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Remediation window</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[CRITICAL / MAJOR / MINOR TARGETS]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Applicable overlays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[IMPORT, FORCED LABOR, CONFLICT MINERALS, ENVIRONMENT, DATA, SECTOR]</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Attestation cycle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[ONBOARDING / ANNUAL / EVENT-DRIVEN]</w:t>
            </w:r>
          </w:p>
        </w:tc>
      </w:tr>
    </w:tbl>
    <w:p/>
    <w:p>
      <w:pPr>
        <w:pStyle w:val="Heading1"/>
      </w:pPr>
      <w:r>
        <w:t>2. Operative Form</w:t>
      </w:r>
    </w:p>
    <w:p>
      <w:pPr>
        <w:pStyle w:val="Heading2"/>
        <w:keepNext/>
      </w:pPr>
      <w:r>
        <w:t>1. Purpose, Scope, and Proportionality</w:t>
      </w:r>
    </w:p>
    <w:p>
      <w:pPr>
        <w:pStyle w:val="ClauseText"/>
        <w:keepNext/>
        <w:keepLines/>
      </w:pPr>
      <w:r>
        <w:t>This Code states minimum standards for suppliers, contractors, agents, labor providers, logistics providers, and other covered business partners of [COMPANY]. It applies to their performance for Company and to approved subcontractors in that chain. Company will administer diligence proportionately based on country, product, labor, data, regulatory, and business-continuity risk.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covered parties and whether standards are contractual by incorporation. Avoid implying audit of the entire global enterprise if only a facility or service is in scope.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aspirational code that overstates reach can create misleading ESG and contractual claims.</w:t>
            </w:r>
          </w:p>
        </w:tc>
      </w:tr>
    </w:tbl>
    <w:p/>
    <w:p>
      <w:pPr>
        <w:pStyle w:val="Heading2"/>
        <w:keepNext/>
      </w:pPr>
      <w:r>
        <w:t>2. Compliance with Law and Higher Standard</w:t>
      </w:r>
    </w:p>
    <w:p>
      <w:pPr>
        <w:pStyle w:val="ClauseText"/>
        <w:keepNext/>
        <w:keepLines/>
      </w:pPr>
      <w:r>
        <w:t>Supplier will comply with laws applicable to its facilities, workers, products, services, trade, environment, safety, data, and dealings for Company. If this Code lawfully sets a higher contractual standard, Supplier will follow it; if local law conflicts, Supplier will notify Company before performance and propose a lawful protective alternative.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critical jurisdictions and escalation ownership. Do not require conduct that violates local labor, privacy, or blocking law.</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generic ‘all laws’ clause does not resolve conflicts or evidence diligence.</w:t>
            </w:r>
          </w:p>
        </w:tc>
      </w:tr>
    </w:tbl>
    <w:p/>
    <w:p>
      <w:pPr>
        <w:pStyle w:val="Heading2"/>
        <w:keepNext/>
      </w:pPr>
      <w:r>
        <w:t>3. No Forced Labor or Human Trafficking</w:t>
      </w:r>
    </w:p>
    <w:p>
      <w:pPr>
        <w:pStyle w:val="ClauseText"/>
        <w:keepNext/>
        <w:keepLines/>
      </w:pPr>
      <w:r>
        <w:t>Supplier will not use forced, bonded, indentured, prison, trafficked, or involuntary labor; charge recruitment fees; retain identity documents except lawful short-term verification; restrict lawful movement; or use threats, coercion, or deceptive recruitment. Workers must receive understandable terms before departure or work and retain control of wages and documents. Supplier will trace and remediate forced-labor risks in recruitment and upstream inputs.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to import and disclosure regimes; address responsible remediation for affected workers, not only termination.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Forced-labor exposure can trigger seizure, import bans, penalties, contract loss, and severe human harm.</w:t>
            </w:r>
          </w:p>
        </w:tc>
      </w:tr>
    </w:tbl>
    <w:p/>
    <w:p>
      <w:pPr>
        <w:pStyle w:val="Heading2"/>
        <w:keepNext/>
      </w:pPr>
      <w:r>
        <w:t>4. Child and Young Workers</w:t>
      </w:r>
    </w:p>
    <w:p>
      <w:pPr>
        <w:pStyle w:val="ClauseText"/>
        <w:keepNext/>
        <w:keepLines/>
      </w:pPr>
      <w:r>
        <w:t>Supplier will not employ anyone below the highest of applicable minimum age, compulsory-school age, or [15], subject only to lawful and protective exceptions. Workers under 18 may not perform hazardous, night, overtime, or other prohibited work. Supplier will verify age lawfully and maintain a remediation plan that protects an affected child rather than causing abrupt harm.</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Confirm sector and jurisdiction rules; avoid collecting excessive identity data.</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Poor age verification and punitive remediation can worsen the underlying harm.</w:t>
            </w:r>
          </w:p>
        </w:tc>
      </w:tr>
    </w:tbl>
    <w:p/>
    <w:p>
      <w:pPr>
        <w:pStyle w:val="Heading2"/>
        <w:keepNext/>
      </w:pPr>
      <w:r>
        <w:t>5. Working Hours, Wages, and Benefits</w:t>
      </w:r>
    </w:p>
    <w:p>
      <w:pPr>
        <w:pStyle w:val="ClauseText"/>
        <w:keepNext/>
        <w:keepLines/>
      </w:pPr>
      <w:r>
        <w:t>Supplier will comply with lawful limits on hours, rest, overtime, wages, benefits, deductions, and wage statements. Overtime must be voluntary where required and compensated at the applicable premium. Supplier may not use deposits, unlawful deductions, off-clock work, sham contractor status, or production targets that predictably force unlawful hours.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documentary evidence and higher client standards only after local-law and operational review.</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Time and pay abuses often hide in labor agencies and piece-rate systems.</w:t>
            </w:r>
          </w:p>
        </w:tc>
      </w:tr>
    </w:tbl>
    <w:p/>
    <w:p>
      <w:pPr>
        <w:pStyle w:val="Heading2"/>
        <w:keepNext/>
      </w:pPr>
      <w:r>
        <w:t>6. Non-Discrimination, Harassment, and Dignity</w:t>
      </w:r>
    </w:p>
    <w:p>
      <w:pPr>
        <w:pStyle w:val="ClauseText"/>
        <w:keepNext/>
        <w:keepLines/>
      </w:pPr>
      <w:r>
        <w:t>Supplier will provide a workplace free from unlawful discrimination, harassment, abuse, corporal punishment, threats, and degrading treatment. Employment decisions must rest on legitimate qualifications and business requirements. Pregnancy tests, medical tests, or personal-status inquiries may not be used unlawfully or coercively.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protected categories consistently with local law and Company values; provide accessible grievance routes.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policy without confidential reporting and anti-retaliation controls is difficult to enforce.</w:t>
            </w:r>
          </w:p>
        </w:tc>
      </w:tr>
    </w:tbl>
    <w:p/>
    <w:p>
      <w:pPr>
        <w:pStyle w:val="Heading2"/>
        <w:keepNext/>
      </w:pPr>
      <w:r>
        <w:t>7. Freedom of Association and Grievance</w:t>
      </w:r>
    </w:p>
    <w:p>
      <w:pPr>
        <w:pStyle w:val="ClauseText"/>
        <w:keepNext/>
        <w:keepLines/>
      </w:pPr>
      <w:r>
        <w:t>Supplier will respect lawful worker rights to organize, bargain collectively, elect representatives, or refrain from doing so, and will not retaliate for protected activity. Where law restricts formal mechanisms, Supplier should provide lawful parallel means for independent worker communication. Grievances must be confidential, accessible, timely, and documented.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worker interviews and remedy testing, not management documents alone.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Formal compliance may conceal retaliation or inaccessible grievance systems.</w:t>
            </w:r>
          </w:p>
        </w:tc>
      </w:tr>
    </w:tbl>
    <w:p/>
    <w:p>
      <w:pPr>
        <w:pStyle w:val="Heading2"/>
        <w:keepNext/>
      </w:pPr>
      <w:r>
        <w:t>8. Health, Safety, Housing, and Emergency Readiness</w:t>
      </w:r>
    </w:p>
    <w:p>
      <w:pPr>
        <w:pStyle w:val="ClauseText"/>
        <w:keepNext/>
        <w:keepLines/>
      </w:pPr>
      <w:r>
        <w:t>Supplier will identify hazards; provide safe equipment, controls, training, protective equipment, sanitation, potable water, emergency exits, fire protection, incident reporting, and medical response; and maintain lawful occupational programs. Company-provided dormitories, transport, and food must meet protective standards. Imminent hazards require stop-work and prompt notice.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Tailor to manufacturing, construction, logistics, laboratory, remote work, and housing risks. Require incident metrics and corrective actions.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Safety clauses without stop-work and evidence do not prevent catastrophic loss.</w:t>
            </w:r>
          </w:p>
        </w:tc>
      </w:tr>
    </w:tbl>
    <w:p/>
    <w:p>
      <w:pPr>
        <w:pStyle w:val="Heading2"/>
        <w:keepNext/>
      </w:pPr>
      <w:r>
        <w:t>9. Environmental Compliance and Claims</w:t>
      </w:r>
    </w:p>
    <w:p>
      <w:pPr>
        <w:pStyle w:val="ClauseText"/>
        <w:keepNext/>
        <w:keepLines/>
      </w:pPr>
      <w:r>
        <w:t>Supplier will obtain permits, control waste, emissions, water, hazardous materials, energy, and spills, and provide accurate environmental data requested for the contracted supply. Supplier may not make unsupported sustainability, carbon, recycled-content, or environmental-benefit claims. Material environmental incidents or permit actions affecting Company supply require prompt notice.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Align reporting boundaries and calculation methods; validate claims before Company uses them publicly.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Inaccurate supplier data can create greenwashing and product-claim exposure.</w:t>
            </w:r>
          </w:p>
        </w:tc>
      </w:tr>
    </w:tbl>
    <w:p/>
    <w:p>
      <w:pPr>
        <w:pStyle w:val="Heading2"/>
        <w:keepNext/>
      </w:pPr>
      <w:r>
        <w:t>10. Business Integrity and Anti-Corruption</w:t>
      </w:r>
    </w:p>
    <w:p>
      <w:pPr>
        <w:pStyle w:val="ClauseText"/>
        <w:keepNext/>
        <w:keepLines/>
      </w:pPr>
      <w:r>
        <w:t>Supplier will not offer, promise, authorize, request, or accept bribes, kickbacks, facilitation payments where prohibited, or improper benefits involving any person, including officials. Gifts, meals, travel, charitable contributions, sponsorships, and third parties must be lawful, reasonable, transparent, and never intended to influence an improper act. Books and records must accurately reflect transactions.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government touchpoints and high-risk agents; attach approvals and training where warranted.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Indirect and poorly recorded benefits are common anti-corruption failure points.</w:t>
            </w:r>
          </w:p>
        </w:tc>
      </w:tr>
    </w:tbl>
    <w:p/>
    <w:p>
      <w:pPr>
        <w:pStyle w:val="Heading2"/>
        <w:keepNext/>
      </w:pPr>
      <w:r>
        <w:t>11. Conflicts, Gifts, and Fair Dealing</w:t>
      </w:r>
    </w:p>
    <w:p>
      <w:pPr>
        <w:pStyle w:val="ClauseText"/>
        <w:keepNext/>
        <w:keepLines/>
      </w:pPr>
      <w:r>
        <w:t>Supplier will disclose actual or apparent conflicts involving Company personnel, ownership, family relationships, side payments, outside interests, or competing duties. Supplier will not offer gifts or entertainment that violate Company thresholds or influence sourcing decisions and will compete fairly without collusion, misuse of confidential information, or deceptive practices.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Publish a usable disclosure channel and thresholds; coordinate with the related-party policy.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Undisclosed founder, employee, or sourcing conflicts distort procurement and governance.</w:t>
            </w:r>
          </w:p>
        </w:tc>
      </w:tr>
    </w:tbl>
    <w:p/>
    <w:p>
      <w:pPr>
        <w:pStyle w:val="Heading2"/>
        <w:keepNext/>
      </w:pPr>
      <w:r>
        <w:t>12. Trade, Sanctions, Customs, and Origin</w:t>
      </w:r>
    </w:p>
    <w:p>
      <w:pPr>
        <w:pStyle w:val="ClauseText"/>
        <w:keepNext/>
        <w:keepLines/>
      </w:pPr>
      <w:r>
        <w:t>Supplier will comply with applicable export controls, sanctions, antiboycott, customs, import, origin, classification, valuation, and forced-labor restrictions. It will provide accurate records and notify Company before any change in origin, production location, controlled content, restricted party, or licensing status that may affect supply.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Identify importer/exporter of record and required certifications. Do not rely solely on questionnaires for high-risk supply.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False origin or restricted-party data can stop shipments and create penalties.</w:t>
            </w:r>
          </w:p>
        </w:tc>
      </w:tr>
    </w:tbl>
    <w:p/>
    <w:p>
      <w:pPr>
        <w:pStyle w:val="Heading2"/>
        <w:keepNext/>
      </w:pPr>
      <w:r>
        <w:t>13. Product Integrity, Quality, and Safety</w:t>
      </w:r>
    </w:p>
    <w:p>
      <w:pPr>
        <w:pStyle w:val="ClauseText"/>
        <w:keepNext/>
        <w:keepLines/>
      </w:pPr>
      <w:r>
        <w:t>Supplier will meet specifications, quality systems, testing, traceability, labeling, authenticity, and safety obligations; prevent counterfeit or unauthorized substitution; and report defects, complaint trends, regulatory inquiries, and potential recalls promptly. Supplier must preserve samples and records for the required period and cooperate with corrective action.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Cross-reference purchase terms, vendor quality agreement, and recall plan. Define materiality and emergency contacts.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Late or filtered product-safety reporting increases injury and recall scope.</w:t>
            </w:r>
          </w:p>
        </w:tc>
      </w:tr>
    </w:tbl>
    <w:p/>
    <w:p>
      <w:pPr>
        <w:pStyle w:val="Heading2"/>
        <w:keepNext/>
      </w:pPr>
      <w:r>
        <w:t>14. Information Security, Privacy, and AI</w:t>
      </w:r>
    </w:p>
    <w:p>
      <w:pPr>
        <w:pStyle w:val="ClauseText"/>
        <w:keepNext/>
        <w:keepLines/>
      </w:pPr>
      <w:r>
        <w:t>Supplier will protect Company, worker, and customer information; limit access and use to authorized purposes; maintain proportionate security; report incidents; and comply with applicable privacy requirements. Supplier may not use Company data, confidential information, personal data, or deliverables to train or improve an AI model without express written authorization. Material automated decisions affecting workers or Company services require lawful governance and human oversight.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Attach detailed security/privacy terms when data is material. Inventory AI use, subprocessor flow, training data, model outputs, bias, safety, and IP.</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Codes often omit digital supply-chain and secondary AI-use risk.</w:t>
            </w:r>
          </w:p>
        </w:tc>
      </w:tr>
    </w:tbl>
    <w:p/>
    <w:p>
      <w:pPr>
        <w:pStyle w:val="Heading2"/>
        <w:keepNext/>
      </w:pPr>
      <w:r>
        <w:t>15. Subcontractors and Flow-Down</w:t>
      </w:r>
    </w:p>
    <w:p>
      <w:pPr>
        <w:pStyle w:val="ClauseText"/>
        <w:keepNext/>
        <w:keepLines/>
      </w:pPr>
      <w:r>
        <w:t>Supplier is responsible for approved subcontractors and labor agents used for Company work and will conduct risk-based selection, contracting, monitoring, and remediation. Supplier will flow applicable Code duties and provide a current chain map on request. Company approval does not relieve Supplier of responsibility.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Avoid demanding visibility the company cannot secure under privacy or competition law; identify critical-tier transparency.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Risk often migrates to unmonitored labor brokers and sub-tier suppliers.</w:t>
            </w:r>
          </w:p>
        </w:tc>
      </w:tr>
    </w:tbl>
    <w:p/>
    <w:p>
      <w:pPr>
        <w:pStyle w:val="Heading2"/>
        <w:keepNext/>
      </w:pPr>
      <w:r>
        <w:t>16. Reporting, Non-Retaliation, and Cooperation</w:t>
      </w:r>
    </w:p>
    <w:p>
      <w:pPr>
        <w:pStyle w:val="ClauseText"/>
        <w:keepNext/>
        <w:keepLines/>
      </w:pPr>
      <w:r>
        <w:t>Supplier and its workers may report suspected violations through [CHANNEL], including anonymously where lawful, without retaliation. Supplier must preserve relevant evidence, cooperate proportionately, protect confidentiality, and avoid obstructing interviews. Company will route allegations to trained reviewers and protect data and procedural fairness.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Offer accessible languages and channels; distinguish emergencies, worker grievances, security incidents, and legal notices.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hotline without staffing, privacy, and remedy is cosmetic.</w:t>
            </w:r>
          </w:p>
        </w:tc>
      </w:tr>
    </w:tbl>
    <w:p/>
    <w:p>
      <w:pPr>
        <w:pStyle w:val="Heading2"/>
        <w:keepNext/>
      </w:pPr>
      <w:r>
        <w:t>17. Diligence, Audit, and Records</w:t>
      </w:r>
    </w:p>
    <w:p>
      <w:pPr>
        <w:pStyle w:val="ClauseText"/>
        <w:keepNext/>
        <w:keepLines/>
      </w:pPr>
      <w:r>
        <w:t>Supplier will complete accurate assessments, maintain supporting records, and permit proportionate remote or onsite review by Company or a qualified third party on reasonable notice, with urgent access for credible severe risk. Reviews may include document sampling, facility observation, and confidential worker interviews, subject to safety, privacy, privilege, and noninterference safeguards.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frequency, cost, confidentiality, corrective action, and treatment of certifications. Avoid audit theater and duplicate burdens.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audit rights may be unusable; checklist-only audits miss lived conditions.</w:t>
            </w:r>
          </w:p>
        </w:tc>
      </w:tr>
    </w:tbl>
    <w:p/>
    <w:p>
      <w:pPr>
        <w:pStyle w:val="Heading2"/>
        <w:keepNext/>
      </w:pPr>
      <w:r>
        <w:t>18. Remediation, Suspension, Termination, and Attestation</w:t>
      </w:r>
    </w:p>
    <w:p>
      <w:pPr>
        <w:pStyle w:val="ClauseText"/>
        <w:keepNext/>
        <w:keepLines/>
      </w:pPr>
      <w:r>
        <w:t>Supplier will investigate and correct substantiated nonconformities under an approved plan with owners, milestones, worker remedy, root cause, and verification. Severe, repeated, concealed, or unremedied violations may result in stop-work, payment hold where lawful, suspension, alternate sourcing, or termination. An authorized officer will sign the attached attestation at onboarding and [ANNUALLY], disclosing exceptions rather than certifying blindly.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consequence tiers and responsible exit principles; coordinate supply continuity and affected-worker impacts.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Automatic termination can worsen human harm, while indefinite remediation weakens accountability.</w:t>
            </w:r>
          </w:p>
        </w:tc>
      </w:tr>
    </w:tbl>
    <w:p/>
    <w:p>
      <w:pPr>
        <w:pStyle w:val="Heading1"/>
      </w:pPr>
      <w:r>
        <w:t>3. Required Schedules and Closing Tools</w:t>
      </w:r>
    </w:p>
    <w:p>
      <w:pPr>
        <w:pStyle w:val="Heading2"/>
      </w:pPr>
      <w:r>
        <w:t>Schedule 1 — Supplier Risk Tiering</w:t>
      </w:r>
    </w:p>
    <w:p>
      <w:pPr>
        <w:keepNext/>
      </w:pPr>
      <w:r>
        <w:t>Document why the selected diligence level is proportionate.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Factor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Rating</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Evidence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Diligence response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Country/sector/labor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Product/safety/quality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Trade/environment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Data/AI/security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2 — Audit and Evidence Plan</w:t>
      </w:r>
    </w:p>
    <w:p>
      <w:pPr>
        <w:keepNext/>
      </w:pPr>
      <w:r>
        <w:t>Combine documents, observations, interviews, and transaction testing.</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Control area</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Evidence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Method/frequency</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Owner</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Labor/recruitment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Safety/environment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Ethics/trade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Quality/data/AI</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Corrective Action Plan</w:t>
      </w:r>
    </w:p>
    <w:p>
      <w:pPr>
        <w:keepNext/>
      </w:pPr>
      <w:r>
        <w:t>Closure requires evidence and, where appropriate, affected-person validation.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Finding/root cause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Immediate protection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Owner/milestones</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Verification/closure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Worker/customer remedy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Systemic prevention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Supply/exit risk</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4 — Officer Attestation</w:t>
      </w:r>
    </w:p>
    <w:p>
      <w:pPr>
        <w:keepNext/>
      </w:pPr>
      <w:r>
        <w:t>Permit qualified disclosures; do not require an unsupported absolute certification.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Statement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Response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Exception/detail</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Code received and communicated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Risk and sub-tier review completed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Known violations disclosed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[yes/no]</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Authorized signer</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[name/title/date]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[signature]</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Scope/flow-down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Risk-based covered chain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Impossible all-tier absolute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Supplier map</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Audits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Proportionate and evidence-based</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Checklist-only or unlimited intrusion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Audit protocol</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Remediation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Root cause + affected-person remedy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Automatic termination or endless plan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CAP and verification</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Public claims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Evidence-aligned wording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Unqualified ethical/sustainable claim</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Claim substantiation</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Recruiter charged workers fees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Protect workers, reimburse, correct recruitment chain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terminate without remedy plan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Origin data conflicts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Hold shipment, investigate, preserve records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Trade/legal escalation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Supplier uses Company data for AI</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Stop use, assess deletion/model impact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Apply data and IP remedies</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Anonymous safety complaint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Protect reporter, urgent fact review</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No retaliation or disclosure</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Critical supplier resists audit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evidence, contract remedies, continuity plan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Escalate proportionately</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Labor/forced labor</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applicable labor, trafficking, import, disclosure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Labor/trade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Jurisdiction and supply-chain duties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Anti-corruption/trade</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FCPA and applicable sanctions/customs/export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Compliance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Agents, origin, licensing, records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Environment/product</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federal/state/sector regimes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Permits, claims, safety</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Privacy/AI</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privacy, security, biometric, AI and employment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Data and automated decisions</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Define covered suppliers, services, facilities, and sub-tier reach</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Risk-tier by country, labor, product, trade, environment, data, AI, and continuity</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Align code with contracts, audit rights, reporting, privacy, and procurement process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accessible worker/reporting channels and non-retaliation controls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Use evidence-based diligence, corrective-action, remedy, verification, and responsible-exit processes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Substantiate any public ESG, ethical sourcing, or sustainability claim</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Obtain procurement, compliance, HR, trade, safety, privacy, and responsible-lawyer approval</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Supplier Code of Conduct and Compliance Attestation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EF-066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Code of Conduct and Compliance Attestation</dc:title>
  <dc:subject>Original entrepreneur legal practitioner master for study and matter-specific drafting</dc:subject>
  <dc:creator>Montague Entrepreneur Forms</dc:creator>
  <cp:keywords>EF-066,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