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Consumer-Facing Website Accessibility Statement and Remediation Governance Plan</w:t>
      </w:r>
    </w:p>
    <w:p>
      <w:r>
        <w:rPr>
          <w:rFonts w:ascii="Calibri" w:hAnsi="Calibri" w:eastAsia="Calibri"/>
          <w:b w:val="0"/>
          <w:i w:val="0"/>
          <w:color w:val="5B6573"/>
          <w:sz w:val="24"/>
        </w:rPr>
        <w:t>A two-part package: a restrained public accessibility statement that avoids unsupported conformance claims, and an internal governance plan for inventory, testing, remediation, procurement, release controls, feedback, evidence, and exceptions.</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EF-064</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Part I is public-facing only after its factual statements are tested. Part II is internal and should not be posted. Selecting a technical benchmark such as [WCAG VERSION/LEVEL] does not itself establish legal compliance or actual conformance; state, federal, sector, contract, and current technical review remain required.</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Public entity / site owner</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[FULL LEGAL NAME / WEBSITE URLS]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Covered digital properties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[WEB, MOBILE, PORTAL, DOCUMENTS, MEDIA, CHECKOUT]</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Technical benchmark</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[WCAG VERSION / LEVEL / OTHER STANDARD]</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Actual tested status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[CONFORMS / PARTIALLY CONFORMS / NOT YET ASSESSED—USE VERIFIED WORDING]</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Accessibility contact</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[FORM / EMAIL / PHONE / RELAY / MAIL]</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Alternative access process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[OWNER / METHOD / RESPONSE TARGET]</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Internal executive owner</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[TITLE]</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Assessment / statement dates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[LAST TESTED] / [LAST UPDATED] / [NEXT REVIEW]</w:t>
            </w:r>
          </w:p>
        </w:tc>
      </w:tr>
    </w:tbl>
    <w:p/>
    <w:p>
      <w:pPr>
        <w:pStyle w:val="Heading1"/>
      </w:pPr>
      <w:r>
        <w:t>2. Operative Form</w:t>
      </w:r>
    </w:p>
    <w:p>
      <w:pPr>
        <w:pStyle w:val="Heading2"/>
        <w:keepNext/>
      </w:pPr>
      <w:r>
        <w:t>I-1. Public Statement — Commitment and Scope</w:t>
      </w:r>
    </w:p>
    <w:p>
      <w:pPr>
        <w:pStyle w:val="ClauseText"/>
        <w:keepNext/>
        <w:keepLines/>
      </w:pPr>
      <w:r>
        <w:t>[COMPANY] is committed to providing people with disabilities meaningful access to the information, products, services, and functionality offered through the digital properties identified below. This statement applies to [PRECISE SITES, APPS, PORTALS, DOCUMENT TYPES, AND MEDIA] and was last updated on [DATE]. It does not describe unrelated third-party properties unless expressly identified.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Publish only after verifying ownership and scope. Avoid stating that every channel or legacy asset is covered if the inventory is incomplete.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public promises can become evidence against the company when facts differ.</w:t>
            </w:r>
          </w:p>
        </w:tc>
      </w:tr>
    </w:tbl>
    <w:p/>
    <w:p>
      <w:pPr>
        <w:pStyle w:val="Heading2"/>
        <w:keepNext/>
      </w:pPr>
      <w:r>
        <w:t>I-2. Public Statement — Benchmark and Conformance Wording</w:t>
      </w:r>
    </w:p>
    <w:p>
      <w:pPr>
        <w:pStyle w:val="ClauseText"/>
        <w:keepNext/>
        <w:keepLines/>
      </w:pPr>
      <w:r>
        <w:t>[COMPANY] uses [WCAG VERSION AND LEVEL / OTHER STANDARD] as a technical benchmark to guide design, development, content, testing, and remediation. [SELECT VERIFIED STATUS: “Following testing dated [DATE], the identified scope [conforms / partially conforms / has not yet been assessed for conformance].”] A benchmark is one tool in an ongoing accessibility program and is not a guarantee that every experience will work with every assistive technology, device, browser, or configuration.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Do not say “fully compliant,” “ADA compliant,” or “WCAG conformant” without scope-specific testing and counsel review. Identify the test date and boundaries.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Unsupported conformance language creates consumer, contract, and litigation risk.</w:t>
            </w:r>
          </w:p>
        </w:tc>
      </w:tr>
    </w:tbl>
    <w:p/>
    <w:p>
      <w:pPr>
        <w:pStyle w:val="Heading2"/>
        <w:keepNext/>
      </w:pPr>
      <w:r>
        <w:t>I-3. Public Statement — Known Limitations</w:t>
      </w:r>
    </w:p>
    <w:p>
      <w:pPr>
        <w:pStyle w:val="ClauseText"/>
        <w:keepNext/>
        <w:keepLines/>
      </w:pPr>
      <w:r>
        <w:t>As of [DATE], known limitations within the covered scope include: [FUNCTION / CONTENT / PLATFORM], which may affect [USER TASK / ASSISTIVE TECHNOLOGY]. The current workaround or alternate route is [METHOD], and the remediation target is [DATE OR MILESTONE]. [If none are disclosed, state only after documented review.] Updates will be reflected as material issues are resolved or scope changes.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plain language and provide a usable workaround. Do not publish exploit, privacy, or sensitive system details.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generic claim of no known issues is risky without a documented and current assessment.</w:t>
            </w:r>
          </w:p>
        </w:tc>
      </w:tr>
    </w:tbl>
    <w:p/>
    <w:p>
      <w:pPr>
        <w:pStyle w:val="Heading2"/>
        <w:keepNext/>
      </w:pPr>
      <w:r>
        <w:t>I-4. Public Statement — Third-Party Content</w:t>
      </w:r>
    </w:p>
    <w:p>
      <w:pPr>
        <w:pStyle w:val="ClauseText"/>
        <w:keepNext/>
        <w:keepLines/>
      </w:pPr>
      <w:r>
        <w:t>Some covered pages may link to, embed, or rely on third-party content or services that [COMPANY] does not fully control, such as [PAYMENT / MAP / VIDEO / SCHEDULING / SOCIAL / DOCUMENT PLATFORM]. [COMPANY] works to select and manage accessible providers where reasonably possible and will assist with an alternative access route for a reported barrier. This statement does not disclaim obligations that apply to [COMPANY].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Name material integrations and describe procurement/remediation steps. Do not use third-party status as a blanket disclaimer.</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Third-party components are often essential to the user journey and remain a foreseeable accessibility dependency.</w:t>
            </w:r>
          </w:p>
        </w:tc>
      </w:tr>
    </w:tbl>
    <w:p/>
    <w:p>
      <w:pPr>
        <w:pStyle w:val="Heading2"/>
        <w:keepNext/>
      </w:pPr>
      <w:r>
        <w:t>I-5. Public Statement — Feedback and Information to Provide</w:t>
      </w:r>
    </w:p>
    <w:p>
      <w:pPr>
        <w:pStyle w:val="ClauseText"/>
        <w:keepNext/>
        <w:keepLines/>
      </w:pPr>
      <w:r>
        <w:t>If a person encounters an accessibility barrier, contact [ACCESSIBILITY CHANNELS]. Helpful information includes the page or feature, URL, date and time, device and browser, assistive technology if the person wishes to share it, the task attempted, and preferred response method. No diagnosis or proof of disability is required merely to report a barrier or request readily available alternative access.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Offer more than one accessible channel and test it. Request only useful information and make technical details optional.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 inaccessible or intrusive complaint channel compounds the original barrier.</w:t>
            </w:r>
          </w:p>
        </w:tc>
      </w:tr>
    </w:tbl>
    <w:p/>
    <w:p>
      <w:pPr>
        <w:pStyle w:val="Heading2"/>
        <w:keepNext/>
      </w:pPr>
      <w:r>
        <w:t>I-6. Public Statement — Alternative Access and Accommodation</w:t>
      </w:r>
    </w:p>
    <w:p>
      <w:pPr>
        <w:pStyle w:val="ClauseText"/>
        <w:keepNext/>
        <w:keepLines/>
      </w:pPr>
      <w:r>
        <w:t>[COMPANY] will work in good faith to provide the requested information, transaction, or service through an accessible alternative while a barrier is investigated, where reasonably available. Contact [CHANNEL] for immediate assistance with [HIGH-PRIORITY TASKS]. The alternative should be timely, private, usable, and without an added fee or materially inferior terms.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Design task-specific alternatives for checkout, account access, applications, scheduling, legal notices, and time-sensitive content. A phone number alone may not be equivalent.</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nominal alternative that delays or changes the service may not provide meaningful access.</w:t>
            </w:r>
          </w:p>
        </w:tc>
      </w:tr>
    </w:tbl>
    <w:p/>
    <w:p>
      <w:pPr>
        <w:pStyle w:val="Heading2"/>
        <w:keepNext/>
      </w:pPr>
      <w:r>
        <w:t>I-7. Public Statement — Response Targets</w:t>
      </w:r>
    </w:p>
    <w:p>
      <w:pPr>
        <w:pStyle w:val="ClauseText"/>
        <w:keepNext/>
        <w:keepLines/>
      </w:pPr>
      <w:r>
        <w:t>[COMPANY] aims to acknowledge accessibility feedback within [●] business days, provide urgent task assistance within [●], and give a status update within [●]. These are service targets, not guarantees. Reports are prioritized based on blocked tasks, safety, privacy, transaction importance, number of affected users, and availability of an alternative.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Publish only targets the response team can meet. Provide an urgent path for essential or time-sensitive tasks.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Unrealistic public service levels can become a repeated consumer promise the company fails to meet.</w:t>
            </w:r>
          </w:p>
        </w:tc>
      </w:tr>
    </w:tbl>
    <w:p/>
    <w:p>
      <w:pPr>
        <w:pStyle w:val="Heading2"/>
        <w:keepNext/>
      </w:pPr>
      <w:r>
        <w:t>I-8. Public Statement — Privacy and Non-Retaliation</w:t>
      </w:r>
    </w:p>
    <w:p>
      <w:pPr>
        <w:pStyle w:val="ClauseText"/>
        <w:keepNext/>
        <w:keepLines/>
      </w:pPr>
      <w:r>
        <w:t>Accessibility feedback and accommodation information will be used to respond, remediate, operate the accessibility program, comply with law, and protect rights under [PRIVACY NOTICE]. [COMPANY] will not retaliate against a person for good-faith feedback or an accessibility request. Sensitive disability or account information should be shared only through the designated secure channel when necessary.</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Apply least-privilege access and a retention schedule. Keep accessibility cases out of public support tickets.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Accommodation records may contain sensitive personal and account information.</w:t>
            </w:r>
          </w:p>
        </w:tc>
      </w:tr>
    </w:tbl>
    <w:p/>
    <w:p>
      <w:pPr>
        <w:pStyle w:val="Heading2"/>
        <w:keepNext/>
      </w:pPr>
      <w:r>
        <w:t>I-9. Public Statement — Updates and Contact</w:t>
      </w:r>
    </w:p>
    <w:p>
      <w:pPr>
        <w:pStyle w:val="ClauseText"/>
        <w:keepNext/>
        <w:keepLines/>
      </w:pPr>
      <w:r>
        <w:t>This statement is effective [DATE], version [●], and will be reviewed at least [ANNUALLY / FREQUENCY] and after material changes to scope, benchmark, test results, contact routes, or known limitations. The canonical statement is located at [URL]. Questions about this statement may be directed to [ROLE/CHANNEL].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Assign an owner and automate link/contact testing. Archive previous versions and supporting assessment evidence.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stale statement may misdescribe the present experience and reporting route.</w:t>
            </w:r>
          </w:p>
        </w:tc>
      </w:tr>
    </w:tbl>
    <w:p/>
    <w:p>
      <w:pPr>
        <w:pStyle w:val="Heading2"/>
        <w:keepNext/>
      </w:pPr>
      <w:r>
        <w:t>II-1. Internal Plan — Governance and Accountability</w:t>
      </w:r>
    </w:p>
    <w:p>
      <w:pPr>
        <w:pStyle w:val="ClauseText"/>
        <w:keepNext/>
        <w:keepLines/>
      </w:pPr>
      <w:r>
        <w:t>The executive owner [TITLE] is accountable for the accessibility program. [ACCESSIBILITY LEAD] maintains standards, inventory, testing, issue intake, metrics, training, and the public statement. Product, engineering, design, content, procurement, legal, privacy, customer support, and vendors own the controls assigned in the RACI. Material exceptions and overdue critical barriers require escalation to [COMMITTEE/EXECUTIVE].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Name decision rights and budget authority, not just advisors. Integrate with existing product and compliance governance.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Diffuse ownership produces recurring barriers and no defensible remediation record.</w:t>
            </w:r>
          </w:p>
        </w:tc>
      </w:tr>
    </w:tbl>
    <w:p/>
    <w:p>
      <w:pPr>
        <w:pStyle w:val="Heading2"/>
        <w:keepNext/>
      </w:pPr>
      <w:r>
        <w:t>II-2. Internal Plan — Inventory and Baseline</w:t>
      </w:r>
    </w:p>
    <w:p>
      <w:pPr>
        <w:pStyle w:val="ClauseText"/>
        <w:keepNext/>
        <w:keepLines/>
      </w:pPr>
      <w:r>
        <w:t>Maintain a risk-ranked inventory of customer and applicant websites, mobile applications, authenticated portals, transaction flows, downloadable documents, videos, kiosks, emails, chat, and material third-party integrations. For each asset record owner, user population, essential tasks, technologies, standard, last assessment, known barriers, vendor, release cadence, and retirement date. Establish a documented baseline before claiming conformance.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Begin with essential journeys and high-traffic assets. Include content repositories and PDFs, not only page templates.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Testing a homepage does not establish accessibility of checkout, portals, forms, or documents.</w:t>
            </w:r>
          </w:p>
        </w:tc>
      </w:tr>
    </w:tbl>
    <w:p/>
    <w:p>
      <w:pPr>
        <w:pStyle w:val="Heading2"/>
        <w:keepNext/>
      </w:pPr>
      <w:r>
        <w:t>II-3. Internal Plan — Testing Methodology</w:t>
      </w:r>
    </w:p>
    <w:p>
      <w:pPr>
        <w:pStyle w:val="ClauseText"/>
        <w:keepNext/>
        <w:keepLines/>
      </w:pPr>
      <w:r>
        <w:t>The assessment protocol combines automated scans, keyboard-only review, screen-reader testing, visual/zoom and contrast review, form and error-state testing, responsive/mobile testing, document/media review, code inspection, and, where appropriate, usability testing with people with disabilities. Record browsers, devices, assistive technologies, versions, sample selection, tester qualifications, limitations, and reproducible evidence.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representative sampling and when 100% testing is required. Automated scans are one input and cannot establish overall conformance.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Automated-only programs systematically miss task, semantics, focus, and usability barriers.</w:t>
            </w:r>
          </w:p>
        </w:tc>
      </w:tr>
    </w:tbl>
    <w:p/>
    <w:p>
      <w:pPr>
        <w:pStyle w:val="Heading2"/>
        <w:keepNext/>
      </w:pPr>
      <w:r>
        <w:t>II-4. Internal Plan — Severity and Remediation Targets</w:t>
      </w:r>
    </w:p>
    <w:p>
      <w:pPr>
        <w:pStyle w:val="ClauseText"/>
        <w:keepNext/>
        <w:keepLines/>
      </w:pPr>
      <w:r>
        <w:t>Classify barriers based on blocked essential task, safety, privacy, financial or legal consequence, availability and quality of alternative access, user reach, recurrence, and technical standard impact. Critical barriers require immediate alternative access and [●]-day remediation or executive exception; high, medium, and low targets are [●], [●], and [●]. The issue record must include root cause, owner, fix, retest, deployment, and residual risk.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accessibility impact rather than only software defect priority. Track SLA pauses and dependencies transparently.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Low engineering priority can still represent severe exclusion for users.</w:t>
            </w:r>
          </w:p>
        </w:tc>
      </w:tr>
    </w:tbl>
    <w:p/>
    <w:p>
      <w:pPr>
        <w:pStyle w:val="Heading2"/>
        <w:keepNext/>
      </w:pPr>
      <w:r>
        <w:t>II-5. Internal Plan — Design and Development Controls</w:t>
      </w:r>
    </w:p>
    <w:p>
      <w:pPr>
        <w:pStyle w:val="ClauseText"/>
        <w:keepNext/>
        <w:keepLines/>
      </w:pPr>
      <w:r>
        <w:t>Approved design-system components, semantic patterns, focus management, keyboard operation, labels, instructions, error handling, color, motion, media alternatives, responsive reflow, and content structure are required acceptance criteria. Accessibility checks occur at design review, story definition, code review, component testing, QA, and release. Teams may not waive a failed essential-task test through an ordinary product exception.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Encode accessible components and tests into the delivery system. Require regression tests for prior barriers.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Late manual review is costly and allows inaccessible patterns to multiply.</w:t>
            </w:r>
          </w:p>
        </w:tc>
      </w:tr>
    </w:tbl>
    <w:p/>
    <w:p>
      <w:pPr>
        <w:pStyle w:val="Heading2"/>
        <w:keepNext/>
      </w:pPr>
      <w:r>
        <w:t>II-6. Internal Plan — Content, Documents, and Media</w:t>
      </w:r>
    </w:p>
    <w:p>
      <w:pPr>
        <w:pStyle w:val="ClauseText"/>
        <w:keepNext/>
        <w:keepLines/>
      </w:pPr>
      <w:r>
        <w:t>Content owners must use heading structure, descriptive links, text alternatives, accessible tables, plain instructions, captions, transcripts, audio description where needed, accessible document templates, and validated export processes. Legacy content is prioritized by legal significance, traffic, essential task, complaint history, and planned retirement. A contact route and equivalent format must be available while remediation is pending.</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Provide authoring checklists and approved Word/PDF/video workflows. Test final published output, not only source files.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Accessible site chrome does not cure inaccessible contracts, notices, menus, or instructional media.</w:t>
            </w:r>
          </w:p>
        </w:tc>
      </w:tr>
    </w:tbl>
    <w:p/>
    <w:p>
      <w:pPr>
        <w:pStyle w:val="Heading2"/>
        <w:keepNext/>
      </w:pPr>
      <w:r>
        <w:t>II-7. Internal Plan — Procurement and Vendor Management</w:t>
      </w:r>
    </w:p>
    <w:p>
      <w:pPr>
        <w:pStyle w:val="ClauseText"/>
        <w:keepNext/>
        <w:keepLines/>
      </w:pPr>
      <w:r>
        <w:t>Before acquisition or renewal, procurement must obtain accessibility representations, a current conformance report or equivalent evidence, known limitations, remediation roadmap, testing rights, cooperation duties, incident/complaint routing, change notice, indemnity and remedy terms appropriate to risk, and exit or substitute-access plans. Business owners must validate essential tasks rather than relying solely on vendor marketing.</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Scale diligence to user criticality and leverage. Include implementation, configuration, and content responsibilities.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vendor attestation does not prove the configured customer journey is accessible.</w:t>
            </w:r>
          </w:p>
        </w:tc>
      </w:tr>
    </w:tbl>
    <w:p/>
    <w:p>
      <w:pPr>
        <w:pStyle w:val="Heading2"/>
        <w:keepNext/>
      </w:pPr>
      <w:r>
        <w:t>II-8. Internal Plan — Release Gate and Exceptions</w:t>
      </w:r>
    </w:p>
    <w:p>
      <w:pPr>
        <w:pStyle w:val="ClauseText"/>
        <w:keepNext/>
        <w:keepLines/>
      </w:pPr>
      <w:r>
        <w:t>A release affecting an essential task cannot proceed with an unresolved critical accessibility barrier unless the executive exception owner approves a written time-limited exception stating impact, affected users, alternative access, remediation owner/date, communications, monitoring, and legal review. Exceptions expire automatically and must be reapproved. Emergency releases require prompt retrospective testing.</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Integrate with release tickets and deployment controls. Report exception age and recurrence to leadership.</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Permanent, undocumented exceptions convert temporary risk into program design.</w:t>
            </w:r>
          </w:p>
        </w:tc>
      </w:tr>
    </w:tbl>
    <w:p/>
    <w:p>
      <w:pPr>
        <w:pStyle w:val="Heading2"/>
        <w:keepNext/>
      </w:pPr>
      <w:r>
        <w:t>II-9. Internal Plan — Feedback and Case Handling</w:t>
      </w:r>
    </w:p>
    <w:p>
      <w:pPr>
        <w:pStyle w:val="ClauseText"/>
        <w:keepNext/>
        <w:keepLines/>
      </w:pPr>
      <w:r>
        <w:t>All accessibility contacts route to a trained queue with a case number, urgency field, task-assistance path, privacy controls, acknowledgment, ownership, status communications, and closure confirmation. Support must first help the person complete the task, then preserve reproducible information and link the case to the engineering/content issue. Good-faith complaints must not be challenged or conditioned on legal release.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Provide scripts without making agents diagnose disabilities. Allow anonymous feedback where feasible and escalate threatened harm or legal process.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Treating feedback as ordinary technical support can miss accommodation and legal urgency.</w:t>
            </w:r>
          </w:p>
        </w:tc>
      </w:tr>
    </w:tbl>
    <w:p/>
    <w:p>
      <w:pPr>
        <w:pStyle w:val="Heading2"/>
        <w:keepNext/>
      </w:pPr>
      <w:r>
        <w:t>II-10. Internal Plan — Training</w:t>
      </w:r>
    </w:p>
    <w:p>
      <w:pPr>
        <w:pStyle w:val="ClauseText"/>
        <w:keepNext/>
        <w:keepLines/>
      </w:pPr>
      <w:r>
        <w:t>Role-based training is required at onboarding and [ANNUALLY] for designers, engineers, QA, product, content, procurement, support, legal, and managers. Training includes practical exercises and is updated after material standard, technology, process, or enforcement developments. Completion alone is not proficiency; teams must demonstrate control performance through work-product review and testing.</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role-specific labs and refreshers. Track contractors and vendor teams with release access.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Generic awareness training does not create accessible design or testing capability.</w:t>
            </w:r>
          </w:p>
        </w:tc>
      </w:tr>
    </w:tbl>
    <w:p/>
    <w:p>
      <w:pPr>
        <w:pStyle w:val="Heading2"/>
        <w:keepNext/>
      </w:pPr>
      <w:r>
        <w:t>II-11. Internal Plan — Metrics, Evidence, and Audit</w:t>
      </w:r>
    </w:p>
    <w:p>
      <w:pPr>
        <w:pStyle w:val="ClauseText"/>
        <w:keepNext/>
        <w:keepLines/>
      </w:pPr>
      <w:r>
        <w:t>Maintain evidence of inventory coverage, assessment scope, barrier age and severity, remediation and retest, essential-task pass rates, release exceptions, vendor status, feedback response and alternate access, training, statement versions, and recurring root causes. Leadership receives [MONTHLY/QUARTERLY] trend reports. Legal directs privilege only where appropriate; ordinary operational evidence remains accurate and usable.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Measure outcomes and recurrence, not just issue counts. Audit a sample of closed items and live experiences.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Closing tickets without deployment evidence produces false assurance.</w:t>
            </w:r>
          </w:p>
        </w:tc>
      </w:tr>
    </w:tbl>
    <w:p/>
    <w:p>
      <w:pPr>
        <w:pStyle w:val="Heading2"/>
        <w:keepNext/>
      </w:pPr>
      <w:r>
        <w:t>II-12. Internal Plan — Legal and Specialist Review</w:t>
      </w:r>
    </w:p>
    <w:p>
      <w:pPr>
        <w:pStyle w:val="ClauseText"/>
        <w:keepNext/>
        <w:keepLines/>
      </w:pPr>
      <w:r>
        <w:t>Legal will review the public statement, material scope changes, high-risk exceptions, threatened claims, regulated-sector obligations, procurement language, and current federal, state, local, and contractual requirements. Accessibility specialists validate testing methodology and technical interpretation. The selected benchmark is a control framework and does not replace jurisdiction-specific legal analysis.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Recheck current law and circuit/state developments before publication or major release. Identify public-accommodation, employment, government-contract, education, healthcare, financial, and international overlays.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Accessibility obligations and technical standards evolve; a static template cannot resolve the legal classification.</w:t>
            </w:r>
          </w:p>
        </w:tc>
      </w:tr>
    </w:tbl>
    <w:p/>
    <w:p>
      <w:pPr>
        <w:pStyle w:val="Heading1"/>
      </w:pPr>
      <w:r>
        <w:t>3. Required Schedules and Closing Tools</w:t>
      </w:r>
    </w:p>
    <w:p>
      <w:pPr>
        <w:pStyle w:val="Heading2"/>
      </w:pPr>
      <w:r>
        <w:t>Schedule 1 — Public Statement Facts and Approval</w:t>
      </w:r>
    </w:p>
    <w:p>
      <w:pPr>
        <w:keepNext/>
      </w:pPr>
      <w:r>
        <w:t>Every public factual claim requires current evidence; delete unsupported status language.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Statement fact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Verified wording</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Evidence / test date</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Approver</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Covered properties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Inventory / [date]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Business + legal</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Benchmark / status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Assessment / [date]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Accessibility lead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Known limitations / alternatives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Issue records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Product/support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Contact / response targets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Channel test / staffing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Support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Effective/version 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Archive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Legal</w:t>
            </w:r>
          </w:p>
        </w:tc>
      </w:tr>
    </w:tbl>
    <w:p/>
    <w:p>
      <w:pPr>
        <w:pStyle w:val="Heading2"/>
      </w:pPr>
      <w:r>
        <w:t>Schedule 2 — Digital Asset Inventory</w:t>
      </w:r>
    </w:p>
    <w:p>
      <w:pPr>
        <w:keepNext/>
      </w:pPr>
      <w:r>
        <w:t>Inventory task flows and artifacts, not just domains.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Asset / essential task</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 / users</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Standard / last test</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Risk / next action</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[Website / checkout]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[Portal / account]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[Mobile app]</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[Documents/media]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[Third-party integration]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Barrier and Remediation Record</w:t>
      </w:r>
    </w:p>
    <w:p>
      <w:pPr>
        <w:keepNext/>
      </w:pPr>
      <w:r>
        <w:t>Closure requires live retest and deployment evidence, not code completion alone.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Barrier / standard</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User/task impact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 / target</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Fix, retest, deploy, closure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[Issue ID]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Alternative access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[method / quality]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[owner / immediate]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Root cause / variants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[analysis]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Regression control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[test]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Residual risk / exception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[executive / expiry]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[approval]</w:t>
            </w:r>
          </w:p>
        </w:tc>
      </w:tr>
    </w:tbl>
    <w:p/>
    <w:p>
      <w:pPr>
        <w:pStyle w:val="Heading2"/>
      </w:pPr>
      <w:r>
        <w:t>Schedule 4 — Procurement, Release, and Exception Matrix</w:t>
      </w:r>
    </w:p>
    <w:p>
      <w:pPr>
        <w:keepNext/>
      </w:pPr>
      <w:r>
        <w:t>Make these gates part of procurement and deployment systems rather than an offline checklist.</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Minimum evidence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Decision owner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Escalation / expiry</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Vendor selection/renewal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Conformance evidence + task test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Procurement/business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Legal for material gaps</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Design/code review</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Acceptance criteria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Product/engineering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Accessibility lead</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Pre-release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Essential-task test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Release owner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Executive for critical barrier</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Exception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Impact, alternative, owner/date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Executive + legal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Automatic expiry</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Post-release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Monitoring + feedback</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Product/support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Remediation SLA</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Public conformance language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Verified, dated, scope-specific status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“Fully ADA compliant” without evidence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Assessment and approval record</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Alternative access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Timely and equivalent for essential task</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Phone-only or inferior route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Task-specific support test</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Vendor reliance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Evidence, contract duties, testing, exit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Unverified VPAT/marketing statement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Configured-task validation</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Release exception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Time-limited executive decision with alternative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Permanent informal waiver</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Expiry and metrics</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Checkout blocks keyboard user</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Provide immediate equivalent purchase route; open critical issue</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wait for routine backlog</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Vendor widget has inaccessible CAPTCHA</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Activate alternative, escalate vendor, assess replacement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disclaim as third-party only</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Audit finds partial—not full—conformance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truthful scope/date/limitation wording</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publish absolute compliance claim</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Critical hotfix bypasses testing</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Allow only emergency path; conduct prompt retrospective test</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Track regression and corrective action</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User reports barrier without technical details</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Assist task and investigate; do not require diagnosis or expert reproduction</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Keep feedback accessible and respectful</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ADA Title III</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DOJ guidance and applicable federal case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Accessibility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Whether and how public-accommodation duties apply</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State/local law</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eligible-jurisdiction statutes and cases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Local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Independent and broader digital-access requirements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Technical standard</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WCAG/sector standard and testing practice</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Qualified accessibility specialist</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Benchmark selection and actual conformance</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Contracts/sector/privacy</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Customer, procurement, government, employment, privacy and regulated-sector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Relevant 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Scope, evidence, accommodations, data handling</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Complete a risk-ranked asset and essential-task inventory</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Select a benchmark and document assessment scope, methods, technologies, dates, and limitations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Use only verified public conformance and known-limitation statements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Test every feedback and alternative-access route; train and staff the response queue</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remediation SLAs, live retest, release gates, time-limited exceptions, and metrics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Add accessibility diligence and remedies to material vendor procurement and renewal</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Complete current federal/state/sector and technical-specialist review; approve and archive the public statement version</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Consumer-Facing Website Accessibility Statement and Remediation Governance Plan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EF-064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Consumer-Facing Website Accessibility Statement and Remediation Governance Plan</dc:title>
  <dc:subject>Original entrepreneur legal practitioner master for study and matter-specific drafting</dc:subject>
  <dc:creator>Montague Entrepreneur Forms</dc:creator>
  <cp:keywords>EF-064,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