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Bug Bounty Program Terms and Researcher Participation Agreement</w:t>
      </w:r>
    </w:p>
    <w:p>
      <w:r>
        <w:rPr>
          <w:rFonts w:ascii="Calibri" w:hAnsi="Calibri" w:eastAsia="Calibri"/>
          <w:b w:val="0"/>
          <w:i w:val="0"/>
          <w:color w:val="5B6573"/>
          <w:sz w:val="24"/>
        </w:rPr>
        <w:t>A controlled reward-program agreement for eligible security research, with scoped authorization, severity and bounty rules, duplicate treatment, coordinated disclosure, payment compliance, and closure records.</w:t>
      </w:r>
    </w:p>
    <w:tbl>
      <w:tblPr>
        <w:tblStyle w:val="TableGrid"/>
        <w:tblW w:type="dxa" w:w="9360"/>
        <w:jc w:val="left"/>
        <w:tblLayout w:type="fixed"/>
        <w:tblLook w:firstColumn="1" w:firstRow="1" w:lastColumn="0" w:lastRow="0" w:noHBand="0" w:noVBand="1" w:val="04A0"/>
        <w:tblInd w:w="120" w:type="dxa"/>
      </w:tblPr>
      <w:tblGrid>
        <w:gridCol w:w="1500"/>
        <w:gridCol w:w="3180"/>
        <w:gridCol w:w="1500"/>
        <w:gridCol w:w="3180"/>
      </w:tblGrid>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FORM ID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EF-063</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VERSION</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3.0.0</w:t>
            </w:r>
          </w:p>
        </w:tc>
      </w:tr>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STATUS</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Practitioner master</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PREPARED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2026-08-28</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IMPORTANT — NOT EXECUTION-READY.  </w:t>
            </w:r>
            <w:r>
              <w:rPr>
                <w:rFonts w:ascii="Calibri" w:hAnsi="Calibri" w:eastAsia="Calibri"/>
                <w:b w:val="0"/>
                <w:i w:val="0"/>
                <w:color w:val="111111"/>
                <w:sz w:val="21"/>
              </w:rPr>
              <w:t>This original practitioner master is for study and drafting. Complete verified facts, select and delete alternatives, reconcile every schedule and related workflow, update law and technical standards, obtain relevant specialist review, and secure responsible-lawyer approval before use. It is not legal advice and does not establish that a matter complies with law.</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D9EAF7"/>
          </w:tcPr>
          <w:p>
            <w:r>
              <w:rPr>
                <w:rFonts w:ascii="Calibri" w:hAnsi="Calibri" w:eastAsia="Calibri"/>
                <w:b/>
                <w:i w:val="0"/>
                <w:color w:val="17365D"/>
                <w:sz w:val="21"/>
              </w:rPr>
              <w:t xml:space="preserve">MODULE CONTROL.  </w:t>
            </w:r>
            <w:r>
              <w:rPr>
                <w:rFonts w:ascii="Calibri" w:hAnsi="Calibri" w:eastAsia="Calibri"/>
                <w:b w:val="0"/>
                <w:i w:val="0"/>
                <w:color w:val="111111"/>
                <w:sz w:val="21"/>
              </w:rPr>
              <w:t>Use only after a functioning vulnerability disclosure and remediation process exists. These terms create a conditional opportunity to earn a reward; they do not promise payment for every report. The reward matrix, asset registry, finance approvals, sanctions screening, and disclosure process must be completed before launch.</w:t>
            </w:r>
          </w:p>
        </w:tc>
      </w:tr>
    </w:tbl>
    <w:p/>
    <w:p>
      <w:pPr>
        <w:pStyle w:val="Heading1"/>
      </w:pPr>
      <w:r>
        <w:t>1. Matter Control Sheet</w:t>
      </w:r>
    </w:p>
    <w:tbl>
      <w:tblPr>
        <w:tblStyle w:val="TableGrid"/>
        <w:tblW w:type="dxa" w:w="9360"/>
        <w:jc w:val="left"/>
        <w:tblLayout w:type="fixed"/>
        <w:tblLook w:firstColumn="1" w:firstRow="1" w:lastColumn="0" w:lastRow="0" w:noHBand="0" w:noVBand="1" w:val="04A0"/>
        <w:tblInd w:w="120" w:type="dxa"/>
      </w:tblPr>
      <w:tblGrid>
        <w:gridCol w:w="2600"/>
        <w:gridCol w:w="6760"/>
      </w:tblGrid>
      <w:tr>
        <w:trPr>
          <w:trHeight w:hRule="atLeast"/>
          <w:tblHeader w:val="true"/>
          <w:cantSplit/>
        </w:trPr>
        <w:tc>
          <w:tcPr>
            <w:tcW w:type="dxa" w:w="2600"/>
            <w:shd w:fill="F2F4F7"/>
            <w:vAlign w:val="top"/>
            <w:tcMar>
              <w:top w:w="80" w:type="dxa"/>
              <w:bottom w:w="80" w:type="dxa"/>
              <w:start w:w="120" w:type="dxa"/>
              <w:end w:w="120" w:type="dxa"/>
            </w:tcMar>
          </w:tcPr>
          <w:p>
            <w:r>
              <w:rPr>
                <w:rFonts w:ascii="Calibri" w:hAnsi="Calibri" w:eastAsia="Calibri"/>
                <w:b/>
                <w:i w:val="0"/>
                <w:color w:val="17365D"/>
                <w:sz w:val="18"/>
              </w:rPr>
              <w:t>Matter variable</w:t>
            </w:r>
          </w:p>
        </w:tc>
        <w:tc>
          <w:tcPr>
            <w:tcW w:type="dxa" w:w="6760"/>
            <w:shd w:fill="F2F4F7"/>
            <w:vAlign w:val="top"/>
            <w:tcMar>
              <w:top w:w="80" w:type="dxa"/>
              <w:bottom w:w="80" w:type="dxa"/>
              <w:start w:w="120" w:type="dxa"/>
              <w:end w:w="120" w:type="dxa"/>
            </w:tcMar>
          </w:tcPr>
          <w:p>
            <w:r>
              <w:rPr>
                <w:rFonts w:ascii="Calibri" w:hAnsi="Calibri" w:eastAsia="Calibri"/>
                <w:b/>
                <w:i w:val="0"/>
                <w:color w:val="17365D"/>
                <w:sz w:val="18"/>
              </w:rPr>
              <w:t>Required completion</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Program operator</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[FULL LEGAL NAME / PLATFORM ADMINISTRATOR]</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VDP / program URL</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[CANONICAL URL]</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Eligible researchers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[AGE / TERRITORY / EMPLOYEE-VENDOR EXCLUSIONS]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In-scope assets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[SCHEDULE 1]</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Maximum authorized reward</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 PER REPORT / $[●] PROGRAM CAP</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Severity method</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[CURRENT CVSS + BUSINESS CONTEXT]</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Payment process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[PLATFORM / AP / TAX / IDENTITY / SANCTIONS FLOW]</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Disclosure posture</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[PRESUMPTIVE WINDOW / COMPANY WRITTEN APPROVAL]</w:t>
            </w:r>
          </w:p>
        </w:tc>
      </w:tr>
    </w:tbl>
    <w:p/>
    <w:p>
      <w:pPr>
        <w:pStyle w:val="Heading1"/>
      </w:pPr>
      <w:r>
        <w:t>2. Operative Form</w:t>
      </w:r>
    </w:p>
    <w:p>
      <w:pPr>
        <w:pStyle w:val="Heading2"/>
        <w:keepNext/>
      </w:pPr>
      <w:r>
        <w:t>1. Program and Acceptance</w:t>
      </w:r>
    </w:p>
    <w:p>
      <w:pPr>
        <w:pStyle w:val="ClauseText"/>
        <w:keepNext/>
        <w:keepLines/>
      </w:pPr>
      <w:r>
        <w:t>These Bug Bounty Program Terms govern participation in [PROGRAM] operated by [COMPANY]. A researcher accepts them by submitting a report, requesting a bounty determination, or continuing program-specific testing after notice. The current published version controls future testing; the version in effect when conduct occurred controls that conduct unless the parties agree otherwise.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Capture assent and version evidence. If a platform administers the program, reconcile platform terms and specify priority.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Unclear assent weakens authorization, confidentiality, and reward decisions.</w:t>
            </w:r>
          </w:p>
        </w:tc>
      </w:tr>
    </w:tbl>
    <w:p/>
    <w:p>
      <w:pPr>
        <w:pStyle w:val="Heading2"/>
        <w:keepNext/>
      </w:pPr>
      <w:r>
        <w:t>2. Eligibility</w:t>
      </w:r>
    </w:p>
    <w:p>
      <w:pPr>
        <w:pStyle w:val="ClauseText"/>
        <w:keepNext/>
        <w:keepLines/>
      </w:pPr>
      <w:r>
        <w:t>A participant must be at least [18 / AGE], legally able to contract, not located in or ordinarily resident in a prohibited jurisdiction, not subject to sanctions that bar payment, and not an employee or recent employee of Company or a party with conflicting access unless expressly approved. A participant may be asked for proportionate identity, tax, and payment information after a potentially reward-eligible report is validated.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Address minors, teams, pseudonyms, government employees, contractors, insiders, embargoed locations, and platform eligibility. Defer sensitive KYC collection until necessary.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Eligibility defects can make payment unlawful or reward privileged access.</w:t>
            </w:r>
          </w:p>
        </w:tc>
      </w:tr>
    </w:tbl>
    <w:p/>
    <w:p>
      <w:pPr>
        <w:pStyle w:val="Heading2"/>
        <w:keepNext/>
      </w:pPr>
      <w:r>
        <w:t>3. In-Scope Assets</w:t>
      </w:r>
    </w:p>
    <w:p>
      <w:pPr>
        <w:pStyle w:val="ClauseText"/>
        <w:keepNext/>
        <w:keepLines/>
      </w:pPr>
      <w:r>
        <w:t>Only the exact assets and versions in the Scope Register are eligible for authorization and rewards. Scope may specify production or sandbox, test accounts, geographic endpoints, APIs, mobile builds, hardware, AI interfaces, or source repositories. Related names, subdomains, acquisitions, customers, vendors, and third-party integrations are excluded unless affirmatively listed.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Version and date every asset; state testing windows and owner. Announce removals prospectively unless urgent safety requires immediate suspension.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Overbroad scope can expose third parties and create uncapped reward expectations.</w:t>
            </w:r>
          </w:p>
        </w:tc>
      </w:tr>
    </w:tbl>
    <w:p/>
    <w:p>
      <w:pPr>
        <w:pStyle w:val="Heading2"/>
        <w:keepNext/>
      </w:pPr>
      <w:r>
        <w:t>4. Conditional Authorization</w:t>
      </w:r>
    </w:p>
    <w:p>
      <w:pPr>
        <w:pStyle w:val="ClauseText"/>
        <w:keepNext/>
        <w:keepLines/>
      </w:pPr>
      <w:r>
        <w:t>Company authorizes only the minimum good-faith research reasonably necessary to identify and demonstrate an eligible vulnerability on an in-scope asset, provided the participant follows these Terms, uses permitted methods, avoids harm and prohibited access, promptly reports, protects information, and coordinates disclosure. Company will not initiate or recommend legal action based solely on compliant research, but cannot bind third parties or grant immunity.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Align with the public VDP and applicable access/anti-circumvention law. Explain how good-faith mistakes are escalated and cured.</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Reward terms without a clear authorization boundary increase researcher and company risk.</w:t>
            </w:r>
          </w:p>
        </w:tc>
      </w:tr>
    </w:tbl>
    <w:p/>
    <w:p>
      <w:pPr>
        <w:pStyle w:val="Heading2"/>
        <w:keepNext/>
      </w:pPr>
      <w:r>
        <w:t>5. Testing Rules</w:t>
      </w:r>
    </w:p>
    <w:p>
      <w:pPr>
        <w:pStyle w:val="ClauseText"/>
        <w:keepNext/>
        <w:keepLines/>
      </w:pPr>
      <w:r>
        <w:t>Use only accounts and data the participant owns or Company expressly designates. Stop once minimum proof is obtained. Do not pivot, persist, exfiltrate, modify records, degrade service, evade rate limits, access another user’s data, use stolen credentials, conduct social engineering, threaten disclosure, or demand payment. Automated testing must remain within [RATE] and any written asset-specific limit.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Tailor to system capacity and include safe AI, hardware, mobile, physical, or supply-chain methods if relevant. Provide an emergency stop contact.</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Uncontrolled testing can itself become an incident or extortion concern.</w:t>
            </w:r>
          </w:p>
        </w:tc>
      </w:tr>
    </w:tbl>
    <w:p/>
    <w:p>
      <w:pPr>
        <w:pStyle w:val="Heading2"/>
        <w:keepNext/>
      </w:pPr>
      <w:r>
        <w:t>6. Report Requirements</w:t>
      </w:r>
    </w:p>
    <w:p>
      <w:pPr>
        <w:pStyle w:val="ClauseText"/>
        <w:keepNext/>
        <w:keepLines/>
      </w:pPr>
      <w:r>
        <w:t>A report must be original to the participant, submitted through [CHANNEL], and include affected asset/version, prerequisites, reproducible steps, minimum proof, security impact, timestamps, relevant account identifiers, and any known exploitation or prior disclosure. The participant must reasonably assist with clarification and controlled retesting. A report lacking enough information may be held pending completion or closed without reward.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structured fields and secure evidence upload. Define team-submission and report-splitting rules.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Incomplete reports waste triage capacity and create disputes over discovery priority.</w:t>
            </w:r>
          </w:p>
        </w:tc>
      </w:tr>
    </w:tbl>
    <w:p/>
    <w:p>
      <w:pPr>
        <w:pStyle w:val="Heading2"/>
        <w:keepNext/>
      </w:pPr>
      <w:r>
        <w:t>7. Eligible Vulnerability</w:t>
      </w:r>
    </w:p>
    <w:p>
      <w:pPr>
        <w:pStyle w:val="ClauseText"/>
        <w:keepNext/>
        <w:keepLines/>
      </w:pPr>
      <w:r>
        <w:t>A report is reward-eligible only if it demonstrates a previously unreported, reproducible vulnerability within scope that creates a material security impact, was discovered and tested in compliance, and is accepted by Company. Excluded categories and minimum evidence appear in the Reward Matrix. Company may recognize a novel chain or systemic weakness even if individual components would be lower severity.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List excluded low-impact categories and exceptions. Avoid describing every best-practice deviation as ineligible if combined impact matters.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Vague eligibility invites inconsistent decisions and gaming.</w:t>
            </w:r>
          </w:p>
        </w:tc>
      </w:tr>
    </w:tbl>
    <w:p/>
    <w:p>
      <w:pPr>
        <w:pStyle w:val="Heading2"/>
        <w:keepNext/>
      </w:pPr>
      <w:r>
        <w:t>8. Severity Determination</w:t>
      </w:r>
    </w:p>
    <w:p>
      <w:pPr>
        <w:pStyle w:val="ClauseText"/>
        <w:keepNext/>
        <w:keepLines/>
      </w:pPr>
      <w:r>
        <w:t>Company determines severity using [CURRENT CVSS VERSION] and business context, including exploitability, affected privileges and data, user interaction, asset criticality, safety, exploit maturity, compensating controls, and breadth. Company may adjust a score with a written rationale. The determination is for this Program only and is not an admission about legal materiality, breach, product defect, or public characterization.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Publish enough methodology for predictability, but preserve documented business-context judgment.</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Treating bounty severity as legal materiality can distort incident and disclosure decisions.</w:t>
            </w:r>
          </w:p>
        </w:tc>
      </w:tr>
    </w:tbl>
    <w:p/>
    <w:p>
      <w:pPr>
        <w:pStyle w:val="Heading2"/>
        <w:keepNext/>
      </w:pPr>
      <w:r>
        <w:t>9. Reward Matrix and Discretion</w:t>
      </w:r>
    </w:p>
    <w:p>
      <w:pPr>
        <w:pStyle w:val="ClauseText"/>
        <w:keepNext/>
        <w:keepLines/>
      </w:pPr>
      <w:r>
        <w:t>Subject to all conditions, Company expects to pay within the ranges in the Reward Matrix. The amount may reflect severity, report quality, exploit novelty, remediation value, scope tier, and participant cooperation. Company may award above the range for exceptional impact or below it only for a disclosed reason. No reward is earned until Company issues a written award notice and required payment checks are complete.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Set budget caps and decision authority. Avoid unlimited discretion; document deviations and platform fees.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An apparent unilateral promise may form a contract before internal approvals are ready.</w:t>
            </w:r>
          </w:p>
        </w:tc>
      </w:tr>
    </w:tbl>
    <w:p/>
    <w:p>
      <w:pPr>
        <w:pStyle w:val="Heading2"/>
        <w:keepNext/>
      </w:pPr>
      <w:r>
        <w:t>10. Duplicates; Collisions; Chained Findings</w:t>
      </w:r>
    </w:p>
    <w:p>
      <w:pPr>
        <w:pStyle w:val="ClauseText"/>
        <w:keepNext/>
        <w:keepLines/>
      </w:pPr>
      <w:r>
        <w:t>The earliest complete, compliant report that enables reproduction generally receives the reward. Later reports may be marked duplicate, but Company may award additional value for a materially distinct root cause, exploit path, affected asset, or impact not reasonably shown earlier. Related findings may be combined into one bounty when they arise from the same root cause; unrelated findings should not be artificially bundled.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timestamps, report completeness, known-issue evidence, team allocation, and public information treatment.</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Mechanical first-to-file rules can unfairly reward incomplete reports or suppress meaningful variants.</w:t>
            </w:r>
          </w:p>
        </w:tc>
      </w:tr>
    </w:tbl>
    <w:p/>
    <w:p>
      <w:pPr>
        <w:pStyle w:val="Heading2"/>
        <w:keepNext/>
      </w:pPr>
      <w:r>
        <w:t>11. Triage, Remediation, and Retesting</w:t>
      </w:r>
    </w:p>
    <w:p>
      <w:pPr>
        <w:pStyle w:val="ClauseText"/>
        <w:keepNext/>
        <w:keepLines/>
      </w:pPr>
      <w:r>
        <w:t>Company will acknowledge, triage, and communicate under the published targets, which are not guarantees. Company controls remediation sequencing and may impose temporary testing restrictions. Retesting requires written authorization and must use the specified build, account, and window. Closure requires documented disposition, reward decision, and disclosure status even if Company accepts residual risk.</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Integrate with product, incident, privacy, and change management. Do not condition all payment on full remediation if delay is within Company control.</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Unbounded remediation discretion can become an unfair pretext to defer payment.</w:t>
            </w:r>
          </w:p>
        </w:tc>
      </w:tr>
    </w:tbl>
    <w:p/>
    <w:p>
      <w:pPr>
        <w:pStyle w:val="Heading2"/>
        <w:keepNext/>
      </w:pPr>
      <w:r>
        <w:t>12. Coordinated Disclosure and Confidentiality</w:t>
      </w:r>
    </w:p>
    <w:p>
      <w:pPr>
        <w:pStyle w:val="ClauseText"/>
        <w:keepNext/>
        <w:keepLines/>
      </w:pPr>
      <w:r>
        <w:t>The participant must keep nonpublic vulnerability, Company, customer, and remediation information confidential until Company gives written disclosure approval or the agreed date arrives. Company will not unreasonably withhold coordination and will consider active exploitation, user safety, vendor dependencies, patch availability, and participant credit. Legal process and protected regulatory reporting are not prohibited, but advance notice should be given where lawful.</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presumptive timing, extensions, credit, CVE, conference talks, and deadlock escalation. Avoid indefinite secrecy.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Overbroad confidentiality can conflict with whistleblower or regulator rights and deter research.</w:t>
            </w:r>
          </w:p>
        </w:tc>
      </w:tr>
    </w:tbl>
    <w:p/>
    <w:p>
      <w:pPr>
        <w:pStyle w:val="Heading2"/>
        <w:keepNext/>
      </w:pPr>
      <w:r>
        <w:t>13. Payment, Tax, Identity, and Sanctions</w:t>
      </w:r>
    </w:p>
    <w:p>
      <w:pPr>
        <w:pStyle w:val="ClauseText"/>
        <w:keepNext/>
        <w:keepLines/>
      </w:pPr>
      <w:r>
        <w:t>Before payment, the recipient must provide accurate payment, identity, residency, and tax documentation reasonably required by Company or its provider and pass applicable sanctions and anti-fraud screening. The recipient is responsible for taxes except withholding required by law. Company may pay a verified team representative or allocate among verified members according to a signed instruction. Payment timing is [●] days after the award notice and completed onboarding.</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Coordinate with finance, accounts payable, privacy, platform, tax, and sanctions personnel. State currency, conversion date, fees, failed-payment process, and donation option if offered.</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Security teams should not improvise cross-border payments or retain KYC data informally.</w:t>
            </w:r>
          </w:p>
        </w:tc>
      </w:tr>
    </w:tbl>
    <w:p/>
    <w:p>
      <w:pPr>
        <w:pStyle w:val="Heading2"/>
        <w:keepNext/>
      </w:pPr>
      <w:r>
        <w:t>14. Researcher Materials and Intellectual Property</w:t>
      </w:r>
    </w:p>
    <w:p>
      <w:pPr>
        <w:pStyle w:val="ClauseText"/>
        <w:keepNext/>
        <w:keepLines/>
      </w:pPr>
      <w:r>
        <w:t>The participant retains ownership of original report materials and general tools. The participant grants Company a perpetual, worldwide, nonexclusive, royalty-free license to reproduce, analyze, test, modify for remediation, distribute internally and to affected providers, and use the report to protect systems and users. The participant represents that the report may be submitted and licensed without violating another obligation.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Do not claim ownership of general knowledge or tools. If exploit code transfers, define escrow, destruction, access, open-source components, and third-party licenses.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Overreaching assignment terms can deter participation and capture unrelated IP.</w:t>
            </w:r>
          </w:p>
        </w:tc>
      </w:tr>
    </w:tbl>
    <w:p/>
    <w:p>
      <w:pPr>
        <w:pStyle w:val="Heading2"/>
        <w:keepNext/>
      </w:pPr>
      <w:r>
        <w:t>15. Personal and Confidential Data</w:t>
      </w:r>
    </w:p>
    <w:p>
      <w:pPr>
        <w:pStyle w:val="ClauseText"/>
        <w:keepNext/>
        <w:keepLines/>
      </w:pPr>
      <w:r>
        <w:t>Do not intentionally access or retain another person’s data. If encountered, stop, collect only minimum evidence, submit securely, and follow deletion or preservation instructions. Do not include secrets in public tickets or ordinary email. Company will process participant data for program administration, security, payment, compliance, and legal purposes under [PRIVACY NOTICE] and the Retention Schedule.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Map researcher and affected-user data, cross-border transfer, platform roles, breach response, and retention.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Reports often contain live credentials or regulated information and require incident-grade handling.</w:t>
            </w:r>
          </w:p>
        </w:tc>
      </w:tr>
    </w:tbl>
    <w:p/>
    <w:p>
      <w:pPr>
        <w:pStyle w:val="Heading2"/>
        <w:keepNext/>
      </w:pPr>
      <w:r>
        <w:t>16. Prohibited Conduct and Disqualification</w:t>
      </w:r>
    </w:p>
    <w:p>
      <w:pPr>
        <w:pStyle w:val="ClauseText"/>
        <w:keepNext/>
        <w:keepLines/>
      </w:pPr>
      <w:r>
        <w:t>Company may disqualify a participant for material breach, intentional harm, false information, fraud, collusion, reward manipulation, extortion, unauthorized disclosure, sanctions evasion, or misuse of data. A good-faith scope mistake should be evaluated proportionately based on notice, harm, response, and cooperation. Company may suspend testing while investigating and must document a final disqualification decision.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Separate serious misconduct from curable mistakes. Define reviewer and appeal/escalation for material bounty denial.</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Unlimited disqualification undermines program trust and can conflict with the safe harbor.</w:t>
            </w:r>
          </w:p>
        </w:tc>
      </w:tr>
    </w:tbl>
    <w:p/>
    <w:p>
      <w:pPr>
        <w:pStyle w:val="Heading2"/>
        <w:keepNext/>
      </w:pPr>
      <w:r>
        <w:t>17. No Employment, Agency, Procurement, or Benefits</w:t>
      </w:r>
    </w:p>
    <w:p>
      <w:pPr>
        <w:pStyle w:val="ClauseText"/>
        <w:keepNext/>
        <w:keepLines/>
      </w:pPr>
      <w:r>
        <w:t>Participation is voluntary and independent. These Terms do not create employment, agency, partnership, joint venture, fiduciary, procurement, or recurring-services status; do not authorize the participant to act for Company; and provide no benefits, expense reimbursement, minimum work, or exclusivity. A reward compensates an accepted report under these Terms, not hours worked.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Review worker-classification and procurement rules where the company directs recurring research or engages an individual separately.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bounty program should not become a shadow consulting workforce.</w:t>
            </w:r>
          </w:p>
        </w:tc>
      </w:tr>
    </w:tbl>
    <w:p/>
    <w:p>
      <w:pPr>
        <w:pStyle w:val="Heading2"/>
        <w:keepNext/>
      </w:pPr>
      <w:r>
        <w:t>18. Program Changes, Suspension, and Termination</w:t>
      </w:r>
    </w:p>
    <w:p>
      <w:pPr>
        <w:pStyle w:val="ClauseText"/>
        <w:keepNext/>
        <w:keepLines/>
      </w:pPr>
      <w:r>
        <w:t>Company may change scope, reward ranges, or terms prospectively by publishing a new version, and may immediately suspend an asset or method to address credible safety or operational risk. Conduct completed before effective notice remains evaluated under the prior version. Termination does not eliminate confidentiality, IP, payment, data-protection, dispute, or record obligations for existing reports.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timestamps, notices, and platform synchronization. Avoid retroactive reward reductions.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Retroactive changes are unfair and can create contract disputes.</w:t>
            </w:r>
          </w:p>
        </w:tc>
      </w:tr>
    </w:tbl>
    <w:p/>
    <w:p>
      <w:pPr>
        <w:pStyle w:val="Heading2"/>
        <w:keepNext/>
      </w:pPr>
      <w:r>
        <w:t>19. Disputes; Award Review</w:t>
      </w:r>
    </w:p>
    <w:p>
      <w:pPr>
        <w:pStyle w:val="ClauseText"/>
        <w:keepNext/>
        <w:keepLines/>
      </w:pPr>
      <w:r>
        <w:t>A participant may request one written reconsideration within [15] days, identifying the disputed scope, duplicate, severity, eligibility, or payment issue. A reviewer not solely responsible for the original decision will issue a reasoned determination. Governing law, forum, arbitration, waiver, and fee terms apply only as completed in the Facts Card and reviewed for enforceability; protected legal or regulatory reports are not restricted.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lightweight appeal improves consistency. Tailor consumer/arbitration clauses to global researcher participation.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No-review systems magnify opaque or inconsistent bounty decisions.</w:t>
            </w:r>
          </w:p>
        </w:tc>
      </w:tr>
    </w:tbl>
    <w:p/>
    <w:p>
      <w:pPr>
        <w:pStyle w:val="Heading2"/>
        <w:keepNext/>
      </w:pPr>
      <w:r>
        <w:t>20. Records, Fraud Controls, and Clawback</w:t>
      </w:r>
    </w:p>
    <w:p>
      <w:pPr>
        <w:pStyle w:val="ClauseText"/>
        <w:keepNext/>
        <w:keepLines/>
      </w:pPr>
      <w:r>
        <w:t>Company will retain the applicable terms version, report, timestamps, scope, technical disposition, severity rationale, duplicate links, award decision, payment screening, disclosure approval, communications, and closure evidence under the Retention Schedule. Company may withhold or recover a reward obtained by material fraud or knowingly false information, subject to law and documented approval; remediation success alone does not create a clawback.</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retention, access, privilege, audit, litigation hold, and financial-control ownership.</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Incomplete records impede security learning, payment audit, and dispute defense.</w:t>
            </w:r>
          </w:p>
        </w:tc>
      </w:tr>
    </w:tbl>
    <w:p/>
    <w:p>
      <w:pPr>
        <w:pStyle w:val="Heading1"/>
      </w:pPr>
      <w:r>
        <w:t>3. Required Schedules and Closing Tools</w:t>
      </w:r>
    </w:p>
    <w:p>
      <w:pPr>
        <w:pStyle w:val="Heading2"/>
      </w:pPr>
      <w:r>
        <w:t>Schedule 1 — Asset Scope and Tier Register</w:t>
      </w:r>
    </w:p>
    <w:p>
      <w:pPr>
        <w:keepNext/>
      </w:pPr>
      <w:r>
        <w:t>Tie every reward range to a validated asset tier and environment.</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Asset / version</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Tier / owner</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Methods and rate</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Effective / expiry</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[Critical production asset]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[Tier 1 / owner]</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[test accounts / rate]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[date/date]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[Standard app/API]</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[Tier 2 / owner]</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[limits]</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[date/date]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[Sandbox]</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[Tier 3 / owner]</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[broader approved methods]</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[date/date]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Exclusions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[owner]</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[no testing]</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[date]</w:t>
            </w:r>
          </w:p>
        </w:tc>
      </w:tr>
    </w:tbl>
    <w:p/>
    <w:p>
      <w:pPr>
        <w:pStyle w:val="Heading2"/>
      </w:pPr>
      <w:r>
        <w:t>Schedule 2 — Severity and Reward Matrix</w:t>
      </w:r>
    </w:p>
    <w:p>
      <w:pPr>
        <w:keepNext/>
      </w:pPr>
      <w:r>
        <w:t>Publish ranges only after budget and approval authority are funded and operational.</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Severity / score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Illustrative impact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Expected range</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Exclusions / modifiers</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Critical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[systemic/high-impact]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[asset tier; quality]</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High</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[material compromise]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Medium</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[bounded impact]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Low</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[limited impact]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Informational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[no material impact]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No reward / recognition</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3 — Report and Duplicate Decision Record</w:t>
      </w:r>
    </w:p>
    <w:p>
      <w:pPr>
        <w:keepNext/>
      </w:pPr>
      <w:r>
        <w:t>Preserve prior-case confidentiality while giving a reasoned decision.</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Decision point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Finding</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Owner</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Evidence / communication</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Complete and in scope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[yes/no]</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VDP coordinator</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Reproducible / impact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Security + product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Prior case / variant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Security</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[linked case]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Severity / reward</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Committee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[rationale]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Reconsideration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[if any]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Independent reviewer</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[decision]</w:t>
            </w:r>
          </w:p>
        </w:tc>
      </w:tr>
    </w:tbl>
    <w:p/>
    <w:p>
      <w:pPr>
        <w:pStyle w:val="Heading2"/>
      </w:pPr>
      <w:r>
        <w:t>Schedule 4 — Payment, Disclosure, and Closure Record</w:t>
      </w:r>
    </w:p>
    <w:p>
      <w:pPr>
        <w:keepNext/>
      </w:pPr>
      <w:r>
        <w:t>Separate access to KYC/tax records from technical report data.</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Gate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Owner / date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Result</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Evidence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Eligibility / identity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[pass/fail]</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[minimal record]</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Tax / sanctions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[pass/fail]</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[provider confirmation]</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Award / payment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 / [date]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[approval/receipt]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Disclosure / credit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[terms/date]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[written approval]</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Remediation / closure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[status/residual risk]</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[release evidence]</w:t>
            </w:r>
          </w:p>
        </w:tc>
      </w:tr>
    </w:tbl>
    <w:p/>
    <w:p>
      <w:pPr>
        <w:pStyle w:val="Heading1"/>
      </w:pPr>
      <w:r>
        <w:t>4. Negotiation and Design Map</w:t>
      </w:r>
    </w:p>
    <w:tbl>
      <w:tblPr>
        <w:tblStyle w:val="TableGrid"/>
        <w:tblW w:type="dxa" w:w="9360"/>
        <w:jc w:val="left"/>
        <w:tblLayout w:type="fixed"/>
        <w:tblLook w:firstColumn="1" w:firstRow="1" w:lastColumn="0" w:lastRow="0" w:noHBand="0" w:noVBand="1" w:val="04A0"/>
        <w:tblInd w:w="120" w:type="dxa"/>
      </w:tblPr>
      <w:tblGrid>
        <w:gridCol w:w="1800"/>
        <w:gridCol w:w="2520"/>
        <w:gridCol w:w="2520"/>
        <w:gridCol w:w="2520"/>
      </w:tblGrid>
      <w:tr>
        <w:trPr>
          <w:trHeight w:hRule="atLeast"/>
          <w:tblHeader w:val="true"/>
          <w:cantSplit/>
        </w:trPr>
        <w:tc>
          <w:tcPr>
            <w:tcW w:type="dxa" w:w="1800"/>
            <w:shd w:fill="F2F4F7"/>
            <w:vAlign w:val="top"/>
            <w:tcMar>
              <w:top w:w="80" w:type="dxa"/>
              <w:bottom w:w="80" w:type="dxa"/>
              <w:start w:w="120" w:type="dxa"/>
              <w:end w:w="120" w:type="dxa"/>
            </w:tcMar>
          </w:tcPr>
          <w:p>
            <w:r>
              <w:rPr>
                <w:rFonts w:ascii="Calibri" w:hAnsi="Calibri" w:eastAsia="Calibri"/>
                <w:b/>
                <w:i w:val="0"/>
                <w:color w:val="17365D"/>
                <w:sz w:val="18"/>
              </w:rPr>
              <w:t>Issue</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Preferred control</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Avoid / escalation</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Required evidence</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Reward promise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Funded range and reasoned deviations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Unbounded discretion or retroactive reduction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Budget, matrix, award notice</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Duplicates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Earliest complete report plus variant credit</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Opaque first timestamp only</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Linked-case rationale</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Disclosure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Coordinated, time-bounded, safety-aware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Indefinite gag</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Written timeline and approval</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Payment compliance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Minimal, staged KYC/tax/sanctions process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Security-team spreadsheet of sensitive IDs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Finance-provider record</w:t>
            </w:r>
          </w:p>
        </w:tc>
      </w:tr>
    </w:tbl>
    <w:p/>
    <w:p>
      <w:pPr>
        <w:pStyle w:val="Heading1"/>
      </w:pPr>
      <w:r>
        <w:t>5. Scenario Tests</w:t>
      </w:r>
    </w:p>
    <w:tbl>
      <w:tblPr>
        <w:tblStyle w:val="TableGrid"/>
        <w:tblW w:type="dxa" w:w="9360"/>
        <w:jc w:val="left"/>
        <w:tblLayout w:type="fixed"/>
        <w:tblLook w:firstColumn="1" w:firstRow="1" w:lastColumn="0" w:lastRow="0" w:noHBand="0" w:noVBand="1" w:val="04A0"/>
        <w:tblInd w:w="120" w:type="dxa"/>
      </w:tblPr>
      <w:tblGrid>
        <w:gridCol w:w="2200"/>
        <w:gridCol w:w="3600"/>
        <w:gridCol w:w="3560"/>
      </w:tblGrid>
      <w:tr>
        <w:trPr>
          <w:trHeight w:hRule="atLeast"/>
          <w:tblHeader w:val="true"/>
          <w:cantSplit/>
        </w:trPr>
        <w:tc>
          <w:tcPr>
            <w:tcW w:type="dxa" w:w="2200"/>
            <w:shd w:fill="F2F4F7"/>
            <w:vAlign w:val="top"/>
            <w:tcMar>
              <w:top w:w="80" w:type="dxa"/>
              <w:bottom w:w="80" w:type="dxa"/>
              <w:start w:w="120" w:type="dxa"/>
              <w:end w:w="120" w:type="dxa"/>
            </w:tcMar>
          </w:tcPr>
          <w:p>
            <w:r>
              <w:rPr>
                <w:rFonts w:ascii="Calibri" w:hAnsi="Calibri" w:eastAsia="Calibri"/>
                <w:b/>
                <w:i w:val="0"/>
                <w:color w:val="17365D"/>
                <w:sz w:val="18"/>
              </w:rPr>
              <w:t>Scenario</w:t>
            </w:r>
          </w:p>
        </w:tc>
        <w:tc>
          <w:tcPr>
            <w:tcW w:type="dxa" w:w="3600"/>
            <w:shd w:fill="F2F4F7"/>
            <w:vAlign w:val="top"/>
            <w:tcMar>
              <w:top w:w="80" w:type="dxa"/>
              <w:bottom w:w="80" w:type="dxa"/>
              <w:start w:w="120" w:type="dxa"/>
              <w:end w:w="120" w:type="dxa"/>
            </w:tcMar>
          </w:tcPr>
          <w:p>
            <w:r>
              <w:rPr>
                <w:rFonts w:ascii="Calibri" w:hAnsi="Calibri" w:eastAsia="Calibri"/>
                <w:b/>
                <w:i w:val="0"/>
                <w:color w:val="17365D"/>
                <w:sz w:val="18"/>
              </w:rPr>
              <w:t>Required operation</w:t>
            </w:r>
          </w:p>
        </w:tc>
        <w:tc>
          <w:tcPr>
            <w:tcW w:type="dxa" w:w="3560"/>
            <w:shd w:fill="F2F4F7"/>
            <w:vAlign w:val="top"/>
            <w:tcMar>
              <w:top w:w="80" w:type="dxa"/>
              <w:bottom w:w="80" w:type="dxa"/>
              <w:start w:w="120" w:type="dxa"/>
              <w:end w:w="120" w:type="dxa"/>
            </w:tcMar>
          </w:tcPr>
          <w:p>
            <w:r>
              <w:rPr>
                <w:rFonts w:ascii="Calibri" w:hAnsi="Calibri" w:eastAsia="Calibri"/>
                <w:b/>
                <w:i w:val="0"/>
                <w:color w:val="17365D"/>
                <w:sz w:val="18"/>
              </w:rPr>
              <w:t>Review point</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Two reports arrive hours apart</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Compare completeness, reproducibility, root cause, and prior knowledge</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Document any split or variant award</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Critical report is valid but fix takes months</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Do not indefinitely defer earned award solely for company-controlled delay</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Coordinate payment and disclosure separately</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Researcher inadvertently exceeds scope</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Assess good faith, stop response, harm, and cooperation</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Use proportionate cure or disqualification</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Team disputes payment split</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Use signed team instruction; do not arbitrate informal ownership</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Hold payment until lawful direction</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Sanctions screen blocks payment</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Escalate to compliance; do not evade through another recipient</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Communicate lawful limits</w:t>
            </w:r>
          </w:p>
        </w:tc>
      </w:tr>
    </w:tbl>
    <w:p/>
    <w:p>
      <w:pPr>
        <w:pStyle w:val="Heading1"/>
      </w:pPr>
      <w:r>
        <w:t>6. Current-Authority and Specialist Gates</w:t>
      </w:r>
    </w:p>
    <w:tbl>
      <w:tblPr>
        <w:tblStyle w:val="TableGrid"/>
        <w:tblW w:type="dxa" w:w="9360"/>
        <w:jc w:val="left"/>
        <w:tblLayout w:type="fixed"/>
        <w:tblLook w:firstColumn="1" w:firstRow="1" w:lastColumn="0" w:lastRow="0" w:noHBand="0" w:noVBand="1" w:val="04A0"/>
        <w:tblInd w:w="120" w:type="dxa"/>
      </w:tblPr>
      <w:tblGrid>
        <w:gridCol w:w="1600"/>
        <w:gridCol w:w="2800"/>
        <w:gridCol w:w="2000"/>
        <w:gridCol w:w="2960"/>
      </w:tblGrid>
      <w:tr>
        <w:trPr>
          <w:trHeight w:hRule="atLeast"/>
          <w:tblHeader w:val="true"/>
          <w:cantSplit/>
        </w:trPr>
        <w:tc>
          <w:tcPr>
            <w:tcW w:type="dxa" w:w="1600"/>
            <w:shd w:fill="F2F4F7"/>
            <w:vAlign w:val="top"/>
            <w:tcMar>
              <w:top w:w="80" w:type="dxa"/>
              <w:bottom w:w="80" w:type="dxa"/>
              <w:start w:w="120" w:type="dxa"/>
              <w:end w:w="120" w:type="dxa"/>
            </w:tcMar>
          </w:tcPr>
          <w:p>
            <w:r>
              <w:rPr>
                <w:rFonts w:ascii="Calibri" w:hAnsi="Calibri" w:eastAsia="Calibri"/>
                <w:b/>
                <w:i w:val="0"/>
                <w:color w:val="17365D"/>
                <w:sz w:val="18"/>
              </w:rPr>
              <w:t>Gate</w:t>
            </w:r>
          </w:p>
        </w:tc>
        <w:tc>
          <w:tcPr>
            <w:tcW w:type="dxa" w:w="2800"/>
            <w:shd w:fill="F2F4F7"/>
            <w:vAlign w:val="top"/>
            <w:tcMar>
              <w:top w:w="80" w:type="dxa"/>
              <w:bottom w:w="80" w:type="dxa"/>
              <w:start w:w="120" w:type="dxa"/>
              <w:end w:w="120" w:type="dxa"/>
            </w:tcMar>
          </w:tcPr>
          <w:p>
            <w:r>
              <w:rPr>
                <w:rFonts w:ascii="Calibri" w:hAnsi="Calibri" w:eastAsia="Calibri"/>
                <w:b/>
                <w:i w:val="0"/>
                <w:color w:val="17365D"/>
                <w:sz w:val="18"/>
              </w:rPr>
              <w:t>Starting authority</w:t>
            </w:r>
          </w:p>
        </w:tc>
        <w:tc>
          <w:tcPr>
            <w:tcW w:type="dxa" w:w="2000"/>
            <w:shd w:fill="F2F4F7"/>
            <w:vAlign w:val="top"/>
            <w:tcMar>
              <w:top w:w="80" w:type="dxa"/>
              <w:bottom w:w="80" w:type="dxa"/>
              <w:start w:w="120" w:type="dxa"/>
              <w:end w:w="120" w:type="dxa"/>
            </w:tcMar>
          </w:tcPr>
          <w:p>
            <w:r>
              <w:rPr>
                <w:rFonts w:ascii="Calibri" w:hAnsi="Calibri" w:eastAsia="Calibri"/>
                <w:b/>
                <w:i w:val="0"/>
                <w:color w:val="17365D"/>
                <w:sz w:val="18"/>
              </w:rPr>
              <w:t>Owner</w:t>
            </w:r>
          </w:p>
        </w:tc>
        <w:tc>
          <w:tcPr>
            <w:tcW w:type="dxa" w:w="2960"/>
            <w:shd w:fill="F2F4F7"/>
            <w:vAlign w:val="top"/>
            <w:tcMar>
              <w:top w:w="80" w:type="dxa"/>
              <w:bottom w:w="80" w:type="dxa"/>
              <w:start w:w="120" w:type="dxa"/>
              <w:end w:w="120" w:type="dxa"/>
            </w:tcMar>
          </w:tcPr>
          <w:p>
            <w:r>
              <w:rPr>
                <w:rFonts w:ascii="Calibri" w:hAnsi="Calibri" w:eastAsia="Calibri"/>
                <w:b/>
                <w:i w:val="0"/>
                <w:color w:val="17365D"/>
                <w:sz w:val="18"/>
              </w:rPr>
              <w:t>Matter-specific question</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Authorization / access law</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Current federal/state computer access, contract, anti-circumvention rules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Cyber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Scope and safe harbor</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Rewards / contract / worker issues</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Applicable offer, tax, wage and classification rules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Commercial + employment/tax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Award formation and relationship</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Payments / sanctions / export</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Current jurisdiction and provider requirements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Compliance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Eligibility and payment path</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Privacy / security / disclosure</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Applicable breach, privacy, trade-secret and sector rules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Specialists</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Evidence, researcher data, public disclosure</w:t>
            </w:r>
          </w:p>
        </w:tc>
      </w:tr>
    </w:tbl>
    <w:p/>
    <w:p>
      <w:pPr>
        <w:pStyle w:val="Heading1"/>
      </w:pPr>
      <w:r>
        <w:t>7. Matter Completion and Release Checklist</w:t>
      </w:r>
    </w:p>
    <w:tbl>
      <w:tblPr>
        <w:tblStyle w:val="TableGrid"/>
        <w:tblW w:type="dxa" w:w="9360"/>
        <w:jc w:val="left"/>
        <w:tblLayout w:type="fixed"/>
        <w:tblLook w:firstColumn="1" w:firstRow="1" w:lastColumn="0" w:lastRow="0" w:noHBand="0" w:noVBand="1" w:val="04A0"/>
        <w:tblInd w:w="120" w:type="dxa"/>
      </w:tblPr>
      <w:tblGrid>
        <w:gridCol w:w="1200"/>
        <w:gridCol w:w="8160"/>
      </w:tblGrid>
      <w:tr>
        <w:trPr>
          <w:trHeight w:hRule="atLeast"/>
          <w:tblHeader w:val="true"/>
          <w:cantSplit/>
        </w:trPr>
        <w:tc>
          <w:tcPr>
            <w:tcW w:type="dxa" w:w="1200"/>
            <w:shd w:fill="F2F4F7"/>
            <w:vAlign w:val="top"/>
            <w:tcMar>
              <w:top w:w="80" w:type="dxa"/>
              <w:bottom w:w="80" w:type="dxa"/>
              <w:start w:w="120" w:type="dxa"/>
              <w:end w:w="120" w:type="dxa"/>
            </w:tcMar>
          </w:tcPr>
          <w:p>
            <w:r>
              <w:rPr>
                <w:rFonts w:ascii="Calibri" w:hAnsi="Calibri" w:eastAsia="Calibri"/>
                <w:b/>
                <w:i w:val="0"/>
                <w:color w:val="17365D"/>
                <w:sz w:val="18"/>
              </w:rPr>
              <w:t>Status</w:t>
            </w:r>
          </w:p>
        </w:tc>
        <w:tc>
          <w:tcPr>
            <w:tcW w:type="dxa" w:w="8160"/>
            <w:shd w:fill="F2F4F7"/>
            <w:vAlign w:val="top"/>
            <w:tcMar>
              <w:top w:w="80" w:type="dxa"/>
              <w:bottom w:w="80" w:type="dxa"/>
              <w:start w:w="120" w:type="dxa"/>
              <w:end w:w="120" w:type="dxa"/>
            </w:tcMar>
          </w:tcPr>
          <w:p>
            <w:r>
              <w:rPr>
                <w:rFonts w:ascii="Calibri" w:hAnsi="Calibri" w:eastAsia="Calibri"/>
                <w:b/>
                <w:i w:val="0"/>
                <w:color w:val="17365D"/>
                <w:sz w:val="18"/>
              </w:rPr>
              <w:t>Release condition</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Confirm a mature VDP, intake team, and remediation process exist before launch</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Validate asset ownership, scope tiers, test methods, emergency stop, and authorization</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Fund and approve reward ranges, program cap, exception authority, and accounting treatment</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Implement report, duplicate, severity, appeal, and closure records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Implement secure evidence, privacy, KYC, tax, sanctions, team-payment, and retention controls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Reconcile platform, VDP, terms of use, disclosure, and researcher communications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Complete security, product, finance, privacy, compliance, communications, and responsible-lawyer approval</w:t>
            </w:r>
          </w:p>
        </w:tc>
      </w:tr>
    </w:tbl>
    <w:p/>
    <w:p>
      <w:pPr>
        <w:pStyle w:val="Heading1"/>
        <w:pageBreakBefore/>
      </w:pPr>
      <w:r>
        <w:t>8. Release Certification and Matter Sign-Off</w:t>
      </w:r>
    </w:p>
    <w:p>
      <w:pPr>
        <w:spacing w:after="240"/>
      </w:pPr>
      <w:r>
        <w:t>Complete this page only after every open release condition is satisfied. Each approver confirms only the matters within that person’s responsibility; responsible counsel controls final legal release.</w:t>
      </w:r>
    </w:p>
    <w:tbl>
      <w:tblPr>
        <w:tblStyle w:val="TableGrid"/>
        <w:tblW w:type="dxa" w:w="9360"/>
        <w:jc w:val="left"/>
        <w:tblLayout w:type="fixed"/>
        <w:tblLook w:firstColumn="1" w:firstRow="1" w:lastColumn="0" w:lastRow="0" w:noHBand="0" w:noVBand="1" w:val="04A0"/>
        <w:tblInd w:w="120" w:type="dxa"/>
      </w:tblPr>
      <w:tblGrid>
        <w:gridCol w:w="3000"/>
        <w:gridCol w:w="6360"/>
      </w:tblGrid>
      <w:tr>
        <w:trPr>
          <w:trHeight w:hRule="atLeast"/>
          <w:tblHeader w:val="true"/>
          <w:cantSplit/>
        </w:trPr>
        <w:tc>
          <w:tcPr>
            <w:tcW w:type="dxa" w:w="3000"/>
            <w:shd w:fill="F2F4F7"/>
            <w:vAlign w:val="top"/>
            <w:tcMar>
              <w:top w:w="80" w:type="dxa"/>
              <w:bottom w:w="80" w:type="dxa"/>
              <w:start w:w="120" w:type="dxa"/>
              <w:end w:w="120" w:type="dxa"/>
            </w:tcMar>
          </w:tcPr>
          <w:p>
            <w:r>
              <w:rPr>
                <w:rFonts w:ascii="Calibri" w:hAnsi="Calibri" w:eastAsia="Calibri"/>
                <w:b/>
                <w:i w:val="0"/>
                <w:color w:val="17365D"/>
                <w:sz w:val="18"/>
              </w:rPr>
              <w:t>Certification item</w:t>
            </w:r>
          </w:p>
        </w:tc>
        <w:tc>
          <w:tcPr>
            <w:tcW w:type="dxa" w:w="6360"/>
            <w:shd w:fill="F2F4F7"/>
            <w:vAlign w:val="top"/>
            <w:tcMar>
              <w:top w:w="80" w:type="dxa"/>
              <w:bottom w:w="80" w:type="dxa"/>
              <w:start w:w="120" w:type="dxa"/>
              <w:end w:w="120" w:type="dxa"/>
            </w:tcMar>
          </w:tcPr>
          <w:p>
            <w:r>
              <w:rPr>
                <w:rFonts w:ascii="Calibri" w:hAnsi="Calibri" w:eastAsia="Calibri"/>
                <w:b/>
                <w:i w:val="0"/>
                <w:color w:val="17365D"/>
                <w:sz w:val="18"/>
              </w:rPr>
              <w:t>Completed entry</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Final document title and version</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Bug Bounty Program Terms and Researcher Participation Agreement / [FINAL VERSION]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Matter / client / project</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Responsible lawyer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SIGNATURE OR APPROVAL RECORD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Specialist reviewers</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[NAMES / DOMAINS / DATES]</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Business and operational owner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APPROVAL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Alternatives deleted; schedules and cross-references reconciled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Law, guidance, technical standards, facts, and linked workflows refreshed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AS-OF DATE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Approval and evidence archive</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[CONTROLLED LOCATION / MATTER NUMBER]</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RELEASE STATUS.  </w:t>
            </w:r>
            <w:r>
              <w:rPr>
                <w:rFonts w:ascii="Calibri" w:hAnsi="Calibri" w:eastAsia="Calibri"/>
                <w:b w:val="0"/>
                <w:i w:val="0"/>
                <w:color w:val="111111"/>
                <w:sz w:val="21"/>
              </w:rPr>
              <w:t>No matter may be described as approved, compliant, or ready for signature while an entry above remains incomplete or qualified without documented responsible-lawyer resolution.</w:t>
            </w:r>
          </w:p>
        </w:tc>
      </w:tr>
    </w:tbl>
    <w:p/>
    <w:sectPr w:rsidR="00FC693F" w:rsidRPr="0006063C" w:rsidSect="00034616">
      <w:headerReference w:type="default" r:id="rId9"/>
      <w:footerReference w:type="default" r:id="rId10"/>
      <w:pgSz w:w="12240" w:h="15840"/>
      <w:pgMar w:top="1080" w:right="1440" w:bottom="1080" w:left="1440"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Pr>
    <w:tblGrid>
      <w:gridCol w:w="7000"/>
      <w:gridCol w:w="2360"/>
    </w:tblGrid>
    <w:tr>
      <w:trPr>
        <w:cantSplit/>
        <w:trHeight w:hRule="atLeast"/>
      </w:trPr>
      <w:tc>
        <w:tcPr>
          <w:tcW w:type="dxa" w:w="7000"/>
          <w:vAlign w:val="top"/>
          <w:tcMar>
            <w:top w:w="80" w:type="dxa"/>
            <w:bottom w:w="80" w:type="dxa"/>
            <w:start w:w="120" w:type="dxa"/>
            <w:end w:w="120" w:type="dxa"/>
          </w:tcMar>
        </w:tcPr>
        <w:p>
          <w:r>
            <w:rPr>
              <w:rFonts w:ascii="Calibri" w:hAnsi="Calibri" w:eastAsia="Calibri"/>
              <w:b w:val="0"/>
              <w:i w:val="0"/>
              <w:color w:val="5B6573"/>
              <w:sz w:val="16"/>
            </w:rPr>
            <w:t>Study and drafting use only | Matter completion required</w:t>
          </w:r>
        </w:p>
      </w:tc>
      <w:tc>
        <w:tcPr>
          <w:tcW w:type="dxa" w:w="2360"/>
          <w:vAlign w:val="top"/>
          <w:tcMar>
            <w:top w:w="80" w:type="dxa"/>
            <w:bottom w:w="80" w:type="dxa"/>
            <w:start w:w="120" w:type="dxa"/>
            <w:end w:w="120" w:type="dxa"/>
          </w:tcMar>
        </w:tcPr>
        <w:p>
          <w:pPr>
            <w:jc w:val="right"/>
          </w:pPr>
          <w:r>
            <w:rPr>
              <w:rFonts w:ascii="Calibri" w:hAnsi="Calibri" w:eastAsia="Calibri"/>
              <w:b w:val="0"/>
              <w:i w:val="0"/>
              <w:color w:val="5B6573"/>
              <w:sz w:val="16"/>
            </w:rPr>
            <w:t xml:space="preserve">Page </w:t>
          </w:r>
          <w:r>
            <w:rPr>
              <w:rFonts w:ascii="Calibri" w:hAnsi="Calibri" w:eastAsia="Calibri"/>
              <w:b w:val="0"/>
              <w:i w:val="0"/>
              <w:color w:val="5B6573"/>
              <w:sz w:val="16"/>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200"/>
      <w:gridCol w:w="4160"/>
    </w:tblGrid>
    <w:tr>
      <w:trPr>
        <w:cantSplit/>
        <w:trHeight w:hRule="atLeast"/>
      </w:trPr>
      <w:tc>
        <w:tcPr>
          <w:tcW w:type="dxa" w:w="5200"/>
          <w:vAlign w:val="top"/>
          <w:tcMar>
            <w:top w:w="80" w:type="dxa"/>
            <w:bottom w:w="80" w:type="dxa"/>
            <w:start w:w="120" w:type="dxa"/>
            <w:end w:w="120" w:type="dxa"/>
          </w:tcMar>
        </w:tcPr>
        <w:p>
          <w:pPr>
            <w:jc w:val="left"/>
          </w:pPr>
          <w:r>
            <w:rPr>
              <w:rFonts w:ascii="Calibri" w:hAnsi="Calibri" w:eastAsia="Calibri"/>
              <w:b/>
              <w:i w:val="0"/>
              <w:color w:val="17365D"/>
              <w:sz w:val="17"/>
            </w:rPr>
            <w:t>MONTAGUE ENTREPRENEUR FORMS</w:t>
          </w:r>
        </w:p>
      </w:tc>
      <w:tc>
        <w:tcPr>
          <w:tcW w:type="dxa" w:w="4160"/>
          <w:vAlign w:val="top"/>
          <w:tcMar>
            <w:top w:w="80" w:type="dxa"/>
            <w:bottom w:w="80" w:type="dxa"/>
            <w:start w:w="120" w:type="dxa"/>
            <w:end w:w="120" w:type="dxa"/>
          </w:tcMar>
        </w:tcPr>
        <w:p>
          <w:pPr>
            <w:jc w:val="right"/>
          </w:pPr>
          <w:r>
            <w:rPr>
              <w:rFonts w:ascii="Calibri" w:hAnsi="Calibri" w:eastAsia="Calibri"/>
              <w:b/>
              <w:i w:val="0"/>
              <w:color w:val="17365D"/>
              <w:sz w:val="17"/>
            </w:rPr>
            <w:t>EF-063 | Practitioner Master</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eastAsia="Calibri"/>
      <w:b/>
      <w:color w:val="17365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32" w:hanging="259"/>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432" w:hanging="259"/>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Text">
    <w:name w:val="Clause Text"/>
    <w:pPr>
      <w:spacing w:after="120" w:line="259" w:lineRule="auto"/>
    </w:pPr>
    <w:rPr>
      <w:rFonts w:ascii="Calibri" w:hAnsi="Calibri"/>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Bug Bounty Program Terms and Researcher Participation Agreement</dc:title>
  <dc:subject>Original entrepreneur legal practitioner master for study and matter-specific drafting</dc:subject>
  <dc:creator>Montague Entrepreneur Forms</dc:creator>
  <cp:keywords>EF-063, entrepreneur forms, practitioner master</cp:keywords>
  <dc:description>Original form; no Westlaw or Practical Law text reproduced.</dc:description>
  <cp:lastModifiedBy/>
  <cp:revision>1</cp:revision>
  <dcterms:created xsi:type="dcterms:W3CDTF">2013-12-23T23:15:00Z</dcterms:created>
  <dcterms:modified xsi:type="dcterms:W3CDTF">2013-12-23T23:15:00Z</dcterms:modified>
  <cp:category/>
</cp:coreProperties>
</file>