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Cybersecurity Vulnerability Disclosure Policy and Safe-Harbor Package</w:t>
      </w:r>
    </w:p>
    <w:p>
      <w:r>
        <w:rPr>
          <w:rFonts w:ascii="Calibri" w:hAnsi="Calibri" w:eastAsia="Calibri"/>
          <w:b w:val="0"/>
          <w:i w:val="0"/>
          <w:color w:val="5B6573"/>
          <w:sz w:val="24"/>
        </w:rPr>
        <w:t>A public-facing vulnerability disclosure policy paired with internal scope, intake, triage, remediation, and coordinated-disclosure controls, without promising rewards or blanket immunity.</w:t>
      </w:r>
    </w:p>
    <w:tbl>
      <w:tblPr>
        <w:tblStyle w:val="TableGrid"/>
        <w:tblW w:type="dxa" w:w="9360"/>
        <w:jc w:val="left"/>
        <w:tblLayout w:type="fixed"/>
        <w:tblLook w:firstColumn="1" w:firstRow="1" w:lastColumn="0" w:lastRow="0" w:noHBand="0" w:noVBand="1" w:val="04A0"/>
        <w:tblInd w:w="120" w:type="dxa"/>
      </w:tblPr>
      <w:tblGrid>
        <w:gridCol w:w="1500"/>
        <w:gridCol w:w="3180"/>
        <w:gridCol w:w="1500"/>
        <w:gridCol w:w="3180"/>
      </w:tblGrid>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FORM ID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EF-062</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VERSION</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3.0.0</w:t>
            </w:r>
          </w:p>
        </w:tc>
      </w:tr>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STATUS</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Practitioner master</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PREPARED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2026-08-28</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IMPORTANT — NOT EXECUTION-READY.  </w:t>
            </w:r>
            <w:r>
              <w:rPr>
                <w:rFonts w:ascii="Calibri" w:hAnsi="Calibri" w:eastAsia="Calibri"/>
                <w:b w:val="0"/>
                <w:i w:val="0"/>
                <w:color w:val="111111"/>
                <w:sz w:val="21"/>
              </w:rPr>
              <w:t>This original practitioner master is for study and drafting. Complete verified facts, select and delete alternatives, reconcile every schedule and related workflow, update law and technical standards, obtain relevant specialist review, and secure responsible-lawyer approval before use. It is not legal advice and does not establish that a matter complies with law.</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D9EAF7"/>
          </w:tcPr>
          <w:p>
            <w:r>
              <w:rPr>
                <w:rFonts w:ascii="Calibri" w:hAnsi="Calibri" w:eastAsia="Calibri"/>
                <w:b/>
                <w:i w:val="0"/>
                <w:color w:val="17365D"/>
                <w:sz w:val="21"/>
              </w:rPr>
              <w:t xml:space="preserve">MODULE CONTROL.  </w:t>
            </w:r>
            <w:r>
              <w:rPr>
                <w:rFonts w:ascii="Calibri" w:hAnsi="Calibri" w:eastAsia="Calibri"/>
                <w:b w:val="0"/>
                <w:i w:val="0"/>
                <w:color w:val="111111"/>
                <w:sz w:val="21"/>
              </w:rPr>
              <w:t>This package is a disclosure channel, not a paid bug-bounty program. Keep any reward program in a separate instrument. Authorization applies only to good-faith research that stays within the listed systems, methods, and conditions; it is not immunity from law or third-party claims.</w:t>
            </w:r>
          </w:p>
        </w:tc>
      </w:tr>
    </w:tbl>
    <w:p/>
    <w:p>
      <w:pPr>
        <w:pStyle w:val="Heading1"/>
      </w:pPr>
      <w:r>
        <w:t>1. Matter Control Sheet</w:t>
      </w:r>
    </w:p>
    <w:tbl>
      <w:tblPr>
        <w:tblStyle w:val="TableGrid"/>
        <w:tblW w:type="dxa" w:w="9360"/>
        <w:jc w:val="left"/>
        <w:tblLayout w:type="fixed"/>
        <w:tblLook w:firstColumn="1" w:firstRow="1" w:lastColumn="0" w:lastRow="0" w:noHBand="0" w:noVBand="1" w:val="04A0"/>
        <w:tblInd w:w="120" w:type="dxa"/>
      </w:tblPr>
      <w:tblGrid>
        <w:gridCol w:w="2600"/>
        <w:gridCol w:w="6760"/>
      </w:tblGrid>
      <w:tr>
        <w:trPr>
          <w:trHeight w:hRule="atLeast"/>
          <w:tblHeader w:val="true"/>
          <w:cantSplit/>
        </w:trPr>
        <w:tc>
          <w:tcPr>
            <w:tcW w:type="dxa" w:w="2600"/>
            <w:shd w:fill="F2F4F7"/>
            <w:vAlign w:val="top"/>
            <w:tcMar>
              <w:top w:w="80" w:type="dxa"/>
              <w:bottom w:w="80" w:type="dxa"/>
              <w:start w:w="120" w:type="dxa"/>
              <w:end w:w="120" w:type="dxa"/>
            </w:tcMar>
          </w:tcPr>
          <w:p>
            <w:r>
              <w:rPr>
                <w:rFonts w:ascii="Calibri" w:hAnsi="Calibri" w:eastAsia="Calibri"/>
                <w:b/>
                <w:i w:val="0"/>
                <w:color w:val="17365D"/>
                <w:sz w:val="18"/>
              </w:rPr>
              <w:t>Matter variable</w:t>
            </w:r>
          </w:p>
        </w:tc>
        <w:tc>
          <w:tcPr>
            <w:tcW w:type="dxa" w:w="6760"/>
            <w:shd w:fill="F2F4F7"/>
            <w:vAlign w:val="top"/>
            <w:tcMar>
              <w:top w:w="80" w:type="dxa"/>
              <w:bottom w:w="80" w:type="dxa"/>
              <w:start w:w="120" w:type="dxa"/>
              <w:end w:w="120" w:type="dxa"/>
            </w:tcMar>
          </w:tcPr>
          <w:p>
            <w:r>
              <w:rPr>
                <w:rFonts w:ascii="Calibri" w:hAnsi="Calibri" w:eastAsia="Calibri"/>
                <w:b/>
                <w:i w:val="0"/>
                <w:color w:val="17365D"/>
                <w:sz w:val="18"/>
              </w:rPr>
              <w:t>Required completion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Policy owner</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[CHIEF INFORMATION SECURITY OFFICER / SECURITY LEAD]</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Reporting channel</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[SECURE WEB FORM / EMAIL / PGP KEY / PLATFORM]</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In-scope assets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[PRECISE DOMAINS, APPS, APIs, PRODUCTS, VERSIONS]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Out-of-scope assets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[THIRD-PARTY HOSTS, PHYSICAL, EMPLOYEE, CUSTOMER TENANTS, ETC.]</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Acknowledgement target</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 BUSINESS DAYS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Status-update target</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 DAYS OR MATERIAL MILESTONES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Coordinated disclosure window</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[CASE-SPECIFIC / PRESUMPTIVE ● DAYS]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Policy URL / security.txt</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[URL] / [/.WELL-KNOWN/SECURITY.TXT OWNER]</w:t>
            </w:r>
          </w:p>
        </w:tc>
      </w:tr>
    </w:tbl>
    <w:p/>
    <w:p>
      <w:pPr>
        <w:pStyle w:val="Heading1"/>
      </w:pPr>
      <w:r>
        <w:t>2. Operative Form</w:t>
      </w:r>
    </w:p>
    <w:p>
      <w:pPr>
        <w:pStyle w:val="Heading2"/>
        <w:keepNext/>
      </w:pPr>
      <w:r>
        <w:t>1. Purpose; No Reward Promise</w:t>
      </w:r>
    </w:p>
    <w:p>
      <w:pPr>
        <w:pStyle w:val="ClauseText"/>
        <w:keepNext/>
        <w:keepLines/>
      </w:pPr>
      <w:r>
        <w:t>[COMPANY] invites good-faith reports of security vulnerabilities affecting the systems expressly listed as in scope. This policy explains authorized research conditions and how reports are handled. It does not create a bug-bounty program, promise payment, reimburse expenses, or require Company to accept, fix, or publicly disclose every report.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Keep the public promise narrow and truthful. If the company offers discretionary recognition, state it separately and avoid language that reasonably implies compensation.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Mixing a VDP with informal reward statements can create contract, tax, and expectation disputes.</w:t>
            </w:r>
          </w:p>
        </w:tc>
      </w:tr>
    </w:tbl>
    <w:p/>
    <w:p>
      <w:pPr>
        <w:pStyle w:val="Heading2"/>
        <w:keepNext/>
      </w:pPr>
      <w:r>
        <w:t>2. In-Scope Systems</w:t>
      </w:r>
    </w:p>
    <w:p>
      <w:pPr>
        <w:pStyle w:val="ClauseText"/>
        <w:keepNext/>
        <w:keepLines/>
      </w:pPr>
      <w:r>
        <w:t>Only the assets, products, versions, and environments specifically listed in the Scope Registry are in scope. A parent domain does not automatically place every subdomain, acquisition, customer tenant, integration, mobile application, API, or vendor service in scope. If ownership or scope is uncertain, the researcher must ask through the reporting channel before testing.</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machine-usable identifiers and identify test accounts, rate limits, production versus sandbox, supported versions, and dates. Maintain an owner and validation date for each entry.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Vague scope can expose researchers, customers, and unrelated third parties to harm.</w:t>
            </w:r>
          </w:p>
        </w:tc>
      </w:tr>
    </w:tbl>
    <w:p/>
    <w:p>
      <w:pPr>
        <w:pStyle w:val="Heading2"/>
        <w:keepNext/>
      </w:pPr>
      <w:r>
        <w:t>3. Out-of-Scope Systems and Findings</w:t>
      </w:r>
    </w:p>
    <w:p>
      <w:pPr>
        <w:pStyle w:val="ClauseText"/>
        <w:keepNext/>
        <w:keepLines/>
      </w:pPr>
      <w:r>
        <w:t>All assets not affirmatively listed are out of scope. Unless specifically authorized, excluded items include third-party services, customer-controlled environments, acquired-company systems pending onboarding, physical facilities, employee devices, social engineering, and denial-of-service testing. Reports limited to best-practice observations without a demonstrable security impact may be accepted as feedback but are not treated as validated vulnerabilities.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List recurring low-value categories such as missing headers, clickjacking on non-sensitive pages, self-XSS, version banners, or rate limits without impact, tailored to the environment.</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blanket exclusion list can hide genuine risk; overbroad scope can authorize dangerous testing.</w:t>
            </w:r>
          </w:p>
        </w:tc>
      </w:tr>
    </w:tbl>
    <w:p/>
    <w:p>
      <w:pPr>
        <w:pStyle w:val="Heading2"/>
        <w:keepNext/>
      </w:pPr>
      <w:r>
        <w:t>4. Conditional Good-Faith Authorization</w:t>
      </w:r>
    </w:p>
    <w:p>
      <w:pPr>
        <w:pStyle w:val="ClauseText"/>
        <w:keepNext/>
        <w:keepLines/>
      </w:pPr>
      <w:r>
        <w:t>Company considers research authorized under this policy when the researcher acts in good faith, uses only listed assets and permitted methods, avoids prohibited conduct, minimizes access and harm, promptly reports the issue, protects information, and follows coordinated-disclosure instructions. Company will not initiate or recommend legal action based solely on compliant research, but cannot bind prosecutors, regulators, vendors, customers, or other third parties and does not grant immunity.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Have cyber and criminal-law counsel review the authorization against actual system ownership and applicable computer-access, anti-circumvention, and contract rules. Avoid categorical legal conclusions.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Overstated safe harbor may be misleading; under-specified authorization chills valuable reporting.</w:t>
            </w:r>
          </w:p>
        </w:tc>
      </w:tr>
    </w:tbl>
    <w:p/>
    <w:p>
      <w:pPr>
        <w:pStyle w:val="Heading2"/>
        <w:keepNext/>
      </w:pPr>
      <w:r>
        <w:t>5. Permitted Research Standard</w:t>
      </w:r>
    </w:p>
    <w:p>
      <w:pPr>
        <w:pStyle w:val="ClauseText"/>
        <w:keepNext/>
        <w:keepLines/>
      </w:pPr>
      <w:r>
        <w:t>A researcher may conduct the minimum testing reasonably necessary to demonstrate a vulnerability on an in-scope asset using the researcher’s own accounts or designated test accounts. Stop after obtaining sufficient proof. Do not pivot, establish persistence, alter data, access additional records, or expand testing after confirming the issue. If unexpected sensitive access occurs, cease testing, preserve only minimal evidence, and notify Company immediately.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safe proof-of-concept limits by asset type. Provide an emergency channel for active exploitation or sensitive-data exposure.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Excessive proof gathering increases operational, privacy, and legal harm.</w:t>
            </w:r>
          </w:p>
        </w:tc>
      </w:tr>
    </w:tbl>
    <w:p/>
    <w:p>
      <w:pPr>
        <w:pStyle w:val="Heading2"/>
        <w:keepNext/>
      </w:pPr>
      <w:r>
        <w:t>6. Prohibited Testing</w:t>
      </w:r>
    </w:p>
    <w:p>
      <w:pPr>
        <w:pStyle w:val="ClauseText"/>
        <w:keepNext/>
        <w:keepLines/>
      </w:pPr>
      <w:r>
        <w:t>Prohibited conduct includes denial of service or resource exhaustion; destructive, disruptive, or availability testing; phishing or social engineering; physical intrusion; malware deployment; credential stuffing; automated scanning above the stated rate; accessing another person’s account or data; privacy invasion; extortion; public disclosure contrary to the coordination process; and testing that violates law or third-party rights.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Tailor rate limits and prohibited methods to capacity. State whether automated tools, supply-chain testing, hardware, AI systems, or employee-facing systems require advance approval.</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Generic prohibitions may not address the company’s highest-impact attack paths.</w:t>
            </w:r>
          </w:p>
        </w:tc>
      </w:tr>
    </w:tbl>
    <w:p/>
    <w:p>
      <w:pPr>
        <w:pStyle w:val="Heading2"/>
        <w:keepNext/>
      </w:pPr>
      <w:r>
        <w:t>7. Privacy and Data Minimization</w:t>
      </w:r>
    </w:p>
    <w:p>
      <w:pPr>
        <w:pStyle w:val="ClauseText"/>
        <w:keepNext/>
        <w:keepLines/>
      </w:pPr>
      <w:r>
        <w:t>Do not intentionally access, download, copy, retain, transmit, or alter personal, confidential, payment, health, communications, authentication, customer, or regulated data. If encountered inadvertently, stop, do not share it beyond the secure reporting channel, describe the category and minimum necessary evidence, and follow Company’s deletion instructions unless preservation is legally required. Company will limit access to report data to personnel and providers with a need to know.</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Provide a secure upload method and a process for legal holds. Map privacy notices, incident-response triggers, cross-border transfer, and data-subject request handling.</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vulnerability report can itself become a reportable data incident if sensitive evidence is mishandled.</w:t>
            </w:r>
          </w:p>
        </w:tc>
      </w:tr>
    </w:tbl>
    <w:p/>
    <w:p>
      <w:pPr>
        <w:pStyle w:val="Heading2"/>
        <w:keepNext/>
      </w:pPr>
      <w:r>
        <w:t>8. Report Submission Requirements</w:t>
      </w:r>
    </w:p>
    <w:p>
      <w:pPr>
        <w:pStyle w:val="ClauseText"/>
        <w:keepNext/>
        <w:keepLines/>
      </w:pPr>
      <w:r>
        <w:t>Submit through [CHANNEL] and include, if known: the affected asset and version; vulnerability type; prerequisites; reproducible steps; impact; minimal proof; timestamps and account identifiers; suggested remediation; whether others were notified; and researcher contact details or an anonymous return channel. Encrypt sensitive materials using [PGP/SECURE PORTAL]. Do not send secrets in ordinary email.</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Keep intake fields proportional; allow anonymous reports while explaining communication limits. Monitor every published channel.</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Unmonitored mailboxes and insecure evidence transfer create missed reports and additional exposure.</w:t>
            </w:r>
          </w:p>
        </w:tc>
      </w:tr>
    </w:tbl>
    <w:p/>
    <w:p>
      <w:pPr>
        <w:pStyle w:val="Heading2"/>
        <w:keepNext/>
      </w:pPr>
      <w:r>
        <w:t>9. Acknowledgement and Triage</w:t>
      </w:r>
    </w:p>
    <w:p>
      <w:pPr>
        <w:pStyle w:val="ClauseText"/>
        <w:keepNext/>
        <w:keepLines/>
      </w:pPr>
      <w:r>
        <w:t>Company aims to acknowledge a complete report within [●] business days and to provide a substantive status update within [●] days, but these are targets, not guarantees. Security will assign a case identifier, confirm scope, deduplicate, assess exploitability and impact, identify owners, preserve evidence, and determine whether incident-response, legal, privacy, safety, or regulator escalation is required.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a single system of record and define who may close as invalid, duplicate, informative, or accepted. Avoid public service levels the team cannot consistently meet.</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Slow or inconsistent triage increases exploitation and disclosure risk.</w:t>
            </w:r>
          </w:p>
        </w:tc>
      </w:tr>
    </w:tbl>
    <w:p/>
    <w:p>
      <w:pPr>
        <w:pStyle w:val="Heading2"/>
        <w:keepNext/>
      </w:pPr>
      <w:r>
        <w:t>10. Severity and Prioritization</w:t>
      </w:r>
    </w:p>
    <w:p>
      <w:pPr>
        <w:pStyle w:val="ClauseText"/>
        <w:keepNext/>
        <w:keepLines/>
      </w:pPr>
      <w:r>
        <w:t>Company evaluates severity using [CURRENT CVSS VERSION] plus business context, exploit maturity, affected data, privilege, user interaction, compensating controls, asset criticality, safety, and systemic impact. A numerical score does not alone determine remediation priority or public characterization. The internal Triage Record must state the evidence and rationale for the assigned priority.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Select a current scoring methodology and document overrides. Include product safety, AI abuse, privacy, and customer concentration where relevant.</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Mechanically applying a score can understate business-critical risk.</w:t>
            </w:r>
          </w:p>
        </w:tc>
      </w:tr>
    </w:tbl>
    <w:p/>
    <w:p>
      <w:pPr>
        <w:pStyle w:val="Heading2"/>
        <w:keepNext/>
      </w:pPr>
      <w:r>
        <w:t>11. Communication and Coordinated Disclosure</w:t>
      </w:r>
    </w:p>
    <w:p>
      <w:pPr>
        <w:pStyle w:val="ClauseText"/>
        <w:keepNext/>
        <w:keepLines/>
      </w:pPr>
      <w:r>
        <w:t>Company and the researcher should communicate in good faith about validation, remediation, and disclosure. The researcher must not publicly disclose nonpublic details until the earlier of Company’s written approval or the agreed disclosure date, except where law requires otherwise. A presumptive [●]-day window may guide planning but may be extended or shortened based on active exploitation, vendor coordination, safety, patch availability, and affected-user protection.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Avoid an indefinite gag. Identify what information may be attributed, how CVE coordination works, and a deadlock-escalation path.</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Rigid timelines can force unsafe disclosure; indefinite restrictions can undermine trust and enforceability.</w:t>
            </w:r>
          </w:p>
        </w:tc>
      </w:tr>
    </w:tbl>
    <w:p/>
    <w:p>
      <w:pPr>
        <w:pStyle w:val="Heading2"/>
        <w:keepNext/>
      </w:pPr>
      <w:r>
        <w:t>12. Remediation and Verification</w:t>
      </w:r>
    </w:p>
    <w:p>
      <w:pPr>
        <w:pStyle w:val="ClauseText"/>
        <w:keepNext/>
        <w:keepLines/>
      </w:pPr>
      <w:r>
        <w:t>The responsible product owner will document containment, root cause, code or configuration changes, testing, deployment, rollback readiness, affected versions, customer action, and residual risk. Where appropriate, Company may invite the reporter to verify remediation in a controlled environment. Verification does not authorize new testing beyond the written scope.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Connect the VDP to secure-development, incident-response, patch, customer notice, and change-management processes.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Closing on code change alone may miss incomplete deployment or variant vulnerabilities.</w:t>
            </w:r>
          </w:p>
        </w:tc>
      </w:tr>
    </w:tbl>
    <w:p/>
    <w:p>
      <w:pPr>
        <w:pStyle w:val="Heading2"/>
        <w:keepNext/>
      </w:pPr>
      <w:r>
        <w:t>13. Duplicates and Previously Known Issues</w:t>
      </w:r>
    </w:p>
    <w:p>
      <w:pPr>
        <w:pStyle w:val="ClauseText"/>
        <w:keepNext/>
        <w:keepLines/>
      </w:pPr>
      <w:r>
        <w:t>Company may classify a report as duplicate, previously known, not reproducible, out of scope, informative, or accepted. Company need not reveal another reporter’s identity or confidential remediation details. The internal record must identify the earlier case or evidence supporting the classification and should communicate enough reasoning to maintain trust without increasing risk.</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duplicate treatment for independent discovery, variant findings, and chained impact. Avoid conclusory closure messages.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Opaque duplicate decisions discourage reporters and can conceal systemic issues.</w:t>
            </w:r>
          </w:p>
        </w:tc>
      </w:tr>
    </w:tbl>
    <w:p/>
    <w:p>
      <w:pPr>
        <w:pStyle w:val="Heading2"/>
        <w:keepNext/>
      </w:pPr>
      <w:r>
        <w:t>14. Third-Party and Shared Systems</w:t>
      </w:r>
    </w:p>
    <w:p>
      <w:pPr>
        <w:pStyle w:val="ClauseText"/>
        <w:keepNext/>
        <w:keepLines/>
      </w:pPr>
      <w:r>
        <w:t>Company’s authorization applies only to systems Company owns or is authorized to include. If a report affects a vendor, open-source project, customer, or shared service, Company may coordinate with that party and share the minimum report information necessary for remediation, subject to law and confidentiality. The researcher receives no authorization to test the third party unless that party separately grants it.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Inventory system ownership and vendor notice clauses. Obtain consent before promising third-party safe harbor.</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Company cannot confer rights over systems it does not control.</w:t>
            </w:r>
          </w:p>
        </w:tc>
      </w:tr>
    </w:tbl>
    <w:p/>
    <w:p>
      <w:pPr>
        <w:pStyle w:val="Heading2"/>
        <w:keepNext/>
      </w:pPr>
      <w:r>
        <w:t>15. Confidentiality and Report License</w:t>
      </w:r>
    </w:p>
    <w:p>
      <w:pPr>
        <w:pStyle w:val="ClauseText"/>
        <w:keepNext/>
        <w:keepLines/>
      </w:pPr>
      <w:r>
        <w:t>The researcher grants Company a nonexclusive, worldwide, royalty-free license to reproduce, analyze, test, modify for remediation, and share the report with affected parties and advisers for security purposes. The researcher retains ownership of original report material. Company will treat nonpublic report content as security-sensitive but may disclose it when reasonably necessary to remediate, protect users, comply with law, or defend rights.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Do not demand assignment of general tools or know-how. If a separate NDA is used, reconcile it with lawful researcher disclosures and coordinated disclosure.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Overbroad IP or secrecy terms may deter reports or capture unrelated research.</w:t>
            </w:r>
          </w:p>
        </w:tc>
      </w:tr>
    </w:tbl>
    <w:p/>
    <w:p>
      <w:pPr>
        <w:pStyle w:val="Heading2"/>
        <w:keepNext/>
      </w:pPr>
      <w:r>
        <w:t>16. Eligibility; Sanctions; Export; Minors</w:t>
      </w:r>
    </w:p>
    <w:p>
      <w:pPr>
        <w:pStyle w:val="ClauseText"/>
        <w:keepNext/>
        <w:keepLines/>
      </w:pPr>
      <w:r>
        <w:t>A reporter must not be subject to applicable sanctions or export restrictions that prohibit the interaction and must have authority to participate. Persons under [18 / AGE] should have a parent or guardian submit or approve the report unless counsel permits another process. Company may perform proportionate screening before sharing controlled technology, confidential remediation details, or recognition.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Tailor to the company’s sector and geography. Do not collect identity data without a need and privacy basis.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Cross-border security communications can implicate sanctions, export, and minors rules.</w:t>
            </w:r>
          </w:p>
        </w:tc>
      </w:tr>
    </w:tbl>
    <w:p/>
    <w:p>
      <w:pPr>
        <w:pStyle w:val="Heading2"/>
        <w:keepNext/>
      </w:pPr>
      <w:r>
        <w:t>17. No Employment, Agency, Warranty, or Reliance</w:t>
      </w:r>
    </w:p>
    <w:p>
      <w:pPr>
        <w:pStyle w:val="ClauseText"/>
        <w:keepNext/>
        <w:keepLines/>
      </w:pPr>
      <w:r>
        <w:t>Participation does not create employment, agency, partnership, fiduciary, procurement, or service-provider status. Each party bears its own costs. Company provides the policy and systems as is, makes no promise of uninterrupted access or particular outcome, and may limit testing to protect users. Nothing authorizes reliance on a system for unlawful or unsafe activity.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Keep the disclaimer proportionate and preserve the core safe-harbor statement. Avoid disclaiming obligations that law makes nonwaivable.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Relationship ambiguity can create compensation or control claims.</w:t>
            </w:r>
          </w:p>
        </w:tc>
      </w:tr>
    </w:tbl>
    <w:p/>
    <w:p>
      <w:pPr>
        <w:pStyle w:val="Heading2"/>
        <w:keepNext/>
      </w:pPr>
      <w:r>
        <w:t>18. Escalation to Law Enforcement, Regulators, and Affected Parties</w:t>
      </w:r>
    </w:p>
    <w:p>
      <w:pPr>
        <w:pStyle w:val="ClauseText"/>
        <w:keepNext/>
        <w:keepLines/>
      </w:pPr>
      <w:r>
        <w:t>Security and Legal will use the Escalation Matrix when evidence suggests active exploitation, extortion, intentional harm, material unauthorized access, regulated-data impact, safety risk, or a legal reporting duty. A compliant good-faith report alone is not an escalation trigger. Any referral must be based on documented conduct and approved at the designated level.</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incident, privacy, regulatory, insurance, customer, board, and law-enforcement decision rights. Preserve privilege where appropriate.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Automatic referral undermines safe harbor; delayed escalation can breach legal duties.</w:t>
            </w:r>
          </w:p>
        </w:tc>
      </w:tr>
    </w:tbl>
    <w:p/>
    <w:p>
      <w:pPr>
        <w:pStyle w:val="Heading2"/>
        <w:keepNext/>
      </w:pPr>
      <w:r>
        <w:t>19. Policy Versioning; security.txt; Changes</w:t>
      </w:r>
    </w:p>
    <w:p>
      <w:pPr>
        <w:pStyle w:val="ClauseText"/>
        <w:keepNext/>
        <w:keepLines/>
      </w:pPr>
      <w:r>
        <w:t>Company will publish the effective date, canonical URL, reporting channel, encryption information, and current policy version, and will maintain an accurate security.txt record where used. Material changes apply prospectively unless required to protect systems or users. Reports submitted under an earlier version remain governed by that version for past conduct, subject to law and mutually agreed updates.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Assign a quarterly or event-driven validation owner. Test links, certificates, keys, and mailboxes.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Stale scope and dead reporting channels make a VDP functionally unavailable.</w:t>
            </w:r>
          </w:p>
        </w:tc>
      </w:tr>
    </w:tbl>
    <w:p/>
    <w:p>
      <w:pPr>
        <w:pStyle w:val="Heading2"/>
        <w:keepNext/>
      </w:pPr>
      <w:r>
        <w:t>20. Governing Terms and Questions</w:t>
      </w:r>
    </w:p>
    <w:p>
      <w:pPr>
        <w:pStyle w:val="ClauseText"/>
        <w:keepNext/>
        <w:keepLines/>
      </w:pPr>
      <w:r>
        <w:t>This policy supplements, and does not silently override, applicable website terms, product terms, or written research authorization. If terms conflict regarding expressly authorized research, this policy controls only to the extent stated and lawful. Questions about scope or permitted testing must be submitted before testing to [CONTACT].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Map conflicts with anti-scraping, reverse-engineering, acceptable-use, and confidentiality terms. Use an express priority clause where intended.</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Contradictory terms can nullify the practical value of the authorization.</w:t>
            </w:r>
          </w:p>
        </w:tc>
      </w:tr>
    </w:tbl>
    <w:p/>
    <w:p>
      <w:pPr>
        <w:pStyle w:val="Heading1"/>
      </w:pPr>
      <w:r>
        <w:t>3. Required Schedules and Closing Tools</w:t>
      </w:r>
    </w:p>
    <w:p>
      <w:pPr>
        <w:pStyle w:val="Heading2"/>
      </w:pPr>
      <w:r>
        <w:t>Schedule 1 — Scope Registry</w:t>
      </w:r>
    </w:p>
    <w:p>
      <w:pPr>
        <w:keepNext/>
      </w:pPr>
      <w:r>
        <w:t>Treat absence as out of scope. Validate ownership, integration boundaries, and vendor consent.</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Asset / identifier</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Environment / owner</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Permitted methods / limits</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Validated / expiry</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[domain/API/app]</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[production/test; owner]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[accounts; rate]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[date/date]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[product/version]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[owner]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[method]</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[date/date]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[AI model/interface]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[owner]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[prompt/data limits]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[date/date]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Explicit exclusions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[owner]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[no testing]</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w:t>
            </w:r>
          </w:p>
        </w:tc>
      </w:tr>
    </w:tbl>
    <w:p/>
    <w:p>
      <w:pPr>
        <w:pStyle w:val="Heading2"/>
      </w:pPr>
      <w:r>
        <w:t>Schedule 2 — Prohibited Testing and Emergency Escalation</w:t>
      </w:r>
    </w:p>
    <w:p>
      <w:pPr>
        <w:keepNext/>
      </w:pPr>
      <w:r>
        <w:t>Publish a reliable emergency route without encouraging unsafe intervention.</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Event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Immediate researcher action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Company route</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Target response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Sensitive data exposed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Stop; minimal proof; secure report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Privacy + incident response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 hours</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Active exploitation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Do not interfere; urgent report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Security incident commander</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 minutes/hours</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Availability impact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Stop all testing</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Operations + security</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 minutes</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Third-party asset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Stop; identify boundary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Vendor/security legal</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 days</w:t>
            </w:r>
          </w:p>
        </w:tc>
      </w:tr>
    </w:tbl>
    <w:p/>
    <w:p>
      <w:pPr>
        <w:pStyle w:val="Heading2"/>
      </w:pPr>
      <w:r>
        <w:t>Schedule 3 — Intake and Triage Record</w:t>
      </w:r>
    </w:p>
    <w:p>
      <w:pPr>
        <w:keepNext/>
      </w:pPr>
      <w:r>
        <w:t>Use one case record from receipt through closure; restrict access based on sensitivity.</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Control</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Required entry</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Decision owner</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Case / reporter channel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VDP coordinator</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Timestamp</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Scope / reproducibility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Security</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Test log</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Severity / context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Security + product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Scoring record</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Incident/legal escalation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[yes/no and why]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Legal/privacy</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Decision memo</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Classification / communication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VDP coordinator</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Message archive</w:t>
            </w:r>
          </w:p>
        </w:tc>
      </w:tr>
    </w:tbl>
    <w:p/>
    <w:p>
      <w:pPr>
        <w:pStyle w:val="Heading2"/>
      </w:pPr>
      <w:r>
        <w:t>Schedule 4 — Remediation and Disclosure Log</w:t>
      </w:r>
    </w:p>
    <w:p>
      <w:pPr>
        <w:keepNext/>
      </w:pPr>
      <w:r>
        <w:t>Do not close until deployment and residual-risk decisions are evidenced.</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Milestone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 / due date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Completion evidence</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Reporter communication</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Containment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[change/monitoring]</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[date/message]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Root cause / variants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[analysis]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[date/message]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Fix / test / deploy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[release evidence]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[date/message]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Customer / vendor action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[notice/advisory]</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[date/message]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Disclosure / closure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[CVE/postmortem/closure]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[date/message]</w:t>
            </w:r>
          </w:p>
        </w:tc>
      </w:tr>
    </w:tbl>
    <w:p/>
    <w:p>
      <w:pPr>
        <w:pStyle w:val="Heading1"/>
      </w:pPr>
      <w:r>
        <w:t>4. Negotiation and Design Map</w:t>
      </w:r>
    </w:p>
    <w:tbl>
      <w:tblPr>
        <w:tblStyle w:val="TableGrid"/>
        <w:tblW w:type="dxa" w:w="9360"/>
        <w:jc w:val="left"/>
        <w:tblLayout w:type="fixed"/>
        <w:tblLook w:firstColumn="1" w:firstRow="1" w:lastColumn="0" w:lastRow="0" w:noHBand="0" w:noVBand="1" w:val="04A0"/>
        <w:tblInd w:w="120" w:type="dxa"/>
      </w:tblPr>
      <w:tblGrid>
        <w:gridCol w:w="1800"/>
        <w:gridCol w:w="2520"/>
        <w:gridCol w:w="2520"/>
        <w:gridCol w:w="2520"/>
      </w:tblGrid>
      <w:tr>
        <w:trPr>
          <w:trHeight w:hRule="atLeast"/>
          <w:tblHeader w:val="true"/>
          <w:cantSplit/>
        </w:trPr>
        <w:tc>
          <w:tcPr>
            <w:tcW w:type="dxa" w:w="1800"/>
            <w:shd w:fill="F2F4F7"/>
            <w:vAlign w:val="top"/>
            <w:tcMar>
              <w:top w:w="80" w:type="dxa"/>
              <w:bottom w:w="80" w:type="dxa"/>
              <w:start w:w="120" w:type="dxa"/>
              <w:end w:w="120" w:type="dxa"/>
            </w:tcMar>
          </w:tcPr>
          <w:p>
            <w:r>
              <w:rPr>
                <w:rFonts w:ascii="Calibri" w:hAnsi="Calibri" w:eastAsia="Calibri"/>
                <w:b/>
                <w:i w:val="0"/>
                <w:color w:val="17365D"/>
                <w:sz w:val="18"/>
              </w:rPr>
              <w:t>Issue</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Preferred control</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Avoid / escalation</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Required evidence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Authorization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Conditional, precise, good-faith safe harbor</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Blanket immunity or vague permission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Asset and method registry</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Evidence handling</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Minimum proof; secure channel; deletion process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Sensitive-data screenshots by ordinary email</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Secure intake and privacy playbook</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Disclosure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Case-specific coordinated process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Indefinite secrecy or automatic publication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Mutual timeline and escalation</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Rewards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Separate bounty terms or no reward</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Informal discretionary promises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Public-language and finance review</w:t>
            </w:r>
          </w:p>
        </w:tc>
      </w:tr>
    </w:tbl>
    <w:p/>
    <w:p>
      <w:pPr>
        <w:pStyle w:val="Heading1"/>
      </w:pPr>
      <w:r>
        <w:t>5. Scenario Tests</w:t>
      </w:r>
    </w:p>
    <w:tbl>
      <w:tblPr>
        <w:tblStyle w:val="TableGrid"/>
        <w:tblW w:type="dxa" w:w="9360"/>
        <w:jc w:val="left"/>
        <w:tblLayout w:type="fixed"/>
        <w:tblLook w:firstColumn="1" w:firstRow="1" w:lastColumn="0" w:lastRow="0" w:noHBand="0" w:noVBand="1" w:val="04A0"/>
        <w:tblInd w:w="120" w:type="dxa"/>
      </w:tblPr>
      <w:tblGrid>
        <w:gridCol w:w="2200"/>
        <w:gridCol w:w="3600"/>
        <w:gridCol w:w="3560"/>
      </w:tblGrid>
      <w:tr>
        <w:trPr>
          <w:trHeight w:hRule="atLeast"/>
          <w:tblHeader w:val="true"/>
          <w:cantSplit/>
        </w:trPr>
        <w:tc>
          <w:tcPr>
            <w:tcW w:type="dxa" w:w="2200"/>
            <w:shd w:fill="F2F4F7"/>
            <w:vAlign w:val="top"/>
            <w:tcMar>
              <w:top w:w="80" w:type="dxa"/>
              <w:bottom w:w="80" w:type="dxa"/>
              <w:start w:w="120" w:type="dxa"/>
              <w:end w:w="120" w:type="dxa"/>
            </w:tcMar>
          </w:tcPr>
          <w:p>
            <w:r>
              <w:rPr>
                <w:rFonts w:ascii="Calibri" w:hAnsi="Calibri" w:eastAsia="Calibri"/>
                <w:b/>
                <w:i w:val="0"/>
                <w:color w:val="17365D"/>
                <w:sz w:val="18"/>
              </w:rPr>
              <w:t>Scenario</w:t>
            </w:r>
          </w:p>
        </w:tc>
        <w:tc>
          <w:tcPr>
            <w:tcW w:type="dxa" w:w="3600"/>
            <w:shd w:fill="F2F4F7"/>
            <w:vAlign w:val="top"/>
            <w:tcMar>
              <w:top w:w="80" w:type="dxa"/>
              <w:bottom w:w="80" w:type="dxa"/>
              <w:start w:w="120" w:type="dxa"/>
              <w:end w:w="120" w:type="dxa"/>
            </w:tcMar>
          </w:tcPr>
          <w:p>
            <w:r>
              <w:rPr>
                <w:rFonts w:ascii="Calibri" w:hAnsi="Calibri" w:eastAsia="Calibri"/>
                <w:b/>
                <w:i w:val="0"/>
                <w:color w:val="17365D"/>
                <w:sz w:val="18"/>
              </w:rPr>
              <w:t>Required operation</w:t>
            </w:r>
          </w:p>
        </w:tc>
        <w:tc>
          <w:tcPr>
            <w:tcW w:type="dxa" w:w="3560"/>
            <w:shd w:fill="F2F4F7"/>
            <w:vAlign w:val="top"/>
            <w:tcMar>
              <w:top w:w="80" w:type="dxa"/>
              <w:bottom w:w="80" w:type="dxa"/>
              <w:start w:w="120" w:type="dxa"/>
              <w:end w:w="120" w:type="dxa"/>
            </w:tcMar>
          </w:tcPr>
          <w:p>
            <w:r>
              <w:rPr>
                <w:rFonts w:ascii="Calibri" w:hAnsi="Calibri" w:eastAsia="Calibri"/>
                <w:b/>
                <w:i w:val="0"/>
                <w:color w:val="17365D"/>
                <w:sz w:val="18"/>
              </w:rPr>
              <w:t>Review point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Researcher reaches customer data</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Stop, minimize, securely report, trigger privacy assessment</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No lateral exploration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Subdomain belongs to vendor</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Treat as out of scope absent vendor authorization</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Coordinate without promising third-party safe harbor</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Issue is actively exploited</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Incident command supersedes ordinary cadence</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Preserve reporter trust and urgent containment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Researcher requests public disclosure</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Apply agreed timeline and evidence-based extension</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Avoid indefinite delay</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Report duplicates a known issue</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Document linked case; communicate reason without revealing identity</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Assess variant or combined impact</w:t>
            </w:r>
          </w:p>
        </w:tc>
      </w:tr>
    </w:tbl>
    <w:p/>
    <w:p>
      <w:pPr>
        <w:pStyle w:val="Heading1"/>
      </w:pPr>
      <w:r>
        <w:t>6. Current-Authority and Specialist Gates</w:t>
      </w:r>
    </w:p>
    <w:tbl>
      <w:tblPr>
        <w:tblStyle w:val="TableGrid"/>
        <w:tblW w:type="dxa" w:w="9360"/>
        <w:jc w:val="left"/>
        <w:tblLayout w:type="fixed"/>
        <w:tblLook w:firstColumn="1" w:firstRow="1" w:lastColumn="0" w:lastRow="0" w:noHBand="0" w:noVBand="1" w:val="04A0"/>
        <w:tblInd w:w="120" w:type="dxa"/>
      </w:tblPr>
      <w:tblGrid>
        <w:gridCol w:w="1600"/>
        <w:gridCol w:w="2800"/>
        <w:gridCol w:w="2000"/>
        <w:gridCol w:w="2960"/>
      </w:tblGrid>
      <w:tr>
        <w:trPr>
          <w:trHeight w:hRule="atLeast"/>
          <w:tblHeader w:val="true"/>
          <w:cantSplit/>
        </w:trPr>
        <w:tc>
          <w:tcPr>
            <w:tcW w:type="dxa" w:w="16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800"/>
            <w:shd w:fill="F2F4F7"/>
            <w:vAlign w:val="top"/>
            <w:tcMar>
              <w:top w:w="80" w:type="dxa"/>
              <w:bottom w:w="80" w:type="dxa"/>
              <w:start w:w="120" w:type="dxa"/>
              <w:end w:w="120" w:type="dxa"/>
            </w:tcMar>
          </w:tcPr>
          <w:p>
            <w:r>
              <w:rPr>
                <w:rFonts w:ascii="Calibri" w:hAnsi="Calibri" w:eastAsia="Calibri"/>
                <w:b/>
                <w:i w:val="0"/>
                <w:color w:val="17365D"/>
                <w:sz w:val="18"/>
              </w:rPr>
              <w:t>Starting authority</w:t>
            </w:r>
          </w:p>
        </w:tc>
        <w:tc>
          <w:tcPr>
            <w:tcW w:type="dxa" w:w="20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960"/>
            <w:shd w:fill="F2F4F7"/>
            <w:vAlign w:val="top"/>
            <w:tcMar>
              <w:top w:w="80" w:type="dxa"/>
              <w:bottom w:w="80" w:type="dxa"/>
              <w:start w:w="120" w:type="dxa"/>
              <w:end w:w="120" w:type="dxa"/>
            </w:tcMar>
          </w:tcPr>
          <w:p>
            <w:r>
              <w:rPr>
                <w:rFonts w:ascii="Calibri" w:hAnsi="Calibri" w:eastAsia="Calibri"/>
                <w:b/>
                <w:i w:val="0"/>
                <w:color w:val="17365D"/>
                <w:sz w:val="18"/>
              </w:rPr>
              <w:t>Matter-specific question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Computer access / anti-circumvention</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federal and state law plus contracts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Cyber/criminal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Scope and conditions of authorization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Privacy / breach</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data and incident laws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Privacy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Unexpected access, evidence handling, notification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CISA VDP guidance</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CISA templates and directives as persuasive operational material</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Security + legal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Channel, scope, process—not direct private-sector mandate</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Export / sanctions / sector rules</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company-specific regimes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Reporter interaction and controlled information</w:t>
            </w:r>
          </w:p>
        </w:tc>
      </w:tr>
    </w:tbl>
    <w:p/>
    <w:p>
      <w:pPr>
        <w:pStyle w:val="Heading1"/>
      </w:pPr>
      <w:r>
        <w:t>7. Matter Completion and Release Checklist</w:t>
      </w:r>
    </w:p>
    <w:tbl>
      <w:tblPr>
        <w:tblStyle w:val="TableGrid"/>
        <w:tblW w:type="dxa" w:w="9360"/>
        <w:jc w:val="left"/>
        <w:tblLayout w:type="fixed"/>
        <w:tblLook w:firstColumn="1" w:firstRow="1" w:lastColumn="0" w:lastRow="0" w:noHBand="0" w:noVBand="1" w:val="04A0"/>
        <w:tblInd w:w="120" w:type="dxa"/>
      </w:tblPr>
      <w:tblGrid>
        <w:gridCol w:w="1200"/>
        <w:gridCol w:w="8160"/>
      </w:tblGrid>
      <w:tr>
        <w:trPr>
          <w:trHeight w:hRule="atLeast"/>
          <w:tblHeader w:val="true"/>
          <w:cantSplit/>
        </w:trPr>
        <w:tc>
          <w:tcPr>
            <w:tcW w:type="dxa" w:w="1200"/>
            <w:shd w:fill="F2F4F7"/>
            <w:vAlign w:val="top"/>
            <w:tcMar>
              <w:top w:w="80" w:type="dxa"/>
              <w:bottom w:w="80" w:type="dxa"/>
              <w:start w:w="120" w:type="dxa"/>
              <w:end w:w="120" w:type="dxa"/>
            </w:tcMar>
          </w:tcPr>
          <w:p>
            <w:r>
              <w:rPr>
                <w:rFonts w:ascii="Calibri" w:hAnsi="Calibri" w:eastAsia="Calibri"/>
                <w:b/>
                <w:i w:val="0"/>
                <w:color w:val="17365D"/>
                <w:sz w:val="18"/>
              </w:rPr>
              <w:t>Status</w:t>
            </w:r>
          </w:p>
        </w:tc>
        <w:tc>
          <w:tcPr>
            <w:tcW w:type="dxa" w:w="8160"/>
            <w:shd w:fill="F2F4F7"/>
            <w:vAlign w:val="top"/>
            <w:tcMar>
              <w:top w:w="80" w:type="dxa"/>
              <w:bottom w:w="80" w:type="dxa"/>
              <w:start w:w="120" w:type="dxa"/>
              <w:end w:w="120" w:type="dxa"/>
            </w:tcMar>
          </w:tcPr>
          <w:p>
            <w:r>
              <w:rPr>
                <w:rFonts w:ascii="Calibri" w:hAnsi="Calibri" w:eastAsia="Calibri"/>
                <w:b/>
                <w:i w:val="0"/>
                <w:color w:val="17365D"/>
                <w:sz w:val="18"/>
              </w:rPr>
              <w:t>Release condition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Verify ownership and precisely enumerate in-scope and excluded assets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Align authorization with terms of use, access controls, vendor contracts, and applicable law</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Test reporting channel, encryption, emergency route, mailbox coverage, and security.txt</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Approve prohibited methods, safe proof limits, privacy handling, and incident escalation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Implement case IDs, deduplication, severity rationale, remediation evidence, and disclosure logs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Separate any bounty or recognition program into independently reviewed terms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Obtain security, privacy, product, communications, and responsible-lawyer approval; publish only the validated version</w:t>
            </w:r>
          </w:p>
        </w:tc>
      </w:tr>
    </w:tbl>
    <w:p/>
    <w:p>
      <w:pPr>
        <w:pStyle w:val="Heading1"/>
        <w:pageBreakBefore/>
      </w:pPr>
      <w:r>
        <w:t>8. Release Certification and Matter Sign-Off</w:t>
      </w:r>
    </w:p>
    <w:p>
      <w:pPr>
        <w:spacing w:after="240"/>
      </w:pPr>
      <w:r>
        <w:t>Complete this page only after every open release condition is satisfied. Each approver confirms only the matters within that person’s responsibility; responsible counsel controls final legal release.</w:t>
      </w:r>
    </w:p>
    <w:tbl>
      <w:tblPr>
        <w:tblStyle w:val="TableGrid"/>
        <w:tblW w:type="dxa" w:w="9360"/>
        <w:jc w:val="left"/>
        <w:tblLayout w:type="fixed"/>
        <w:tblLook w:firstColumn="1" w:firstRow="1" w:lastColumn="0" w:lastRow="0" w:noHBand="0" w:noVBand="1" w:val="04A0"/>
        <w:tblInd w:w="120" w:type="dxa"/>
      </w:tblPr>
      <w:tblGrid>
        <w:gridCol w:w="3000"/>
        <w:gridCol w:w="6360"/>
      </w:tblGrid>
      <w:tr>
        <w:trPr>
          <w:trHeight w:hRule="atLeast"/>
          <w:tblHeader w:val="true"/>
          <w:cantSplit/>
        </w:trPr>
        <w:tc>
          <w:tcPr>
            <w:tcW w:type="dxa" w:w="3000"/>
            <w:shd w:fill="F2F4F7"/>
            <w:vAlign w:val="top"/>
            <w:tcMar>
              <w:top w:w="80" w:type="dxa"/>
              <w:bottom w:w="80" w:type="dxa"/>
              <w:start w:w="120" w:type="dxa"/>
              <w:end w:w="120" w:type="dxa"/>
            </w:tcMar>
          </w:tcPr>
          <w:p>
            <w:r>
              <w:rPr>
                <w:rFonts w:ascii="Calibri" w:hAnsi="Calibri" w:eastAsia="Calibri"/>
                <w:b/>
                <w:i w:val="0"/>
                <w:color w:val="17365D"/>
                <w:sz w:val="18"/>
              </w:rPr>
              <w:t>Certification item</w:t>
            </w:r>
          </w:p>
        </w:tc>
        <w:tc>
          <w:tcPr>
            <w:tcW w:type="dxa" w:w="6360"/>
            <w:shd w:fill="F2F4F7"/>
            <w:vAlign w:val="top"/>
            <w:tcMar>
              <w:top w:w="80" w:type="dxa"/>
              <w:bottom w:w="80" w:type="dxa"/>
              <w:start w:w="120" w:type="dxa"/>
              <w:end w:w="120" w:type="dxa"/>
            </w:tcMar>
          </w:tcPr>
          <w:p>
            <w:r>
              <w:rPr>
                <w:rFonts w:ascii="Calibri" w:hAnsi="Calibri" w:eastAsia="Calibri"/>
                <w:b/>
                <w:i w:val="0"/>
                <w:color w:val="17365D"/>
                <w:sz w:val="18"/>
              </w:rPr>
              <w:t>Completed entry</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Final document title and version</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Cybersecurity Vulnerability Disclosure Policy and Safe-Harbor Package / [FINAL VERSION]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Matter / client / project</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Responsible lawyer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SIGNATURE OR APPROVAL RECORD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Specialist reviewers</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[NAMES / DOMAINS / DATES]</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Business and operational owner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APPROVAL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Alternatives deleted; schedules and cross-references reconciled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Law, guidance, technical standards, facts, and linked workflows refreshed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AS-OF DATE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Approval and evidence archive</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[CONTROLLED LOCATION / MATTER NUMBER]</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RELEASE STATUS.  </w:t>
            </w:r>
            <w:r>
              <w:rPr>
                <w:rFonts w:ascii="Calibri" w:hAnsi="Calibri" w:eastAsia="Calibri"/>
                <w:b w:val="0"/>
                <w:i w:val="0"/>
                <w:color w:val="111111"/>
                <w:sz w:val="21"/>
              </w:rPr>
              <w:t>No matter may be described as approved, compliant, or ready for signature while an entry above remains incomplete or qualified without documented responsible-lawyer resolution.</w:t>
            </w:r>
          </w:p>
        </w:tc>
      </w:tr>
    </w:tbl>
    <w:p/>
    <w:sectPr w:rsidR="00FC693F" w:rsidRPr="0006063C" w:rsidSect="00034616">
      <w:headerReference w:type="default" r:id="rId9"/>
      <w:footerReference w:type="default" r:id="rId10"/>
      <w:pgSz w:w="12240" w:h="15840"/>
      <w:pgMar w:top="1080" w:right="1440" w:bottom="1080" w:left="144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Study and drafting use only | Matter completion required</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200"/>
      <w:gridCol w:w="4160"/>
    </w:tblGrid>
    <w:tr>
      <w:trPr>
        <w:cantSplit/>
        <w:trHeight w:hRule="atLeast"/>
      </w:trPr>
      <w:tc>
        <w:tcPr>
          <w:tcW w:type="dxa" w:w="52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4160"/>
          <w:vAlign w:val="top"/>
          <w:tcMar>
            <w:top w:w="80" w:type="dxa"/>
            <w:bottom w:w="80" w:type="dxa"/>
            <w:start w:w="120" w:type="dxa"/>
            <w:end w:w="120" w:type="dxa"/>
          </w:tcMar>
        </w:tcPr>
        <w:p>
          <w:pPr>
            <w:jc w:val="right"/>
          </w:pPr>
          <w:r>
            <w:rPr>
              <w:rFonts w:ascii="Calibri" w:hAnsi="Calibri" w:eastAsia="Calibri"/>
              <w:b/>
              <w:i w:val="0"/>
              <w:color w:val="17365D"/>
              <w:sz w:val="17"/>
            </w:rPr>
            <w:t>EF-062 | Practitioner Master</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eastAsia="Calibr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32" w:hanging="259"/>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32" w:hanging="259"/>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Text">
    <w:name w:val="Clause Text"/>
    <w:pPr>
      <w:spacing w:after="120" w:line="259" w:lineRule="auto"/>
    </w:pPr>
    <w:rPr>
      <w:rFonts w:ascii="Calibri" w:hAnsi="Calibr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Cybersecurity Vulnerability Disclosure Policy and Safe-Harbor Package</dc:title>
  <dc:subject>Original entrepreneur legal practitioner master for study and matter-specific drafting</dc:subject>
  <dc:creator>Montague Entrepreneur Forms</dc:creator>
  <cp:keywords>EF-062, entrepreneur forms, practitioner master</cp:keywords>
  <dc:description>Original form; no Westlaw or Practical Law text reproduced.</dc:description>
  <cp:lastModifiedBy/>
  <cp:revision>1</cp:revision>
  <dcterms:created xsi:type="dcterms:W3CDTF">2013-12-23T23:15:00Z</dcterms:created>
  <dcterms:modified xsi:type="dcterms:W3CDTF">2013-12-23T23:15:00Z</dcterms:modified>
  <cp:category/>
</cp:coreProperties>
</file>