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Online Sweepstakes and Skill Contest Official Rules Package</w:t>
      </w:r>
    </w:p>
    <w:p>
      <w:r>
        <w:rPr>
          <w:rFonts w:ascii="Calibri" w:hAnsi="Calibri" w:eastAsia="Calibri"/>
          <w:b w:val="0"/>
          <w:i w:val="0"/>
          <w:color w:val="5B6573"/>
          <w:sz w:val="24"/>
        </w:rPr>
        <w:t>A modular official-rules package for a U.S.-focused online promotion, with separate random-draw and skill-contest modules, a free entry pathway, prize administration controls, and state-law escalation gates.</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EF-061</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Use only one promotion architecture unless counsel deliberately designs a hybrid: [RANDOM-DRAW SWEEPSTAKES] / [SKILL CONTEST]. Delete every unused module and reconcile advertisements, landing pages, entry forms, privacy notices, platform terms, prize documents, and winner communications to the final rules.</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Sponsor / administrator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[FULL LEGAL NAME, ENTITY TYPE, ADDRESS] / [INDEPENDENT ADMINISTRATOR, IF ANY]</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Promotion architecture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[RANDOM DRAW] / [SKILL CONTEST] / [COUNSEL-APPROVED HYBRID]</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Territory and eligibility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[U.S. STATES INCLUDED/EXCLUDED]; [AGE / RESIDENCY / EXCLUDED PERSONS]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Promotion period</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[START DATE/TIME/TIME ZONE] through [END DATE/TIME/TIME ZONE]; server time controls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Entry methods and limit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[ONLINE METHOD]; [FREE AMOE]; [ENTRIES PER PERSON/HOUSEHOLD/EMAIL]</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Prizes and maximum ARV</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[PRIZE TABLE]; aggregate approximate retail value: $[●]</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Registration/bonding gate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[FLORIDA / NEW YORK / OTHER JURISDICTION REVIEW OWNER AND DEADLINE]</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Privacy / publicity posture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[PRIVACY NOTICE URL]; [PUBLICITY CONSENT ELECTION]; marketing consent kept separate</w:t>
            </w:r>
          </w:p>
        </w:tc>
      </w:tr>
    </w:tbl>
    <w:p/>
    <w:p>
      <w:pPr>
        <w:pStyle w:val="Heading1"/>
      </w:pPr>
      <w:r>
        <w:t>2. Operative Form</w:t>
      </w:r>
    </w:p>
    <w:p>
      <w:pPr>
        <w:pStyle w:val="Heading2"/>
        <w:keepNext/>
      </w:pPr>
      <w:r>
        <w:t>1. Official Rules; Promotion Architecture</w:t>
      </w:r>
    </w:p>
    <w:p>
      <w:pPr>
        <w:pStyle w:val="ClauseText"/>
        <w:keepNext/>
        <w:keepLines/>
      </w:pPr>
      <w:r>
        <w:t>These Official Rules govern the [PROMOTION NAME] (the “Promotion”), sponsored by [SPONSOR] (the “Sponsor”). The Promotion is structured solely as the selected module identified in the Promotion Facts Schedule. If RANDOM-DRAW is selected, winners are chosen by chance from eligible entries. If SKILL CONTEST is selected, eligible submissions are evaluated against disclosed criteria and chance does not determine the winner. No advertisement, entry screen, social post, or winner communication may contradict these Official Rules.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State the legal structure in the opening and delete the unused architecture. For a hybrid, separately map each phase, entry pool, judging step, and prize; obtain promotion-specialist approval before release.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Ambiguous chance-versus-skill mechanics can create illegal-lottery, consumer-protection, or registration exposure.</w:t>
            </w:r>
          </w:p>
        </w:tc>
      </w:tr>
    </w:tbl>
    <w:p/>
    <w:p>
      <w:pPr>
        <w:pStyle w:val="Heading2"/>
        <w:keepNext/>
      </w:pPr>
      <w:r>
        <w:t>2. Sponsor; Administrator; Platform Disclaimer</w:t>
      </w:r>
    </w:p>
    <w:p>
      <w:pPr>
        <w:pStyle w:val="ClauseText"/>
        <w:keepNext/>
        <w:keepLines/>
      </w:pPr>
      <w:r>
        <w:t>The Sponsor is [LEGAL NAME, ADDRESS]. [ADMINISTRATOR] will perform only the functions assigned in the Administration Schedule and acts subject to these Official Rules. The Promotion is not sponsored, endorsed, administered by, or associated with [PLATFORM NAMES]. Entrants release each identified platform only to the extent permitted by applicable law, and questions must be directed to Sponsor at [CONTACT].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Confirm the contracting party, DBA usage, administrator authority, and each platform’s then-current promotion requirements. Do not name a platform unless the promotion actually uses it.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Misidentifying the sponsor or overstating a platform release can impair enforcement and mislead entrants.</w:t>
            </w:r>
          </w:p>
        </w:tc>
      </w:tr>
    </w:tbl>
    <w:p/>
    <w:p>
      <w:pPr>
        <w:pStyle w:val="Heading2"/>
        <w:keepNext/>
      </w:pPr>
      <w:r>
        <w:t>3. Eligibility</w:t>
      </w:r>
    </w:p>
    <w:p>
      <w:pPr>
        <w:pStyle w:val="ClauseText"/>
        <w:keepNext/>
        <w:keepLines/>
      </w:pPr>
      <w:r>
        <w:t>The Promotion is open only to natural persons who, at entry, are legal residents of [ELIGIBLE TERRITORY], are at least [18 / AGE OF MAJORITY], and satisfy [ADDITIONAL CRITERIA]. Employees, officers, directors, agents, and immediate-family or household members of Sponsor, Administrator, prize suppliers, and promotion agencies are ineligible. Void outside the eligible territory and wherever prohibited or restricted.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residency, age, business-customer, accredited-professional, or customer-status conditions objectively. Consider exclusions for government officials, healthcare professionals, regulated customers, and persons subject to sanctions or employer restrictions.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eligibility can trigger minors, employment, bribery, sanctions, or professional-regulation problems.</w:t>
            </w:r>
          </w:p>
        </w:tc>
      </w:tr>
    </w:tbl>
    <w:p/>
    <w:p>
      <w:pPr>
        <w:pStyle w:val="Heading2"/>
        <w:keepNext/>
      </w:pPr>
      <w:r>
        <w:t>4. Promotion Period; Timekeeping</w:t>
      </w:r>
    </w:p>
    <w:p>
      <w:pPr>
        <w:pStyle w:val="ClauseText"/>
        <w:keepNext/>
        <w:keepLines/>
      </w:pPr>
      <w:r>
        <w:t>The Promotion begins at [TIME] [TIME ZONE] on [DATE] and ends at [TIME] [TIME ZONE] on [DATE] (the “Promotion Period”). Sponsor’s designated system clock is the official timekeeping device. An entry is received only when the designated system records a complete submission during the Promotion Period; proof of sending is not proof of receipt.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one time zone everywhere and account for daylight-saving changes. If phases differ, publish a table of entry, judging, voting, and notification dates.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Inconsistent timing disclosures are a common source of disputes and regulator complaints.</w:t>
            </w:r>
          </w:p>
        </w:tc>
      </w:tr>
    </w:tbl>
    <w:p/>
    <w:p>
      <w:pPr>
        <w:pStyle w:val="Heading2"/>
        <w:keepNext/>
      </w:pPr>
      <w:r>
        <w:t>5. Online Entry Method</w:t>
      </w:r>
    </w:p>
    <w:p>
      <w:pPr>
        <w:pStyle w:val="ClauseText"/>
        <w:keepNext/>
        <w:keepLines/>
      </w:pPr>
      <w:r>
        <w:t>During the Promotion Period, an eligible person may visit [URL], complete the required fields, affirm agreement to these Official Rules, and submit the entry described in the Entry Matrix. Purchase, payment, subscription, and marketing consent are not required unless counsel has approved a skill-contest structure in which consideration is lawful. Optional marketing consent must be presented separately and must not improve the entrant’s odds or score.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List every required field and permission. Ensure the button text, checkbox order, privacy links, and confirmation message match this clause.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Hidden consideration or bundled marketing consent can undermine the no-purchase representation and consent validity.</w:t>
            </w:r>
          </w:p>
        </w:tc>
      </w:tr>
    </w:tbl>
    <w:p/>
    <w:p>
      <w:pPr>
        <w:pStyle w:val="Heading2"/>
        <w:keepNext/>
      </w:pPr>
      <w:r>
        <w:t>6. Free Alternative Method of Entry; No Purchase Necessary</w:t>
      </w:r>
    </w:p>
    <w:p>
      <w:pPr>
        <w:pStyle w:val="ClauseText"/>
        <w:keepNext/>
        <w:keepLines/>
      </w:pPr>
      <w:r>
        <w:t>For a RANDOM-DRAW promotion, NO PURCHASE OR PAYMENT IS NECESSARY TO ENTER OR WIN, AND A PURCHASE WILL NOT INCREASE THE ODDS OF WINNING. The free alternative method of entry (“AMOE”) in the Entry Matrix must be available during substantially the same period, receive substantially equal treatment, and yield the same number and quality of entries as the primary method, subject only to the disclosed entry limit. Sponsor will not impose undisclosed steps or materially greater burdens on AMOE entrants.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Describe every AMOE step, deadline, mailing or online address, required notation, and entry credit. Review timing and equal-dignity treatment; do not use a nominal or impractical AMOE.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deficient AMOE can supply the consideration element of a prohibited lottery.</w:t>
            </w:r>
          </w:p>
        </w:tc>
      </w:tr>
    </w:tbl>
    <w:p/>
    <w:p>
      <w:pPr>
        <w:pStyle w:val="Heading2"/>
        <w:keepNext/>
      </w:pPr>
      <w:r>
        <w:t>7. Entry Limits; Identity; Automated Entries</w:t>
      </w:r>
    </w:p>
    <w:p>
      <w:pPr>
        <w:pStyle w:val="ClauseText"/>
        <w:keepNext/>
        <w:keepLines/>
      </w:pPr>
      <w:r>
        <w:t>Limit [ONE / NUMBER] entry or entries per [PERSON / HOUSEHOLD / EMAIL ADDRESS / ACCOUNT] during [PERIOD], regardless of method. If identity is disputed, Sponsor may treat the authorized account holder of the submitted address as the entrant, subject to proof of eligibility. Entries generated by bots, scripts, macros, exchange services, or coordinated manipulation are void, except that assistive technology used by a person with a disability is not prohibited.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Choose a limit that can be technically enforced across all methods. Add household or device controls only if proportionate and disclosed.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Opaque anti-fraud methods or assistive-technology exclusions can create fairness and accessibility issues.</w:t>
            </w:r>
          </w:p>
        </w:tc>
      </w:tr>
    </w:tbl>
    <w:p/>
    <w:p>
      <w:pPr>
        <w:pStyle w:val="Heading2"/>
        <w:keepNext/>
      </w:pPr>
      <w:r>
        <w:t>8. Prizes; Approximate Retail Value; Restrictions</w:t>
      </w:r>
    </w:p>
    <w:p>
      <w:pPr>
        <w:pStyle w:val="ClauseText"/>
        <w:keepNext/>
        <w:keepLines/>
      </w:pPr>
      <w:r>
        <w:t>Each prize, quantity, approximate retail value (“ARV”), and material restriction appears in the Prize Schedule. Total maximum ARV is $[●]. Prizes are nontransferable and may not be substituted or redeemed for cash except that Sponsor may substitute a prize of equal or greater value if unavailable. Any difference between stated ARV and actual value will not be awarded. Travel prizes require the disclosed travel windows, documentation, companions, and allocation of incidentals.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Validate ARV close to launch, attach supplier commitments, state blackout dates, and allocate shipping, insurance, installation, travel, or ongoing fees.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Incomplete prize disclosures can be deceptive; travel and regulated prizes create additional risks.</w:t>
            </w:r>
          </w:p>
        </w:tc>
      </w:tr>
    </w:tbl>
    <w:p/>
    <w:p>
      <w:pPr>
        <w:pStyle w:val="Heading2"/>
        <w:keepNext/>
      </w:pPr>
      <w:r>
        <w:t>9. Random-Draw Module</w:t>
      </w:r>
    </w:p>
    <w:p>
      <w:pPr>
        <w:pStyle w:val="ClauseText"/>
        <w:keepNext/>
        <w:keepLines/>
      </w:pPr>
      <w:r>
        <w:t>[USE ONLY FOR RANDOM DRAW.] On or about [DATE], [SPONSOR / ADMINISTRATOR] will conduct a random drawing using [AUDITABLE METHOD] from all eligible entries received. Odds depend on the number of eligible entries. The draw record must identify the population, exclusions, method, seed or controls where appropriate, personnel, date, and alternate sequence.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Delete for a pure skill contest. Preserve an auditable draw certificate and define how late-discovered ineligible entries are handled.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undocumented or manipulable draw can defeat the announced chance mechanism.</w:t>
            </w:r>
          </w:p>
        </w:tc>
      </w:tr>
    </w:tbl>
    <w:p/>
    <w:p>
      <w:pPr>
        <w:pStyle w:val="Heading2"/>
        <w:keepNext/>
      </w:pPr>
      <w:r>
        <w:t>10. Skill-Contest Judging Module</w:t>
      </w:r>
    </w:p>
    <w:p>
      <w:pPr>
        <w:pStyle w:val="ClauseText"/>
        <w:keepNext/>
        <w:keepLines/>
      </w:pPr>
      <w:r>
        <w:t>[USE ONLY FOR SKILL CONTEST.] Qualified judges will score each eligible submission using the following disclosed criteria totaling 100%: [CRITERION AND WEIGHT], [CRITERION AND WEIGHT], and [CRITERION AND WEIGHT]. The highest aggregate score wins, subject to verification. Ties are resolved by [HIGHEST SCORE ON PRIORITY CRITERION / TIE-BREAK JUDGE]. Public voting, if any, accounts for no more than [●]% and is subject to the anti-manipulation controls in the Judging Schedule.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Delete for a pure sweepstakes. Define objective weights, qualified judges, conflict controls, scoring records, tie-breaker, recusal, and any permitted Sponsor discretion.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Undisclosed judging discretion or chance-based tie-breaking can compromise a skill classification.</w:t>
            </w:r>
          </w:p>
        </w:tc>
      </w:tr>
    </w:tbl>
    <w:p/>
    <w:p>
      <w:pPr>
        <w:pStyle w:val="Heading2"/>
        <w:keepNext/>
      </w:pPr>
      <w:r>
        <w:t>11. Winner Notification and Verification</w:t>
      </w:r>
    </w:p>
    <w:p>
      <w:pPr>
        <w:pStyle w:val="ClauseText"/>
        <w:keepNext/>
        <w:keepLines/>
      </w:pPr>
      <w:r>
        <w:t>Potential winners are not winners until Sponsor verifies eligibility and compliance. Sponsor will attempt notice by [METHOD] within [TIME]. A potential winner must respond within [TIME], execute any eligibility affidavit, release, tax form, publicity consent where lawful and elected, and other disclosed documents, and pass any legally required screening. If a potential winner is ineligible, fails to respond, or refuses required documents, Sponsor may select an alternate using the same method.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a reasonable response window and an alternate protocol. For minors where allowed, require parent or guardian documentation. Avoid requesting unnecessary sensitive information before it is needed.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Poor verification creates prize disputes, tax gaps, and privacy risk.</w:t>
            </w:r>
          </w:p>
        </w:tc>
      </w:tr>
    </w:tbl>
    <w:p/>
    <w:p>
      <w:pPr>
        <w:pStyle w:val="Heading2"/>
        <w:keepNext/>
      </w:pPr>
      <w:r>
        <w:t>12. Taxes; Expenses; Delivery</w:t>
      </w:r>
    </w:p>
    <w:p>
      <w:pPr>
        <w:pStyle w:val="ClauseText"/>
        <w:keepNext/>
        <w:keepLines/>
      </w:pPr>
      <w:r>
        <w:t>A verified winner is responsible for taxes and expenses not expressly included. Sponsor may require a completed Form W-9 or other lawful tax documentation and may issue required information returns. Sponsor will deliver the prize by [METHOD] within approximately [TIME] after verification, subject to availability and force majeure. Risk of loss and title pass only as stated in the Prize Schedule.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Coordinate with tax and prize-fulfillment personnel. State who pays shipping, import duties, travel incidentals, or maintenance costs.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Tax and delivery ambiguity often turns a promotional benefit into an unexpected winner burden.</w:t>
            </w:r>
          </w:p>
        </w:tc>
      </w:tr>
    </w:tbl>
    <w:p/>
    <w:p>
      <w:pPr>
        <w:pStyle w:val="Heading2"/>
        <w:keepNext/>
      </w:pPr>
      <w:r>
        <w:t>13. Publicity; Privacy; Communications</w:t>
      </w:r>
    </w:p>
    <w:p>
      <w:pPr>
        <w:pStyle w:val="ClauseText"/>
        <w:keepNext/>
        <w:keepLines/>
      </w:pPr>
      <w:r>
        <w:t>Sponsor will process entry and administration data under the privacy notice identified in the Facts Schedule and only for disclosed purposes. Entry does not itself enroll an entrant in marketing. Except where prohibited, Sponsor may request a separate, revocable publicity consent from a verified winner to use name, likeness, voice, city, state, and prize information for promotion without additional compensation; refusal will not disqualify a winner unless a lawful, material publicity requirement was clearly disclosed at entry.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Match actual data flows, vendors, retention, minors rules, and privacy rights. Separate official-rules assent, marketing consent, and publicity consent.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Combining consents or promising broader use than necessary creates privacy and publicity-rights exposure.</w:t>
            </w:r>
          </w:p>
        </w:tc>
      </w:tr>
    </w:tbl>
    <w:p/>
    <w:p>
      <w:pPr>
        <w:pStyle w:val="Heading2"/>
        <w:keepNext/>
      </w:pPr>
      <w:r>
        <w:t>14. Submission Rights; Intellectual Property</w:t>
      </w:r>
    </w:p>
    <w:p>
      <w:pPr>
        <w:pStyle w:val="ClauseText"/>
        <w:keepNext/>
        <w:keepLines/>
      </w:pPr>
      <w:r>
        <w:t>For a skill contest requiring original material, the entrant represents that the submission is original or properly licensed, does not infringe third-party rights, and does not contain confidential, defamatory, or unlawful content. The entrant retains ownership, but grants Sponsor a [NONEXCLUSIVE, WORLDWIDE, ROYALTY-FREE] license during [TERM] to reproduce, display, adapt for formatting, and use the submission solely to administer and publicize the Promotion. Any broader assignment must be separately stated and supported by appropriate consideration.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the license to the use case; address music, images, trademarks, AI-generated content, moral rights, and takedown. Do not take ownership casually.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Overreaching IP terms can be unenforceable or commercially damaging; under-scoped terms may prevent judging and publicity.</w:t>
            </w:r>
          </w:p>
        </w:tc>
      </w:tr>
    </w:tbl>
    <w:p/>
    <w:p>
      <w:pPr>
        <w:pStyle w:val="Heading2"/>
        <w:keepNext/>
      </w:pPr>
      <w:r>
        <w:t>15. Conduct; Fraud; Disqualification</w:t>
      </w:r>
    </w:p>
    <w:p>
      <w:pPr>
        <w:pStyle w:val="ClauseText"/>
        <w:keepNext/>
        <w:keepLines/>
      </w:pPr>
      <w:r>
        <w:t>Sponsor may disqualify an entrant for material rule violations, fraud, vote manipulation, harassment, interference, false information, or conduct that threatens the fair operation of the Promotion, after a proportionate review. Sponsor may preserve evidence, invalidate affected entries or votes, and use an alternate process consistent with these Official Rules. Enforcement must not discriminate or penalize good-faith accessibility requests.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Document detection signals, review authority, notice and appeal where appropriate, and consistent treatment. Avoid unlimited discretion.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Unbounded disqualification clauses invite unfairness challenges and inconsistent administration.</w:t>
            </w:r>
          </w:p>
        </w:tc>
      </w:tr>
    </w:tbl>
    <w:p/>
    <w:p>
      <w:pPr>
        <w:pStyle w:val="Heading2"/>
        <w:keepNext/>
      </w:pPr>
      <w:r>
        <w:t>16. Release; Limitation; Technical Failures</w:t>
      </w:r>
    </w:p>
    <w:p>
      <w:pPr>
        <w:pStyle w:val="ClauseText"/>
        <w:keepNext/>
        <w:keepLines/>
      </w:pPr>
      <w:r>
        <w:t>To the extent permitted by law, entrants release the Released Parties identified in the Facts Schedule from claims arising from participation or prize acceptance, except claims that cannot lawfully be released. Released Parties are not responsible for transmission failures, unauthorized intervention, corrupted entries, or other technical problems beyond reasonable control, but Sponsor remains responsible for administering the Promotion in material accordance with these Official Rules and applicable law.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Identify released parties precisely and preserve nonwaivable rights. Avoid attempting to waive gross negligence, intentional misconduct, statutory rights, or Sponsor’s core administration obligations.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releases and disclaimers may be void and can create consumer-protection risk.</w:t>
            </w:r>
          </w:p>
        </w:tc>
      </w:tr>
    </w:tbl>
    <w:p/>
    <w:p>
      <w:pPr>
        <w:pStyle w:val="Heading2"/>
        <w:keepNext/>
      </w:pPr>
      <w:r>
        <w:t>17. Modification, Suspension, and Force Majeure</w:t>
      </w:r>
    </w:p>
    <w:p>
      <w:pPr>
        <w:pStyle w:val="ClauseText"/>
        <w:keepNext/>
        <w:keepLines/>
      </w:pPr>
      <w:r>
        <w:t>If fraud, technical failure, legal change, natural disaster, or another event beyond Sponsor’s reasonable control materially impairs integrity or feasibility, Sponsor may suspend, modify, or terminate the Promotion only to the extent reasonably necessary. Sponsor will provide notice where practicable and, if fair and lawful, award prizes from eligible entries received before the event using the announced or a substantially equivalent method.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Require a documented trigger, proportional response, communications plan, and counsel approval. Do not reserve a free-standing right to cancel for convenience.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Unlimited modification rights can make the offer illusory or deceptive.</w:t>
            </w:r>
          </w:p>
        </w:tc>
      </w:tr>
    </w:tbl>
    <w:p/>
    <w:p>
      <w:pPr>
        <w:pStyle w:val="Heading2"/>
        <w:keepNext/>
      </w:pPr>
      <w:r>
        <w:t>18. Disputes; Governing Law</w:t>
      </w:r>
    </w:p>
    <w:p>
      <w:pPr>
        <w:pStyle w:val="ClauseText"/>
        <w:keepNext/>
        <w:keepLines/>
      </w:pPr>
      <w:r>
        <w:t>These Official Rules are governed by the law of [STATE], without regard to conflicts principles, except that mandatory law of an entrant’s jurisdiction remains applicable. Before filing a claim, a party must send written notice to [ADDRESS] and allow [30] days for good-faith resolution. [COURT / INDIVIDUAL ARBITRATION] provisions, class-action waiver, jury waiver, fee allocation, and injunctive-relief language apply only if separately reviewed for the eligible territory and presented with valid assent.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Choose forum terms after consumer-arbitration and promotion-specialist review. If using arbitration, specify provider, rules, mass-arbitration treatment, small-claims carve-out, opt-out, and severability.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generic forum clause may be unenforceable or invite regulatory concern.</w:t>
            </w:r>
          </w:p>
        </w:tc>
      </w:tr>
    </w:tbl>
    <w:p/>
    <w:p>
      <w:pPr>
        <w:pStyle w:val="Heading2"/>
        <w:keepNext/>
      </w:pPr>
      <w:r>
        <w:t>19. State Registration, Bonding, and Local-Law Gate</w:t>
      </w:r>
    </w:p>
    <w:p>
      <w:pPr>
        <w:pStyle w:val="ClauseText"/>
        <w:keepNext/>
        <w:keepLines/>
      </w:pPr>
      <w:r>
        <w:t>Launch is conditioned on completion of the Compliance Schedule. Sponsor will not open entries in a jurisdiction until counsel confirms whether registration, bonding, filing, official-rules delivery, winner-list, tax, translation, deposit, or other local requirements apply. The territory may be narrowed before launch to avoid uncompleted requirements. The rules must state any lawful jurisdictional exclusions.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 chance promotions, review Florida and New York thresholds and deadlines, plus Rhode Island retail-establishment rules and any other state or local requirements. Recheck current law rather than relying on thresholds in this master.</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Missed registration or bonding deadlines cannot reliably be cured after launch.</w:t>
            </w:r>
          </w:p>
        </w:tc>
      </w:tr>
    </w:tbl>
    <w:p/>
    <w:p>
      <w:pPr>
        <w:pStyle w:val="Heading2"/>
        <w:keepNext/>
      </w:pPr>
      <w:r>
        <w:t>20. Winners List; Records; Accessibility</w:t>
      </w:r>
    </w:p>
    <w:p>
      <w:pPr>
        <w:pStyle w:val="ClauseText"/>
        <w:keepNext/>
        <w:keepLines/>
      </w:pPr>
      <w:r>
        <w:t>Sponsor will maintain the final rules, advertising samples, entry counts, draw or judging records, winner verification, prize delivery, complaints, and required filings for [RETENTION PERIOD]. Where required or offered, a winners list may be requested at [METHOD] by [DATE]. Sponsor will provide reasonable accessibility assistance and an equivalent entry method through [ACCESSIBILITY CONTACT] without reducing entry value or imposing an added charge.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retention against limitation periods, filing rules, tax, privacy minimization, and litigation holds. Test entry and rules pages for keyboard, screen-reader, contrast, and mobile usability.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Weak records impede audit and defense; inaccessible entry paths can exclude eligible participants.</w:t>
            </w:r>
          </w:p>
        </w:tc>
      </w:tr>
    </w:tbl>
    <w:p/>
    <w:p>
      <w:pPr>
        <w:pStyle w:val="Heading1"/>
      </w:pPr>
      <w:r>
        <w:t>3. Required Schedules and Closing Tools</w:t>
      </w:r>
    </w:p>
    <w:p>
      <w:pPr>
        <w:pStyle w:val="Heading2"/>
      </w:pPr>
      <w:r>
        <w:t>Schedule 1 — Promotion Facts Card</w:t>
      </w:r>
    </w:p>
    <w:p>
      <w:pPr>
        <w:keepNext/>
      </w:pPr>
      <w:r>
        <w:t>Complete before any public announcement; every downstream asset must use identical defined facts.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Field</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Selected term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 / due 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Legal sponsor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Legal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Entity record / [date]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Architecture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[Random draw / skill]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Legal + marketing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Approved mechanics memo</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Territory / eligibility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Legal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Jurisdiction matrix</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Period / official clock</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Operations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System test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Official URLs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Marketing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Prelaunch screenshot</w:t>
            </w:r>
          </w:p>
        </w:tc>
      </w:tr>
    </w:tbl>
    <w:p/>
    <w:p>
      <w:pPr>
        <w:pStyle w:val="Heading2"/>
      </w:pPr>
      <w:r>
        <w:t>Schedule 2 — Entry and AMOE Matrix</w:t>
      </w:r>
    </w:p>
    <w:p>
      <w:pPr>
        <w:keepNext/>
      </w:pPr>
      <w:r>
        <w:t>For a sweepstakes, compare actual effort, timing, visibility, and credit for the AMOE against the primary method.</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Method</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Steps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Entry credit / limit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Testing 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Primary online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Free AMOE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[Equal credit]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[Burden/timing test]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Accessibility support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[Equal credit]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[Assistive-tech test]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Optional referral/social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[Counsel-approved]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[Platform compliance]</w:t>
            </w:r>
          </w:p>
        </w:tc>
      </w:tr>
    </w:tbl>
    <w:p/>
    <w:p>
      <w:pPr>
        <w:pStyle w:val="Heading2"/>
      </w:pPr>
      <w:r>
        <w:t>Schedule 3 — Prize, Drawing, and Judging Matrix</w:t>
      </w:r>
    </w:p>
    <w:p>
      <w:pPr>
        <w:keepNext/>
      </w:pPr>
      <w:r>
        <w:t>Delete the unused chance or skill rows and reconcile the final award process to the selected architecture.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Item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Definitive term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Control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Record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Prize / quantity / ARV</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Supplier confirmation</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Invoice / valuation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Random draw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 or N/A]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Independent/auditable method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Draw certificate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Judging criteria / weights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 or N/A]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Conflict and tie protocol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Signed score sheets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Alternates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[Number / order]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Same selection method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Contact log</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Delivery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Verification + tax gate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Receipt</w:t>
            </w:r>
          </w:p>
        </w:tc>
      </w:tr>
    </w:tbl>
    <w:p/>
    <w:p>
      <w:pPr>
        <w:pStyle w:val="Heading2"/>
      </w:pPr>
      <w:r>
        <w:t>Schedule 4 — Compliance and Launch Checklist</w:t>
      </w:r>
    </w:p>
    <w:p>
      <w:pPr>
        <w:keepNext/>
      </w:pPr>
      <w:r>
        <w:t>No launch approval may be given while a required filing, bond, rule correction, or technical test remains open.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Decision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Responsible person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Completion 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Lottery / consideration analysis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[Pass / redesign]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Promotion counsel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Written analysis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State registration / bond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[Required / not required]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Promotion counsel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Filing / bond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Privacy and marketing consent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[Approved]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Privacy counsel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Flow map / screenshots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Platform / ad review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[Approved]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Marketing + legal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Final assets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Winner / tax / records plan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[Approved]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Operations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Runbook</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Chance vs. skill</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Select one defensible architecture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Hybrid or voting-based mechanic</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Mechanics memo; unused module deleted</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No purchase / AMOE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Equal dignity and entry value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Bundled purchase or nominal AMOE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User-flow and burden comparison</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Prize / winner process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Objective, auditable administration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Vague ARV or unlimited substitution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Supplier and alternate records</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Data / publicity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Purpose-limited data; separate consents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Marketing bundled with entry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Privacy flow and consent captures</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Purchase path fails but AMOE remains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Entrants still have a visible, timely, equal-value free method</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Pause or correct if AMOE is harder or credited differently</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Top skill scores tie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Apply disclosed priority criterion, then documented tie-break</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random tie-break unless counsel approved the structure</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Winner misses response window</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logged attempts and selected alternate sequence</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improvise a new selection method</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Prize becomes unavailable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disclosed equal-or-greater substitution control</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Document value and winner communication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Technical attack affects votes/entries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Preserve evidence; proportionately remove tainted activity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Follow modification clause and counsel-approved notice</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Lottery / promotion law</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eligible-territory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Promotion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Mechanics, consideration, chance/skill classification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Florida registration/bonding</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Fla. Stat. § 849.094 and current implementing practice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Florida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Threshold, filing, trust/bond, rules and winner list</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Consumer / platform</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FTC/state UDAP and current platform terms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Advertising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Clear disclosures, endorsements, platform release</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 / tax / publicity</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privacy, tax, minors, and publicity-rights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Relevant 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Data flows, winner documents, reporting</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Select and document chance or skill architecture; delete unused module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Verify sponsor identity, eligible territory, age, exclusions, and period</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Test every entry method and any AMOE for equal treatment and accessibility</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Confirm prize supply, ARV, restrictions, tax, delivery, alternates, and records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Complete state registration, bonding, filing, and local-law analysis before launch</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Reconcile rules against every ad, page, checkbox, privacy notice, platform term, and winner form</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responsible-lawyer and operational owner approval; archive the release packet</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Online Sweepstakes and Skill Contest Official Rules Package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EF-061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Sweepstakes and Skill Contest Official Rules Package</dc:title>
  <dc:subject>Original entrepreneur legal practitioner master for study and matter-specific drafting</dc:subject>
  <dc:creator>Montague Entrepreneur Forms</dc:creator>
  <cp:keywords>EF-061,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