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rFonts w:ascii="Calibri" w:cs="Calibri" w:eastAsia="Calibri" w:hAnsi="Calibri"/>
          <w:b/>
          <w:bCs/>
          <w:color w:val="1a1a2e"/>
          <w:sz w:val="30"/>
          <w:szCs w:val="30"/>
        </w:rPr>
        <w:t xml:space="preserve">EQUITY SUBSCRIPTION AGREEMENT</w:t>
      </w:r>
    </w:p>
    <w:p>
      <w:pPr>
        <w:spacing w:after="40"/>
        <w:jc w:val="center"/>
      </w:pPr>
      <w:r>
        <w:rPr>
          <w:rFonts w:ascii="Calibri" w:cs="Calibri" w:eastAsia="Calibri" w:hAnsi="Calibri"/>
          <w:b/>
          <w:bCs/>
          <w:color w:val="1a1a2e"/>
          <w:sz w:val="24"/>
          <w:szCs w:val="24"/>
        </w:rPr>
        <w:t xml:space="preserve">REGULATION D PRIVATE PLACEMENT</w:t>
      </w:r>
    </w:p>
    <w:p>
      <w:pPr>
        <w:spacing w:after="360"/>
        <w:jc w:val="center"/>
      </w:pPr>
      <w:r>
        <w:rPr>
          <w:rFonts w:ascii="Calibri" w:cs="Calibri" w:eastAsia="Calibri" w:hAnsi="Calibri"/>
          <w:i/>
          <w:iCs/>
          <w:color w:val="555555"/>
          <w:sz w:val="24"/>
          <w:szCs w:val="24"/>
        </w:rPr>
        <w:t xml:space="preserve">[COMPANY]</w:t>
      </w:r>
    </w:p>
    <w:p>
      <w:pPr>
        <w:pStyle w:val="Heading2"/>
        <w:spacing w:after="120" w:before="240"/>
      </w:pPr>
      <w:r>
        <w:rPr>
          <w:rFonts w:ascii="Calibri" w:cs="Calibri" w:eastAsia="Calibri" w:hAnsi="Calibri"/>
          <w:b/>
          <w:bCs/>
          <w:color w:val="1a1a2e"/>
          <w:sz w:val="24"/>
          <w:szCs w:val="24"/>
        </w:rPr>
        <w:t xml:space="preserve">Subscription Cover Sheet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Issuer:</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[COMPANY]</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Investor:</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[NAME / ENTITY]</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Security:</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[CLASS] Stock/Units</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Price Per Share/Unit:</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$[PRICE]</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Subscription Amount:</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$[AMOUNT]</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Number of Securities:</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[NUMBER]</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Offering Exemption:</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[Rule 506(b) / Rule 506(c)]</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Closing Date:</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[DATE / Rolling]</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Minimum Offering:</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[$AMOUNT / None]</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Maximum Offering:</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[$AMOUNT]</w:t>
            </w:r>
          </w:p>
        </w:tc>
      </w:tr>
    </w:tbl>
    <w:p>
      <w:pPr>
        <w:spacing w:after="240"/>
      </w:pPr>
    </w:p>
    <w:p>
      <w:pPr>
        <w:pStyle w:val="Heading2"/>
        <w:spacing w:after="120" w:before="240"/>
      </w:pPr>
      <w:r>
        <w:rPr>
          <w:rFonts w:ascii="Calibri" w:cs="Calibri" w:eastAsia="Calibri" w:hAnsi="Calibri"/>
          <w:b/>
          <w:bCs/>
          <w:color w:val="1a1a2e"/>
          <w:sz w:val="24"/>
          <w:szCs w:val="24"/>
        </w:rPr>
        <w:t xml:space="preserve">1. Subscription and Acceptance</w:t>
      </w:r>
    </w:p>
    <w:p>
      <w:pPr>
        <w:spacing w:after="160"/>
        <w:jc w:val="left"/>
      </w:pPr>
      <w:r>
        <w:rPr>
          <w:rFonts w:ascii="Calibri" w:cs="Calibri" w:eastAsia="Calibri" w:hAnsi="Calibri"/>
          <w:color w:val="333333"/>
          <w:sz w:val="22"/>
          <w:szCs w:val="22"/>
        </w:rPr>
        <w:t xml:space="preserve">1.1 Subscription. The Investor irrevocably offers to purchase the Securities described in the Cover Sheet for the Subscription Amount, subject to the terms of this Agreement. This offer is irrevocable and may be accepted by the Issuer at any time prior to the Outside Closing Date.</w:t>
      </w:r>
    </w:p>
    <w:p>
      <w:pPr>
        <w:spacing w:after="160"/>
        <w:jc w:val="left"/>
      </w:pPr>
      <w:r>
        <w:rPr>
          <w:rFonts w:ascii="Calibri" w:cs="Calibri" w:eastAsia="Calibri" w:hAnsi="Calibri"/>
          <w:color w:val="333333"/>
          <w:sz w:val="22"/>
          <w:szCs w:val="22"/>
        </w:rPr>
        <w:t xml:space="preserve">1.2 Acceptance. The Issuer may accept all or any portion of this subscription by countersigning this Agreement. The Issuer may reject any subscription for any lawful reason, in whole or in part, in its sole discretion. Rejected funds shall be returned without interest within [5] Business Days of the rejection decision.</w:t>
      </w:r>
    </w:p>
    <w:p>
      <w:pPr>
        <w:spacing w:after="160"/>
        <w:jc w:val="left"/>
      </w:pPr>
      <w:r>
        <w:rPr>
          <w:rFonts w:ascii="Calibri" w:cs="Calibri" w:eastAsia="Calibri" w:hAnsi="Calibri"/>
          <w:color w:val="333333"/>
          <w:sz w:val="22"/>
          <w:szCs w:val="22"/>
        </w:rPr>
        <w:t xml:space="preserve">1.3 Allocation. If the offering is oversubscribed, the Issuer shall allocate subscriptions in its discretion as disclosed in the Offering Materials, subject to any disclosed allocation methodology. Partial acceptances shall be confirmed in writing with the accepted amount.</w:t>
      </w:r>
    </w:p>
    <w:p>
      <w:pPr>
        <w:pStyle w:val="Heading2"/>
        <w:spacing w:after="120" w:before="240"/>
      </w:pPr>
      <w:r>
        <w:rPr>
          <w:rFonts w:ascii="Calibri" w:cs="Calibri" w:eastAsia="Calibri" w:hAnsi="Calibri"/>
          <w:b/>
          <w:bCs/>
          <w:color w:val="1a1a2e"/>
          <w:sz w:val="24"/>
          <w:szCs w:val="24"/>
        </w:rPr>
        <w:t xml:space="preserve">2. Closing and Payment</w:t>
      </w:r>
    </w:p>
    <w:p>
      <w:pPr>
        <w:spacing w:after="160"/>
        <w:jc w:val="left"/>
      </w:pPr>
      <w:r>
        <w:rPr>
          <w:rFonts w:ascii="Calibri" w:cs="Calibri" w:eastAsia="Calibri" w:hAnsi="Calibri"/>
          <w:color w:val="333333"/>
          <w:sz w:val="22"/>
          <w:szCs w:val="22"/>
        </w:rPr>
        <w:t xml:space="preserve">2.1 Closing. The closing (the "Closing") shall occur on the date specified in the Cover Sheet or, for a rolling closing, on a date selected by the Issuer after all conditions in Section 9 are satisfied or waived. For a rolling closing, the Issuer shall provide the Investor at least [3] Business Days' notice of the scheduled Closing date.</w:t>
      </w:r>
    </w:p>
    <w:p>
      <w:pPr>
        <w:spacing w:after="160"/>
        <w:jc w:val="left"/>
      </w:pPr>
      <w:r>
        <w:rPr>
          <w:rFonts w:ascii="Calibri" w:cs="Calibri" w:eastAsia="Calibri" w:hAnsi="Calibri"/>
          <w:color w:val="333333"/>
          <w:sz w:val="22"/>
          <w:szCs w:val="22"/>
        </w:rPr>
        <w:t xml:space="preserve">2.2 Payment. The Investor shall deliver the Subscription Amount by wire transfer of immediately available funds to the account designated by the Issuer through a verified channel. Wire instructions shall be confirmed by telephone callback to a previously established number before transmission. The Issuer shall not change wire instructions by email. The Investor bears the risk of loss from funds sent to a spoofed or unauthorized account unless the Issuer failed to follow verified-channel procedures.</w:t>
      </w:r>
    </w:p>
    <w:p>
      <w:pPr>
        <w:spacing w:after="160"/>
        <w:jc w:val="left"/>
      </w:pPr>
      <w:r>
        <w:rPr>
          <w:rFonts w:ascii="Calibri" w:cs="Calibri" w:eastAsia="Calibri" w:hAnsi="Calibri"/>
          <w:color w:val="333333"/>
          <w:sz w:val="22"/>
          <w:szCs w:val="22"/>
        </w:rPr>
        <w:t xml:space="preserve">2.3 Escrow. [If a minimum offering amount is specified in the Cover Sheet, all subscription funds shall be held in escrow by [ESCROW AGENT] until the minimum is reached by the Outside Closing Date. If the minimum is not reached, funds shall be returned to investors within [10] Business Days with any accrued interest.]</w:t>
      </w:r>
    </w:p>
    <w:p>
      <w:pPr>
        <w:spacing w:after="160"/>
        <w:jc w:val="left"/>
      </w:pPr>
      <w:r>
        <w:rPr>
          <w:rFonts w:ascii="Calibri" w:cs="Calibri" w:eastAsia="Calibri" w:hAnsi="Calibri"/>
          <w:color w:val="333333"/>
          <w:sz w:val="22"/>
          <w:szCs w:val="22"/>
        </w:rPr>
        <w:t xml:space="preserve">2.4 Closing Deliverables. At Closing, the Investor shall deliver: (a) the Subscription Amount; (b) this executed Agreement; (c) completed accredited investor questionnaire; (d) applicable tax forms (W-9 or W-8); (e) identity and beneficial-ownership documentation; and (f) executed joinders to any stockholders' agreement, voting agreement, ROFR agreement, or other applicable governing documents.</w:t>
      </w:r>
    </w:p>
    <w:p>
      <w:pPr>
        <w:spacing w:after="160"/>
        <w:jc w:val="left"/>
      </w:pPr>
      <w:r>
        <w:rPr>
          <w:rFonts w:ascii="Calibri" w:cs="Calibri" w:eastAsia="Calibri" w:hAnsi="Calibri"/>
          <w:color w:val="333333"/>
          <w:sz w:val="22"/>
          <w:szCs w:val="22"/>
        </w:rPr>
        <w:t xml:space="preserve">2.5 Ownership. Upon acceptance and Closing, the Issuer shall record the Investor's ownership of the Securities in book-entry form and deliver a capitalization certificate reflecting the issuance.</w:t>
      </w:r>
    </w:p>
    <w:p>
      <w:r>
        <w:br w:type="page"/>
      </w:r>
    </w:p>
    <w:p>
      <w:pPr>
        <w:pStyle w:val="Heading2"/>
        <w:spacing w:after="120" w:before="240"/>
      </w:pPr>
      <w:r>
        <w:rPr>
          <w:rFonts w:ascii="Calibri" w:cs="Calibri" w:eastAsia="Calibri" w:hAnsi="Calibri"/>
          <w:b/>
          <w:bCs/>
          <w:color w:val="1a1a2e"/>
          <w:sz w:val="24"/>
          <w:szCs w:val="24"/>
        </w:rPr>
        <w:t xml:space="preserve">3. Issuer Representations</w:t>
      </w:r>
    </w:p>
    <w:p>
      <w:pPr>
        <w:spacing w:after="160"/>
        <w:jc w:val="left"/>
      </w:pPr>
      <w:r>
        <w:rPr>
          <w:rFonts w:ascii="Calibri" w:cs="Calibri" w:eastAsia="Calibri" w:hAnsi="Calibri"/>
          <w:color w:val="333333"/>
          <w:sz w:val="22"/>
          <w:szCs w:val="22"/>
        </w:rPr>
        <w:t xml:space="preserve">The Issuer represents and warrants to the Investor, as of acceptance and Closing (subject to the disclosure schedules):</w:t>
      </w:r>
    </w:p>
    <w:p>
      <w:pPr>
        <w:spacing w:after="160"/>
        <w:jc w:val="left"/>
      </w:pPr>
      <w:r>
        <w:rPr>
          <w:rFonts w:ascii="Calibri" w:cs="Calibri" w:eastAsia="Calibri" w:hAnsi="Calibri"/>
          <w:color w:val="333333"/>
          <w:sz w:val="22"/>
          <w:szCs w:val="22"/>
        </w:rPr>
        <w:t xml:space="preserve">3.1 Organization. The Issuer is duly organized, validly existing, and in good standing under the laws of its jurisdiction of formation and is qualified to do business in each jurisdiction where the nature of its business requires qualification.</w:t>
      </w:r>
    </w:p>
    <w:p>
      <w:pPr>
        <w:spacing w:after="160"/>
        <w:jc w:val="left"/>
      </w:pPr>
      <w:r>
        <w:rPr>
          <w:rFonts w:ascii="Calibri" w:cs="Calibri" w:eastAsia="Calibri" w:hAnsi="Calibri"/>
          <w:color w:val="333333"/>
          <w:sz w:val="22"/>
          <w:szCs w:val="22"/>
        </w:rPr>
        <w:t xml:space="preserve">3.2 Authority. The Issuer has all necessary corporate or organizational power and authority to execute this Agreement, issue the Securities, and perform its obligations. The execution, delivery, and performance of this Agreement have been duly authorized by all necessary action.</w:t>
      </w:r>
    </w:p>
    <w:p>
      <w:pPr>
        <w:spacing w:after="160"/>
        <w:jc w:val="left"/>
      </w:pPr>
      <w:r>
        <w:rPr>
          <w:rFonts w:ascii="Calibri" w:cs="Calibri" w:eastAsia="Calibri" w:hAnsi="Calibri"/>
          <w:color w:val="333333"/>
          <w:sz w:val="22"/>
          <w:szCs w:val="22"/>
        </w:rPr>
        <w:t xml:space="preserve">3.3 Valid Issuance. The Securities, when issued and paid for in accordance with this Agreement, will be validly issued, fully paid, and nonassessable (to the extent such concepts apply), free of all liens and encumbrances created by the Issuer, subject to applicable transfer restrictions and legends.</w:t>
      </w:r>
    </w:p>
    <w:p>
      <w:pPr>
        <w:spacing w:after="160"/>
        <w:jc w:val="left"/>
      </w:pPr>
      <w:r>
        <w:rPr>
          <w:rFonts w:ascii="Calibri" w:cs="Calibri" w:eastAsia="Calibri" w:hAnsi="Calibri"/>
          <w:color w:val="333333"/>
          <w:sz w:val="22"/>
          <w:szCs w:val="22"/>
        </w:rPr>
        <w:t xml:space="preserve">3.4 No Conflicts. The execution and delivery of this Agreement and the issuance of the Securities do not materially violate the Issuer's governing documents, any material agreement to which the Issuer is a party, or any applicable law or order.</w:t>
      </w:r>
    </w:p>
    <w:p>
      <w:pPr>
        <w:spacing w:after="160"/>
        <w:jc w:val="left"/>
      </w:pPr>
      <w:r>
        <w:rPr>
          <w:rFonts w:ascii="Calibri" w:cs="Calibri" w:eastAsia="Calibri" w:hAnsi="Calibri"/>
          <w:color w:val="333333"/>
          <w:sz w:val="22"/>
          <w:szCs w:val="22"/>
        </w:rPr>
        <w:t xml:space="preserve">3.5 Capitalization. The Issuer's capitalization is as set forth in the capitalization table delivered to the Investor, which is accurate and complete as of the date stated therein.</w:t>
      </w:r>
    </w:p>
    <w:p>
      <w:pPr>
        <w:spacing w:after="160"/>
        <w:jc w:val="left"/>
      </w:pPr>
      <w:r>
        <w:rPr>
          <w:rFonts w:ascii="Calibri" w:cs="Calibri" w:eastAsia="Calibri" w:hAnsi="Calibri"/>
          <w:color w:val="333333"/>
          <w:sz w:val="22"/>
          <w:szCs w:val="22"/>
        </w:rPr>
        <w:t xml:space="preserve">3.6 Offering Materials. The Offering Materials identified in Schedule 1, taken as a whole and as of the dates stated therein, do not contain any untrue statement of a material fact or omit to state a material fact necessary to make the statements therein, in light of the circumstances under which they were made, not misleading, subject to applicable knowledge, materiality, and forward-looking-information qualifications set forth in Schedule 1.</w:t>
      </w:r>
    </w:p>
    <w:p>
      <w:pPr>
        <w:spacing w:after="160"/>
        <w:jc w:val="left"/>
      </w:pPr>
      <w:r>
        <w:rPr>
          <w:rFonts w:ascii="Calibri" w:cs="Calibri" w:eastAsia="Calibri" w:hAnsi="Calibri"/>
          <w:color w:val="333333"/>
          <w:sz w:val="22"/>
          <w:szCs w:val="22"/>
        </w:rPr>
        <w:t xml:space="preserve">3.7 No Broker. No broker, finder, or placement agent fee is owed in connection with this subscription except as disclosed in Schedule 1.</w:t>
      </w:r>
    </w:p>
    <w:p>
      <w:pPr>
        <w:spacing w:after="160"/>
        <w:jc w:val="left"/>
      </w:pPr>
      <w:r>
        <w:rPr>
          <w:rFonts w:ascii="Calibri" w:cs="Calibri" w:eastAsia="Calibri" w:hAnsi="Calibri"/>
          <w:color w:val="333333"/>
          <w:sz w:val="22"/>
          <w:szCs w:val="22"/>
        </w:rPr>
        <w:t xml:space="preserve">3.8 Bad Actor. No person covered by Rule 506(d) in connection with this offering is subject to any disqualifying event described therein, or, if so, the Issuer has complied with applicable disclosure requirements.</w:t>
      </w:r>
    </w:p>
    <w:p>
      <w:pPr>
        <w:pStyle w:val="Heading2"/>
        <w:spacing w:after="120" w:before="240"/>
      </w:pPr>
      <w:r>
        <w:rPr>
          <w:rFonts w:ascii="Calibri" w:cs="Calibri" w:eastAsia="Calibri" w:hAnsi="Calibri"/>
          <w:b/>
          <w:bCs/>
          <w:color w:val="1a1a2e"/>
          <w:sz w:val="24"/>
          <w:szCs w:val="24"/>
        </w:rPr>
        <w:t xml:space="preserve">4. Investor Representations — Authority and Investment Intent</w:t>
      </w:r>
    </w:p>
    <w:p>
      <w:pPr>
        <w:spacing w:after="160"/>
        <w:jc w:val="left"/>
      </w:pPr>
      <w:r>
        <w:rPr>
          <w:rFonts w:ascii="Calibri" w:cs="Calibri" w:eastAsia="Calibri" w:hAnsi="Calibri"/>
          <w:color w:val="333333"/>
          <w:sz w:val="22"/>
          <w:szCs w:val="22"/>
        </w:rPr>
        <w:t xml:space="preserve">The Investor represents and warrants to the Issuer:</w:t>
      </w:r>
    </w:p>
    <w:p>
      <w:pPr>
        <w:spacing w:after="160"/>
        <w:jc w:val="left"/>
      </w:pPr>
      <w:r>
        <w:rPr>
          <w:rFonts w:ascii="Calibri" w:cs="Calibri" w:eastAsia="Calibri" w:hAnsi="Calibri"/>
          <w:color w:val="333333"/>
          <w:sz w:val="22"/>
          <w:szCs w:val="22"/>
        </w:rPr>
        <w:t xml:space="preserve">4.1 Authority. The Investor has full power and authority to enter into this Agreement and to perform all obligations hereunder. If an entity, the Investor is duly organized, validly existing, and the signatory is authorized to bind the Investor.</w:t>
      </w:r>
    </w:p>
    <w:p>
      <w:pPr>
        <w:spacing w:after="160"/>
        <w:jc w:val="left"/>
      </w:pPr>
      <w:r>
        <w:rPr>
          <w:rFonts w:ascii="Calibri" w:cs="Calibri" w:eastAsia="Calibri" w:hAnsi="Calibri"/>
          <w:color w:val="333333"/>
          <w:sz w:val="22"/>
          <w:szCs w:val="22"/>
        </w:rPr>
        <w:t xml:space="preserve">4.2 Investment Intent. The Investor acquires the Securities for its own account (or for a disclosed co-investor or managed account), for investment purposes only, and not with any present intention or plan to distribute, resell, or otherwise dispose of the Securities in violation of applicable securities laws.</w:t>
      </w:r>
    </w:p>
    <w:p>
      <w:pPr>
        <w:spacing w:after="160"/>
        <w:jc w:val="left"/>
      </w:pPr>
      <w:r>
        <w:rPr>
          <w:rFonts w:ascii="Calibri" w:cs="Calibri" w:eastAsia="Calibri" w:hAnsi="Calibri"/>
          <w:color w:val="333333"/>
          <w:sz w:val="22"/>
          <w:szCs w:val="22"/>
        </w:rPr>
        <w:t xml:space="preserve">4.3 Risk. The Investor can bear a complete loss of the entire investment, has adequate means of providing for current needs and contingencies without the investment, and has no need for liquidity from the Securities. The Investor understands no public market exists and the Issuer has no obligation to create one.</w:t>
      </w:r>
    </w:p>
    <w:p>
      <w:pPr>
        <w:spacing w:after="160"/>
        <w:jc w:val="left"/>
      </w:pPr>
      <w:r>
        <w:rPr>
          <w:rFonts w:ascii="Calibri" w:cs="Calibri" w:eastAsia="Calibri" w:hAnsi="Calibri"/>
          <w:color w:val="333333"/>
          <w:sz w:val="22"/>
          <w:szCs w:val="22"/>
        </w:rPr>
        <w:t xml:space="preserve">4.4 Independent Advice. The Investor has obtained or had the opportunity to obtain independent legal, tax, and financial advice and has not relied on the Issuer for such advice.</w:t>
      </w:r>
    </w:p>
    <w:p>
      <w:pPr>
        <w:pStyle w:val="Heading2"/>
        <w:spacing w:after="120" w:before="240"/>
      </w:pPr>
      <w:r>
        <w:rPr>
          <w:rFonts w:ascii="Calibri" w:cs="Calibri" w:eastAsia="Calibri" w:hAnsi="Calibri"/>
          <w:b/>
          <w:bCs/>
          <w:color w:val="1a1a2e"/>
          <w:sz w:val="24"/>
          <w:szCs w:val="24"/>
        </w:rPr>
        <w:t xml:space="preserve">5. Investor Representations — Information and Sophistication</w:t>
      </w:r>
    </w:p>
    <w:p>
      <w:pPr>
        <w:spacing w:after="160"/>
        <w:jc w:val="left"/>
      </w:pPr>
      <w:r>
        <w:rPr>
          <w:rFonts w:ascii="Calibri" w:cs="Calibri" w:eastAsia="Calibri" w:hAnsi="Calibri"/>
          <w:color w:val="333333"/>
          <w:sz w:val="22"/>
          <w:szCs w:val="22"/>
        </w:rPr>
        <w:t xml:space="preserve">5.1 Access. The Investor has received the Offering Materials identified in Schedule 1 and has had a reasonable opportunity to ask questions of the Issuer's management and to request additional information reasonably available and not protected by privilege.</w:t>
      </w:r>
    </w:p>
    <w:p>
      <w:pPr>
        <w:spacing w:after="160"/>
        <w:jc w:val="left"/>
      </w:pPr>
      <w:r>
        <w:rPr>
          <w:rFonts w:ascii="Calibri" w:cs="Calibri" w:eastAsia="Calibri" w:hAnsi="Calibri"/>
          <w:color w:val="333333"/>
          <w:sz w:val="22"/>
          <w:szCs w:val="22"/>
        </w:rPr>
        <w:t xml:space="preserve">5.2 Sophistication. The Investor, alone or with a purchaser representative, has sufficient knowledge and experience in financial and business matters to evaluate the merits and risks of the investment.</w:t>
      </w:r>
    </w:p>
    <w:p>
      <w:pPr>
        <w:spacing w:after="160"/>
        <w:jc w:val="left"/>
      </w:pPr>
      <w:r>
        <w:rPr>
          <w:rFonts w:ascii="Calibri" w:cs="Calibri" w:eastAsia="Calibri" w:hAnsi="Calibri"/>
          <w:color w:val="333333"/>
          <w:sz w:val="22"/>
          <w:szCs w:val="22"/>
        </w:rPr>
        <w:t xml:space="preserve">5.3 No Outside Reliance. The Investor has not relied on any representation, warranty, projection, or statement outside the signed Transaction Documents. The Investor understands that projections and forward-looking statements are inherently uncertain and do not constitute guarantees of future performance.</w:t>
      </w:r>
    </w:p>
    <w:p>
      <w:r>
        <w:br w:type="page"/>
      </w:r>
    </w:p>
    <w:p>
      <w:pPr>
        <w:pStyle w:val="Heading2"/>
        <w:spacing w:after="120" w:before="240"/>
      </w:pPr>
      <w:r>
        <w:rPr>
          <w:rFonts w:ascii="Calibri" w:cs="Calibri" w:eastAsia="Calibri" w:hAnsi="Calibri"/>
          <w:b/>
          <w:bCs/>
          <w:color w:val="1a1a2e"/>
          <w:sz w:val="24"/>
          <w:szCs w:val="24"/>
        </w:rPr>
        <w:t xml:space="preserve">6. Accredited Investor Status and Offering Method</w:t>
      </w:r>
    </w:p>
    <w:p>
      <w:pPr>
        <w:spacing w:after="160"/>
        <w:jc w:val="left"/>
      </w:pPr>
      <w:r>
        <w:rPr>
          <w:rFonts w:ascii="Calibri" w:cs="Calibri" w:eastAsia="Calibri" w:hAnsi="Calibri"/>
          <w:color w:val="333333"/>
          <w:sz w:val="22"/>
          <w:szCs w:val="22"/>
        </w:rPr>
        <w:t xml:space="preserve">6.1 Accredited Status. The Investor certifies that it qualifies as an "accredited investor" as defined in Rule 501(a) of Regulation D under the Securities Act, under the specific category or categories identified in the attached Accredited Investor Questionnaire. All information provided in the questionnaire is accurate, complete, and current.</w:t>
      </w:r>
    </w:p>
    <w:p>
      <w:pPr>
        <w:spacing w:after="160"/>
        <w:jc w:val="left"/>
      </w:pPr>
      <w:r>
        <w:rPr>
          <w:rFonts w:ascii="Calibri" w:cs="Calibri" w:eastAsia="Calibri" w:hAnsi="Calibri"/>
          <w:color w:val="333333"/>
          <w:sz w:val="22"/>
          <w:szCs w:val="22"/>
        </w:rPr>
        <w:t xml:space="preserve">6.2 Rule 506(b) [Select if applicable]. The Investor represents that it did not learn of this offering through any form of general solicitation or general advertising (including public websites, social media, mass mailings, or seminars open to the general public). The Investor has a pre-existing substantive relationship with the Issuer or a placement agent as described in Schedule 3.</w:t>
      </w:r>
    </w:p>
    <w:p>
      <w:pPr>
        <w:spacing w:after="160"/>
        <w:jc w:val="left"/>
      </w:pPr>
      <w:r>
        <w:rPr>
          <w:rFonts w:ascii="Calibri" w:cs="Calibri" w:eastAsia="Calibri" w:hAnsi="Calibri"/>
          <w:color w:val="333333"/>
          <w:sz w:val="22"/>
          <w:szCs w:val="22"/>
        </w:rPr>
        <w:t xml:space="preserve">6.3 Rule 506(c) [Select if applicable]. The Investor shall complete the separate Accredited Investor Verification Package and authorizes the Issuer and its agents to take reasonable steps to verify the Investor's accredited status. Self-certification alone does not satisfy the Rule 506(c) verification requirement. The verification determination shall be documented and dated.</w:t>
      </w:r>
    </w:p>
    <w:p>
      <w:pPr>
        <w:pStyle w:val="Heading2"/>
        <w:spacing w:after="120" w:before="240"/>
      </w:pPr>
      <w:r>
        <w:rPr>
          <w:rFonts w:ascii="Calibri" w:cs="Calibri" w:eastAsia="Calibri" w:hAnsi="Calibri"/>
          <w:b/>
          <w:bCs/>
          <w:color w:val="1a1a2e"/>
          <w:sz w:val="24"/>
          <w:szCs w:val="24"/>
        </w:rPr>
        <w:t xml:space="preserve">7. Restricted Securities</w:t>
      </w:r>
    </w:p>
    <w:p>
      <w:pPr>
        <w:spacing w:after="160"/>
        <w:jc w:val="left"/>
      </w:pPr>
      <w:r>
        <w:rPr>
          <w:rFonts w:ascii="Calibri" w:cs="Calibri" w:eastAsia="Calibri" w:hAnsi="Calibri"/>
          <w:color w:val="333333"/>
          <w:sz w:val="22"/>
          <w:szCs w:val="22"/>
        </w:rPr>
        <w:t xml:space="preserve">The Investor acknowledges that the Securities have not been registered under the Securities Act of 1933 or any state securities laws and are "restricted securities" within the meaning of Rule 144. The Securities may not be offered, sold, assigned, pledged, or otherwise transferred except: (a) pursuant to an effective registration statement; or (b) pursuant to an available exemption from registration, with such evidence of exemption as the Issuer may reasonably require. Certificates or book-entry notations shall bear customary restrictive legends. Transfer is further subject to any applicable stockholders' agreement, right of first refusal, co-sale agreement, and the Issuer's charter and bylaws.</w:t>
      </w:r>
    </w:p>
    <w:p>
      <w:pPr>
        <w:pStyle w:val="Heading2"/>
        <w:spacing w:after="120" w:before="240"/>
      </w:pPr>
      <w:r>
        <w:rPr>
          <w:rFonts w:ascii="Calibri" w:cs="Calibri" w:eastAsia="Calibri" w:hAnsi="Calibri"/>
          <w:b/>
          <w:bCs/>
          <w:color w:val="1a1a2e"/>
          <w:sz w:val="24"/>
          <w:szCs w:val="24"/>
        </w:rPr>
        <w:t xml:space="preserve">8. Compliance Representations</w:t>
      </w:r>
    </w:p>
    <w:p>
      <w:pPr>
        <w:spacing w:after="160"/>
        <w:jc w:val="left"/>
      </w:pPr>
      <w:r>
        <w:rPr>
          <w:rFonts w:ascii="Calibri" w:cs="Calibri" w:eastAsia="Calibri" w:hAnsi="Calibri"/>
          <w:color w:val="333333"/>
          <w:sz w:val="22"/>
          <w:szCs w:val="22"/>
        </w:rPr>
        <w:t xml:space="preserve">8.1 Source of Funds. The subscription funds are derived from lawful sources and are not connected to money laundering, terrorist financing, or other prohibited activity under applicable law.</w:t>
      </w:r>
    </w:p>
    <w:p>
      <w:pPr>
        <w:spacing w:after="160"/>
        <w:jc w:val="left"/>
      </w:pPr>
      <w:r>
        <w:rPr>
          <w:rFonts w:ascii="Calibri" w:cs="Calibri" w:eastAsia="Calibri" w:hAnsi="Calibri"/>
          <w:color w:val="333333"/>
          <w:sz w:val="22"/>
          <w:szCs w:val="22"/>
        </w:rPr>
        <w:t xml:space="preserve">8.2 Sanctions. Neither the Investor nor any of its beneficial owners is a person or entity identified on any sanctions list maintained by OFAC, the U.S. Department of State, the United Nations, the European Union, or any other applicable sanctions authority, and is not located in, organized under the laws of, or a resident of any sanctioned country or territory.</w:t>
      </w:r>
    </w:p>
    <w:p>
      <w:pPr>
        <w:spacing w:after="160"/>
        <w:jc w:val="left"/>
      </w:pPr>
      <w:r>
        <w:rPr>
          <w:rFonts w:ascii="Calibri" w:cs="Calibri" w:eastAsia="Calibri" w:hAnsi="Calibri"/>
          <w:color w:val="333333"/>
          <w:sz w:val="22"/>
          <w:szCs w:val="22"/>
        </w:rPr>
        <w:t xml:space="preserve">8.3 Identity and Beneficial Ownership. The Investor shall provide all identity, beneficial-ownership, tax, and compliance documentation reasonably requested by the Issuer to satisfy KYC/AML requirements. The Issuer may reject or delay Closing to complete required diligence.</w:t>
      </w:r>
    </w:p>
    <w:p>
      <w:pPr>
        <w:spacing w:after="160"/>
        <w:jc w:val="left"/>
      </w:pPr>
      <w:r>
        <w:rPr>
          <w:rFonts w:ascii="Calibri" w:cs="Calibri" w:eastAsia="Calibri" w:hAnsi="Calibri"/>
          <w:color w:val="333333"/>
          <w:sz w:val="22"/>
          <w:szCs w:val="22"/>
        </w:rPr>
        <w:t xml:space="preserve">8.4 ERISA. [If applicable: The Investor represents that the subscription funds are not "plan assets" subject to ERISA or Section 4975 of the Internal Revenue Code, or, if they are, the Investor has disclosed the applicable plan and fiduciary in Schedule 3.]</w:t>
      </w:r>
    </w:p>
    <w:p>
      <w:pPr>
        <w:pStyle w:val="Heading2"/>
        <w:spacing w:after="120" w:before="240"/>
      </w:pPr>
      <w:r>
        <w:rPr>
          <w:rFonts w:ascii="Calibri" w:cs="Calibri" w:eastAsia="Calibri" w:hAnsi="Calibri"/>
          <w:b/>
          <w:bCs/>
          <w:color w:val="1a1a2e"/>
          <w:sz w:val="24"/>
          <w:szCs w:val="24"/>
        </w:rPr>
        <w:t xml:space="preserve">9. Conditions to Closing</w:t>
      </w:r>
    </w:p>
    <w:p>
      <w:pPr>
        <w:spacing w:after="160"/>
        <w:jc w:val="left"/>
      </w:pPr>
      <w:r>
        <w:rPr>
          <w:rFonts w:ascii="Calibri" w:cs="Calibri" w:eastAsia="Calibri" w:hAnsi="Calibri"/>
          <w:color w:val="333333"/>
          <w:sz w:val="22"/>
          <w:szCs w:val="22"/>
        </w:rPr>
        <w:t xml:space="preserve">9.1 Investor Conditions. The Investor's obligation to close is subject to: (a) the accuracy of the Issuer's representations at Closing; (b) receipt of all required corporate and regulatory approvals; (c) delivery of the governing documents identified in the Cover Sheet; and (d) no material adverse change in the Issuer's business since the date of the Offering Materials that has not been disclosed.</w:t>
      </w:r>
    </w:p>
    <w:p>
      <w:pPr>
        <w:spacing w:after="160"/>
        <w:jc w:val="left"/>
      </w:pPr>
      <w:r>
        <w:rPr>
          <w:rFonts w:ascii="Calibri" w:cs="Calibri" w:eastAsia="Calibri" w:hAnsi="Calibri"/>
          <w:color w:val="333333"/>
          <w:sz w:val="22"/>
          <w:szCs w:val="22"/>
        </w:rPr>
        <w:t xml:space="preserve">9.2 Issuer Conditions. The Issuer's obligation to accept and close is subject to: (a) receipt of the Subscription Amount; (b) accuracy of the Investor's representations; (c) completed verification/KYC documentation; (d) executed joinders to applicable agreements; and (e) no legal prohibition on the issuance.</w:t>
      </w:r>
    </w:p>
    <w:p>
      <w:pPr>
        <w:pStyle w:val="Heading2"/>
        <w:spacing w:after="120" w:before="240"/>
      </w:pPr>
      <w:r>
        <w:rPr>
          <w:rFonts w:ascii="Calibri" w:cs="Calibri" w:eastAsia="Calibri" w:hAnsi="Calibri"/>
          <w:b/>
          <w:bCs/>
          <w:color w:val="1a1a2e"/>
          <w:sz w:val="24"/>
          <w:szCs w:val="24"/>
        </w:rPr>
        <w:t xml:space="preserve">10. Material Changes and Reconfirmation</w:t>
      </w:r>
    </w:p>
    <w:p>
      <w:pPr>
        <w:spacing w:after="160"/>
        <w:jc w:val="left"/>
      </w:pPr>
      <w:r>
        <w:rPr>
          <w:rFonts w:ascii="Calibri" w:cs="Calibri" w:eastAsia="Calibri" w:hAnsi="Calibri"/>
          <w:color w:val="333333"/>
          <w:sz w:val="22"/>
          <w:szCs w:val="22"/>
        </w:rPr>
        <w:t xml:space="preserve">If a material change occurs in the Issuer's business, financial condition, capitalization, or offering terms between the Investor's execution and Closing, the Issuer shall deliver supplemental disclosure. For rolling closings, the Investor shall have [5] Business Days after receipt of supplemental disclosure to withdraw the subscription and receive a full refund, or to reconfirm participation. Silence after [5] Business Days constitutes reconfirmation. No provision of this Agreement waives any right or remedy under federal or state securities law that is nonwaivable.</w:t>
      </w:r>
    </w:p>
    <w:p>
      <w:r>
        <w:br w:type="page"/>
      </w:r>
    </w:p>
    <w:p>
      <w:pPr>
        <w:pStyle w:val="Heading2"/>
        <w:spacing w:after="120" w:before="240"/>
      </w:pPr>
      <w:r>
        <w:rPr>
          <w:rFonts w:ascii="Calibri" w:cs="Calibri" w:eastAsia="Calibri" w:hAnsi="Calibri"/>
          <w:b/>
          <w:bCs/>
          <w:color w:val="1a1a2e"/>
          <w:sz w:val="24"/>
          <w:szCs w:val="24"/>
        </w:rPr>
        <w:t xml:space="preserve">11. Termination</w:t>
      </w:r>
    </w:p>
    <w:p>
      <w:pPr>
        <w:spacing w:after="160"/>
        <w:jc w:val="left"/>
      </w:pPr>
      <w:r>
        <w:rPr>
          <w:rFonts w:ascii="Calibri" w:cs="Calibri" w:eastAsia="Calibri" w:hAnsi="Calibri"/>
          <w:color w:val="333333"/>
          <w:sz w:val="22"/>
          <w:szCs w:val="22"/>
        </w:rPr>
        <w:t xml:space="preserve">11.1 Outside Date. If Closing has not occurred by [DATE] (the "Outside Closing Date"), either party may terminate this Agreement by written notice, and the Issuer shall return the Subscription Amount within [10] Business Days.</w:t>
      </w:r>
    </w:p>
    <w:p>
      <w:pPr>
        <w:spacing w:after="160"/>
        <w:jc w:val="left"/>
      </w:pPr>
      <w:r>
        <w:rPr>
          <w:rFonts w:ascii="Calibri" w:cs="Calibri" w:eastAsia="Calibri" w:hAnsi="Calibri"/>
          <w:color w:val="333333"/>
          <w:sz w:val="22"/>
          <w:szCs w:val="22"/>
        </w:rPr>
        <w:t xml:space="preserve">11.2 Failed Conditions. If a closing condition cannot be satisfied and is not waived, the affected party may terminate upon written notice.</w:t>
      </w:r>
    </w:p>
    <w:p>
      <w:pPr>
        <w:spacing w:after="160"/>
        <w:jc w:val="left"/>
      </w:pPr>
      <w:r>
        <w:rPr>
          <w:rFonts w:ascii="Calibri" w:cs="Calibri" w:eastAsia="Calibri" w:hAnsi="Calibri"/>
          <w:color w:val="333333"/>
          <w:sz w:val="22"/>
          <w:szCs w:val="22"/>
        </w:rPr>
        <w:t xml:space="preserve">11.3 Mutual Termination. The parties may terminate by mutual written agreement.</w:t>
      </w:r>
    </w:p>
    <w:p>
      <w:pPr>
        <w:spacing w:after="160"/>
        <w:jc w:val="left"/>
      </w:pPr>
      <w:r>
        <w:rPr>
          <w:rFonts w:ascii="Calibri" w:cs="Calibri" w:eastAsia="Calibri" w:hAnsi="Calibri"/>
          <w:color w:val="333333"/>
          <w:sz w:val="22"/>
          <w:szCs w:val="22"/>
        </w:rPr>
        <w:t xml:space="preserve">11.4 Effect. Upon termination, the Issuer shall promptly return the Subscription Amount (with any accrued escrow interest, if applicable). Termination does not waive accrued rights, confidentiality obligations, or nonwaivable securities-law rights.</w:t>
      </w:r>
    </w:p>
    <w:p>
      <w:pPr>
        <w:pStyle w:val="Heading2"/>
        <w:spacing w:after="120" w:before="240"/>
      </w:pPr>
      <w:r>
        <w:rPr>
          <w:rFonts w:ascii="Calibri" w:cs="Calibri" w:eastAsia="Calibri" w:hAnsi="Calibri"/>
          <w:b/>
          <w:bCs/>
          <w:color w:val="1a1a2e"/>
          <w:sz w:val="24"/>
          <w:szCs w:val="24"/>
        </w:rPr>
        <w:t xml:space="preserve">12. General Provisions</w:t>
      </w:r>
    </w:p>
    <w:p>
      <w:pPr>
        <w:spacing w:after="160"/>
        <w:jc w:val="left"/>
      </w:pPr>
      <w:r>
        <w:rPr>
          <w:rFonts w:ascii="Calibri" w:cs="Calibri" w:eastAsia="Calibri" w:hAnsi="Calibri"/>
          <w:color w:val="333333"/>
          <w:sz w:val="22"/>
          <w:szCs w:val="22"/>
        </w:rPr>
        <w:t xml:space="preserve">12.1 Entire Agreement. This Agreement, together with the Cover Sheet and all Schedules and Exhibits, constitutes the entire subscription agreement between the parties and supersedes all prior negotiations and agreements on the subject matter.</w:t>
      </w:r>
    </w:p>
    <w:p>
      <w:pPr>
        <w:spacing w:after="160"/>
        <w:jc w:val="left"/>
      </w:pPr>
      <w:r>
        <w:rPr>
          <w:rFonts w:ascii="Calibri" w:cs="Calibri" w:eastAsia="Calibri" w:hAnsi="Calibri"/>
          <w:color w:val="333333"/>
          <w:sz w:val="22"/>
          <w:szCs w:val="22"/>
        </w:rPr>
        <w:t xml:space="preserve">12.2 Amendments. No amendment or waiver is effective unless in writing and signed by the parties.</w:t>
      </w:r>
    </w:p>
    <w:p>
      <w:pPr>
        <w:spacing w:after="160"/>
        <w:jc w:val="left"/>
      </w:pPr>
      <w:r>
        <w:rPr>
          <w:rFonts w:ascii="Calibri" w:cs="Calibri" w:eastAsia="Calibri" w:hAnsi="Calibri"/>
          <w:color w:val="333333"/>
          <w:sz w:val="22"/>
          <w:szCs w:val="22"/>
        </w:rPr>
        <w:t xml:space="preserve">12.3 Assignment. Neither party may assign this Agreement except that the Issuer may assign to a lawful successor entity without reducing the Investor's rights.</w:t>
      </w:r>
    </w:p>
    <w:p>
      <w:pPr>
        <w:spacing w:after="160"/>
        <w:jc w:val="left"/>
      </w:pPr>
      <w:r>
        <w:rPr>
          <w:rFonts w:ascii="Calibri" w:cs="Calibri" w:eastAsia="Calibri" w:hAnsi="Calibri"/>
          <w:color w:val="333333"/>
          <w:sz w:val="22"/>
          <w:szCs w:val="22"/>
        </w:rPr>
        <w:t xml:space="preserve">12.4 Governing Law. This Agreement is governed by the laws of the State of [STATE], without regard to conflict-of-laws principles.</w:t>
      </w:r>
    </w:p>
    <w:p>
      <w:pPr>
        <w:spacing w:after="160"/>
        <w:jc w:val="left"/>
      </w:pPr>
      <w:r>
        <w:rPr>
          <w:rFonts w:ascii="Calibri" w:cs="Calibri" w:eastAsia="Calibri" w:hAnsi="Calibri"/>
          <w:color w:val="333333"/>
          <w:sz w:val="22"/>
          <w:szCs w:val="22"/>
        </w:rPr>
        <w:t xml:space="preserve">12.5 Dispute Resolution. Any dispute arising under this Agreement shall be resolved in [COURTS, COUNTY, STATE].</w:t>
      </w:r>
    </w:p>
    <w:p>
      <w:pPr>
        <w:spacing w:after="160"/>
        <w:jc w:val="left"/>
      </w:pPr>
      <w:r>
        <w:rPr>
          <w:rFonts w:ascii="Calibri" w:cs="Calibri" w:eastAsia="Calibri" w:hAnsi="Calibri"/>
          <w:color w:val="333333"/>
          <w:sz w:val="22"/>
          <w:szCs w:val="22"/>
        </w:rPr>
        <w:t xml:space="preserve">12.6 Notices. All notices shall be in writing and delivered to the addresses set forth in the records of the parties, by personal delivery, nationally recognized overnight courier, or email with confirmation.</w:t>
      </w:r>
    </w:p>
    <w:p>
      <w:pPr>
        <w:spacing w:after="160"/>
        <w:jc w:val="left"/>
      </w:pPr>
      <w:r>
        <w:rPr>
          <w:rFonts w:ascii="Calibri" w:cs="Calibri" w:eastAsia="Calibri" w:hAnsi="Calibri"/>
          <w:color w:val="333333"/>
          <w:sz w:val="22"/>
          <w:szCs w:val="22"/>
        </w:rPr>
        <w:t xml:space="preserve">12.7 Confidentiality. Each party shall maintain the confidentiality of this Agreement and the terms of the investment, except as required by law, regulation, or legal process, or as necessary for tax, accounting, or legal advice.</w:t>
      </w:r>
    </w:p>
    <w:p>
      <w:pPr>
        <w:spacing w:after="160"/>
        <w:jc w:val="left"/>
      </w:pPr>
      <w:r>
        <w:rPr>
          <w:rFonts w:ascii="Calibri" w:cs="Calibri" w:eastAsia="Calibri" w:hAnsi="Calibri"/>
          <w:color w:val="333333"/>
          <w:sz w:val="22"/>
          <w:szCs w:val="22"/>
        </w:rPr>
        <w:t xml:space="preserve">12.8 Expenses. Each party shall bear its own expenses in connection with this Agreement.</w:t>
      </w:r>
    </w:p>
    <w:p>
      <w:pPr>
        <w:spacing w:after="160"/>
        <w:jc w:val="left"/>
      </w:pPr>
      <w:r>
        <w:rPr>
          <w:rFonts w:ascii="Calibri" w:cs="Calibri" w:eastAsia="Calibri" w:hAnsi="Calibri"/>
          <w:color w:val="333333"/>
          <w:sz w:val="22"/>
          <w:szCs w:val="22"/>
        </w:rPr>
        <w:t xml:space="preserve">12.9 Severability. Invalid provisions are modified to the minimum extent necessary; remaining provisions continue.</w:t>
      </w:r>
    </w:p>
    <w:p>
      <w:pPr>
        <w:spacing w:after="160"/>
        <w:jc w:val="left"/>
      </w:pPr>
      <w:r>
        <w:rPr>
          <w:rFonts w:ascii="Calibri" w:cs="Calibri" w:eastAsia="Calibri" w:hAnsi="Calibri"/>
          <w:color w:val="333333"/>
          <w:sz w:val="22"/>
          <w:szCs w:val="22"/>
        </w:rPr>
        <w:t xml:space="preserve">12.10 Counterparts. This Agreement may be executed in counterparts, including by electronic signature, each of which constitutes an original.</w:t>
      </w:r>
    </w:p>
    <w:p>
      <w:pPr>
        <w:spacing w:after="160"/>
        <w:jc w:val="left"/>
      </w:pPr>
      <w:r>
        <w:rPr>
          <w:rFonts w:ascii="Calibri" w:cs="Calibri" w:eastAsia="Calibri" w:hAnsi="Calibri"/>
          <w:color w:val="333333"/>
          <w:sz w:val="22"/>
          <w:szCs w:val="22"/>
        </w:rPr>
        <w:t xml:space="preserve">12.11 Survival. The representations, warranties, and covenants in this Agreement shall survive the Closing for the period specified in Schedule 4 (or, if none, for the applicable statute of limitations).</w:t>
      </w:r>
    </w:p>
    <w:p>
      <w:pPr>
        <w:spacing w:before="480"/>
      </w:pPr>
    </w:p>
    <w:p>
      <w:pPr>
        <w:pStyle w:val="Heading2"/>
        <w:spacing w:after="120" w:before="240"/>
      </w:pPr>
      <w:r>
        <w:rPr>
          <w:rFonts w:ascii="Calibri" w:cs="Calibri" w:eastAsia="Calibri" w:hAnsi="Calibri"/>
          <w:b/>
          <w:bCs/>
          <w:color w:val="1a1a2e"/>
          <w:sz w:val="24"/>
          <w:szCs w:val="24"/>
        </w:rPr>
        <w:t xml:space="preserve">Signatures</w:t>
      </w:r>
    </w:p>
    <w:p>
      <w:pPr>
        <w:spacing w:before="240"/>
      </w:pPr>
    </w:p>
    <w:p>
      <w:pPr>
        <w:spacing w:after="160"/>
        <w:jc w:val="left"/>
      </w:pPr>
      <w:r>
        <w:rPr>
          <w:rFonts w:ascii="Calibri" w:cs="Calibri" w:eastAsia="Calibri" w:hAnsi="Calibri"/>
          <w:b/>
          <w:bCs/>
          <w:color w:val="333333"/>
          <w:sz w:val="22"/>
          <w:szCs w:val="22"/>
        </w:rPr>
        <w:t xml:space="preserve">INVESTOR</w:t>
      </w:r>
    </w:p>
    <w:p>
      <w:pPr>
        <w:spacing w:before="200"/>
      </w:pPr>
      <w:r>
        <w:rPr>
          <w:rFonts w:ascii="Calibri" w:cs="Calibri" w:eastAsia="Calibri" w:hAnsi="Calibri"/>
          <w:sz w:val="22"/>
          <w:szCs w:val="22"/>
        </w:rPr>
        <w:t xml:space="preserve">____________________________________</w:t>
      </w:r>
    </w:p>
    <w:p>
      <w:pPr>
        <w:spacing w:after="160"/>
        <w:jc w:val="left"/>
      </w:pPr>
      <w:r>
        <w:rPr>
          <w:rFonts w:ascii="Calibri" w:cs="Calibri" w:eastAsia="Calibri" w:hAnsi="Calibri"/>
          <w:i/>
          <w:iCs/>
          <w:color w:val="555555"/>
          <w:sz w:val="22"/>
          <w:szCs w:val="22"/>
        </w:rPr>
        <w:t xml:space="preserve">Name: [INVESTOR NAME]</w:t>
      </w:r>
    </w:p>
    <w:p>
      <w:pPr>
        <w:spacing w:after="160"/>
        <w:jc w:val="left"/>
      </w:pPr>
      <w:r>
        <w:rPr>
          <w:rFonts w:ascii="Calibri" w:cs="Calibri" w:eastAsia="Calibri" w:hAnsi="Calibri"/>
          <w:i/>
          <w:iCs/>
          <w:color w:val="555555"/>
          <w:sz w:val="22"/>
          <w:szCs w:val="22"/>
        </w:rPr>
        <w:t xml:space="preserve">Title (if entity): [TITLE]</w:t>
      </w:r>
    </w:p>
    <w:p>
      <w:pPr>
        <w:spacing w:after="160"/>
        <w:jc w:val="left"/>
      </w:pPr>
      <w:r>
        <w:rPr>
          <w:rFonts w:ascii="Calibri" w:cs="Calibri" w:eastAsia="Calibri" w:hAnsi="Calibri"/>
          <w:i/>
          <w:iCs/>
          <w:color w:val="555555"/>
          <w:sz w:val="22"/>
          <w:szCs w:val="22"/>
        </w:rPr>
        <w:t xml:space="preserve">Date: [DATE]</w:t>
      </w:r>
    </w:p>
    <w:p>
      <w:pPr>
        <w:spacing w:before="360"/>
      </w:pPr>
    </w:p>
    <w:p>
      <w:pPr>
        <w:spacing w:after="160"/>
        <w:jc w:val="left"/>
      </w:pPr>
      <w:r>
        <w:rPr>
          <w:rFonts w:ascii="Calibri" w:cs="Calibri" w:eastAsia="Calibri" w:hAnsi="Calibri"/>
          <w:b/>
          <w:bCs/>
          <w:color w:val="333333"/>
          <w:sz w:val="22"/>
          <w:szCs w:val="22"/>
        </w:rPr>
        <w:t xml:space="preserve">ACCEPTED BY [COMPANY]</w:t>
      </w:r>
    </w:p>
    <w:p>
      <w:pPr>
        <w:spacing w:before="200"/>
      </w:pPr>
      <w:r>
        <w:rPr>
          <w:rFonts w:ascii="Calibri" w:cs="Calibri" w:eastAsia="Calibri" w:hAnsi="Calibri"/>
          <w:sz w:val="22"/>
          <w:szCs w:val="22"/>
        </w:rPr>
        <w:t xml:space="preserve">____________________________________</w:t>
      </w:r>
    </w:p>
    <w:p>
      <w:pPr>
        <w:spacing w:after="160"/>
        <w:jc w:val="left"/>
      </w:pPr>
      <w:r>
        <w:rPr>
          <w:rFonts w:ascii="Calibri" w:cs="Calibri" w:eastAsia="Calibri" w:hAnsi="Calibri"/>
          <w:i/>
          <w:iCs/>
          <w:color w:val="555555"/>
          <w:sz w:val="22"/>
          <w:szCs w:val="22"/>
        </w:rPr>
        <w:t xml:space="preserve">Name: [NAME]  |  Title: [TITLE]  |  Date: [DATE]</w:t>
      </w:r>
    </w:p>
    <w:p>
      <w:r>
        <w:br w:type="page"/>
      </w:r>
    </w:p>
    <w:p>
      <w:pPr>
        <w:pStyle w:val="Heading2"/>
        <w:spacing w:after="120" w:before="240"/>
      </w:pPr>
      <w:r>
        <w:rPr>
          <w:rFonts w:ascii="Calibri" w:cs="Calibri" w:eastAsia="Calibri" w:hAnsi="Calibri"/>
          <w:b/>
          <w:bCs/>
          <w:color w:val="1a1a2e"/>
          <w:sz w:val="24"/>
          <w:szCs w:val="24"/>
        </w:rPr>
        <w:t xml:space="preserve">Schedule 1 — Offering Materials and Disclosure</w:t>
      </w:r>
    </w:p>
    <w:p>
      <w:pPr>
        <w:spacing w:after="160"/>
        <w:jc w:val="left"/>
      </w:pPr>
      <w:r>
        <w:rPr>
          <w:rFonts w:ascii="Calibri" w:cs="Calibri" w:eastAsia="Calibri" w:hAnsi="Calibri"/>
          <w:color w:val="333333"/>
          <w:sz w:val="22"/>
          <w:szCs w:val="22"/>
        </w:rPr>
        <w:t xml:space="preserve">[List all offering materials provided: offering memorandum/PPM, risk factors, capitalization table, use-of-proceeds summary, financial statements, any supplemental disclosures. State the date and version of each document. Include the Issuer representation qualifications and knowledge/materiality standards.]</w:t>
      </w:r>
    </w:p>
    <w:p>
      <w:pPr>
        <w:spacing w:before="300"/>
      </w:pPr>
    </w:p>
    <w:p>
      <w:pPr>
        <w:pStyle w:val="Heading2"/>
        <w:spacing w:after="120" w:before="240"/>
      </w:pPr>
      <w:r>
        <w:rPr>
          <w:rFonts w:ascii="Calibri" w:cs="Calibri" w:eastAsia="Calibri" w:hAnsi="Calibri"/>
          <w:b/>
          <w:bCs/>
          <w:color w:val="1a1a2e"/>
          <w:sz w:val="24"/>
          <w:szCs w:val="24"/>
        </w:rPr>
        <w:t xml:space="preserve">Schedule 2 — Issuer Disclosure Schedule</w:t>
      </w:r>
    </w:p>
    <w:p>
      <w:pPr>
        <w:spacing w:after="160"/>
        <w:jc w:val="left"/>
      </w:pPr>
      <w:r>
        <w:rPr>
          <w:rFonts w:ascii="Calibri" w:cs="Calibri" w:eastAsia="Calibri" w:hAnsi="Calibri"/>
          <w:color w:val="333333"/>
          <w:sz w:val="22"/>
          <w:szCs w:val="22"/>
        </w:rPr>
        <w:t xml:space="preserve">[Include additional Issuer representations and corresponding exceptions/disclosures, including material contracts, litigation, intellectual property, regulatory matters, and any other items negotiated with the Investor.]</w:t>
      </w:r>
    </w:p>
    <w:p>
      <w:pPr>
        <w:spacing w:before="300"/>
      </w:pPr>
    </w:p>
    <w:p>
      <w:pPr>
        <w:pStyle w:val="Heading2"/>
        <w:spacing w:after="120" w:before="240"/>
      </w:pPr>
      <w:r>
        <w:rPr>
          <w:rFonts w:ascii="Calibri" w:cs="Calibri" w:eastAsia="Calibri" w:hAnsi="Calibri"/>
          <w:b/>
          <w:bCs/>
          <w:color w:val="1a1a2e"/>
          <w:sz w:val="24"/>
          <w:szCs w:val="24"/>
        </w:rPr>
        <w:t xml:space="preserve">Schedule 3 — Investor Information</w:t>
      </w:r>
    </w:p>
    <w:p>
      <w:pPr>
        <w:spacing w:after="160"/>
        <w:jc w:val="left"/>
      </w:pPr>
      <w:r>
        <w:rPr>
          <w:rFonts w:ascii="Calibri" w:cs="Calibri" w:eastAsia="Calibri" w:hAnsi="Calibri"/>
          <w:color w:val="333333"/>
          <w:sz w:val="22"/>
          <w:szCs w:val="22"/>
        </w:rPr>
        <w:t xml:space="preserve">[For Rule 506(b): description of pre-existing relationship. For Rule 506(c): reference to EF-006 Verification Package. For ERISA investors: plan identification and fiduciary disclosure.]</w:t>
      </w:r>
    </w:p>
    <w:p>
      <w:pPr>
        <w:spacing w:before="300"/>
      </w:pPr>
    </w:p>
    <w:p>
      <w:pPr>
        <w:pStyle w:val="Heading2"/>
        <w:spacing w:after="120" w:before="240"/>
      </w:pPr>
      <w:r>
        <w:rPr>
          <w:rFonts w:ascii="Calibri" w:cs="Calibri" w:eastAsia="Calibri" w:hAnsi="Calibri"/>
          <w:b/>
          <w:bCs/>
          <w:color w:val="1a1a2e"/>
          <w:sz w:val="24"/>
          <w:szCs w:val="24"/>
        </w:rPr>
        <w:t xml:space="preserve">Schedule 4 — General Terms</w:t>
      </w:r>
    </w:p>
    <w:p>
      <w:pPr>
        <w:spacing w:after="160"/>
        <w:jc w:val="left"/>
      </w:pPr>
      <w:r>
        <w:rPr>
          <w:rFonts w:ascii="Calibri" w:cs="Calibri" w:eastAsia="Calibri" w:hAnsi="Calibri"/>
          <w:color w:val="333333"/>
          <w:sz w:val="22"/>
          <w:szCs w:val="22"/>
        </w:rPr>
        <w:t xml:space="preserve">[Notice addresses and deemed-receipt rules, survival periods, confidentiality exceptions, publicity restrictions, document precedence hierarchy, and any additional terms.]</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55555"/>
        <w:sz w:val="16"/>
        <w:szCs w:val="16"/>
      </w:rPr>
      <w:t xml:space="preserve">Montague Law  |  montague.law  |  Page </w:t>
    </w:r>
    <w:r>
      <w:rPr>
        <w:rFonts w:ascii="Calibri" w:cs="Calibri" w:eastAsia="Calibri" w:hAnsi="Calibri"/>
        <w:color w:val="555555"/>
        <w:sz w:val="16"/>
        <w:szCs w:val="16"/>
      </w:rPr>
      <w:fldChar w:fldCharType="begin"/>
      <w:instrText xml:space="preserve">PAGE</w:instrText>
      <w:fldChar w:fldCharType="separate"/>
      <w:fldChar w:fldCharType="end"/>
    </w:r>
    <w:r>
      <w:rPr>
        <w:rFonts w:ascii="Calibri" w:cs="Calibri" w:eastAsia="Calibri" w:hAnsi="Calibri"/>
        <w:color w:val="555555"/>
        <w:sz w:val="16"/>
        <w:szCs w:val="16"/>
      </w:rPr>
      <w:t xml:space="preserve"> of </w:t>
    </w:r>
    <w:r>
      <w:rPr>
        <w:rFonts w:ascii="Calibri" w:cs="Calibri" w:eastAsia="Calibri" w:hAnsi="Calibri"/>
        <w:color w:val="555555"/>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i/>
        <w:iCs/>
        <w:color w:val="555555"/>
        <w:sz w:val="18"/>
        <w:szCs w:val="18"/>
      </w:rPr>
      <w:t xml:space="preserve">Equity Subscription Agreement — Regulation 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333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2026-08-22T17:11:44.402Z</dcterms:created>
  <dcterms:modified xsi:type="dcterms:W3CDTF">2026-08-22T17:11:44.402Z</dcterms:modified>
</cp:coreProperties>
</file>

<file path=docProps/custom.xml><?xml version="1.0" encoding="utf-8"?>
<Properties xmlns="http://schemas.openxmlformats.org/officeDocument/2006/custom-properties" xmlns:vt="http://schemas.openxmlformats.org/officeDocument/2006/docPropsVTypes"/>
</file>