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p>
    <w:p>
      <w:pPr>
        <w:spacing w:after="60"/>
      </w:pPr>
    </w:p>
    <w:p>
      <w:pPr>
        <w:spacing w:after="60"/>
      </w:pPr>
    </w:p>
    <w:p>
      <w:pPr>
        <w:spacing w:after="60"/>
      </w:pPr>
    </w:p>
    <w:p>
      <w:pPr>
        <w:spacing w:after="60"/>
        <w:jc w:val="center"/>
      </w:pPr>
      <w:r>
        <w:rPr>
          <w:rFonts w:ascii="Calibri" w:cs="Calibri" w:eastAsia="Calibri" w:hAnsi="Calibri"/>
          <w:b/>
          <w:bCs/>
          <w:i w:val="false"/>
          <w:iCs w:val="false"/>
          <w:sz w:val="32"/>
          <w:szCs w:val="32"/>
        </w:rPr>
        <w:t xml:space="preserve">COMMERCIAL OFFICE LEASE</w:t>
      </w:r>
    </w:p>
    <w:p>
      <w:pPr>
        <w:spacing w:after="200"/>
        <w:jc w:val="center"/>
      </w:pPr>
      <w:r>
        <w:rPr>
          <w:rFonts w:ascii="Calibri" w:cs="Calibri" w:eastAsia="Calibri" w:hAnsi="Calibri"/>
          <w:b w:val="false"/>
          <w:bCs w:val="false"/>
          <w:i/>
          <w:iCs/>
          <w:sz w:val="24"/>
          <w:szCs w:val="24"/>
        </w:rPr>
        <w:t xml:space="preserve">EF-028 — Startup Office Lease</w:t>
      </w:r>
    </w:p>
    <w:p>
      <w:pPr>
        <w:spacing w:after="60"/>
      </w:pPr>
    </w:p>
    <w:p>
      <w:pPr>
        <w:spacing w:after="60"/>
      </w:pPr>
    </w:p>
    <w:p>
      <w:pPr>
        <w:spacing w:after="200"/>
        <w:jc w:val="center"/>
      </w:pPr>
      <w:r>
        <w:rPr>
          <w:rFonts w:ascii="Calibri" w:cs="Calibri" w:eastAsia="Calibri" w:hAnsi="Calibri"/>
          <w:b w:val="false"/>
          <w:bCs w:val="false"/>
          <w:i w:val="false"/>
          <w:iCs w:val="false"/>
          <w:sz w:val="22"/>
          <w:szCs w:val="22"/>
        </w:rPr>
        <w:t xml:space="preserve">by and between</w:t>
      </w:r>
    </w:p>
    <w:p>
      <w:pPr>
        <w:spacing w:after="60"/>
      </w:pPr>
    </w:p>
    <w:p>
      <w:pPr>
        <w:spacing w:after="40"/>
        <w:jc w:val="center"/>
      </w:pPr>
      <w:r>
        <w:rPr>
          <w:rFonts w:ascii="Calibri" w:cs="Calibri" w:eastAsia="Calibri" w:hAnsi="Calibri"/>
          <w:b/>
          <w:bCs/>
          <w:i w:val="false"/>
          <w:iCs w:val="false"/>
          <w:sz w:val="26"/>
          <w:szCs w:val="26"/>
        </w:rPr>
        <w:t xml:space="preserve">[LANDLORD ENTITY NAME]</w:t>
      </w:r>
    </w:p>
    <w:p>
      <w:pPr>
        <w:spacing w:after="60"/>
        <w:jc w:val="center"/>
      </w:pPr>
      <w:r>
        <w:rPr>
          <w:rFonts w:ascii="Calibri" w:cs="Calibri" w:eastAsia="Calibri" w:hAnsi="Calibri"/>
          <w:b w:val="false"/>
          <w:bCs w:val="false"/>
          <w:i/>
          <w:iCs/>
          <w:sz w:val="22"/>
          <w:szCs w:val="22"/>
        </w:rPr>
        <w:t xml:space="preserve">a [LANDLORD STATE] [LANDLORD ENTITY TYPE]</w:t>
      </w:r>
    </w:p>
    <w:p>
      <w:pPr>
        <w:spacing w:after="200"/>
        <w:jc w:val="center"/>
      </w:pPr>
      <w:r>
        <w:rPr>
          <w:rFonts w:ascii="Calibri" w:cs="Calibri" w:eastAsia="Calibri" w:hAnsi="Calibri"/>
          <w:b w:val="false"/>
          <w:bCs w:val="false"/>
          <w:i/>
          <w:iCs/>
          <w:sz w:val="22"/>
          <w:szCs w:val="22"/>
        </w:rPr>
        <w:t xml:space="preserve">as Landlord</w:t>
      </w:r>
    </w:p>
    <w:p>
      <w:pPr>
        <w:spacing w:after="60"/>
      </w:pPr>
    </w:p>
    <w:p>
      <w:pPr>
        <w:spacing w:after="200"/>
        <w:jc w:val="center"/>
      </w:pPr>
      <w:r>
        <w:rPr>
          <w:rFonts w:ascii="Calibri" w:cs="Calibri" w:eastAsia="Calibri" w:hAnsi="Calibri"/>
          <w:b w:val="false"/>
          <w:bCs w:val="false"/>
          <w:i w:val="false"/>
          <w:iCs w:val="false"/>
          <w:sz w:val="22"/>
          <w:szCs w:val="22"/>
        </w:rPr>
        <w:t xml:space="preserve">and</w:t>
      </w:r>
    </w:p>
    <w:p>
      <w:pPr>
        <w:spacing w:after="60"/>
      </w:pPr>
    </w:p>
    <w:p>
      <w:pPr>
        <w:spacing w:after="40"/>
        <w:jc w:val="center"/>
      </w:pPr>
      <w:r>
        <w:rPr>
          <w:rFonts w:ascii="Calibri" w:cs="Calibri" w:eastAsia="Calibri" w:hAnsi="Calibri"/>
          <w:b/>
          <w:bCs/>
          <w:i w:val="false"/>
          <w:iCs w:val="false"/>
          <w:sz w:val="26"/>
          <w:szCs w:val="26"/>
        </w:rPr>
        <w:t xml:space="preserve">[TENANT ENTITY NAME]</w:t>
      </w:r>
    </w:p>
    <w:p>
      <w:pPr>
        <w:spacing w:after="60"/>
        <w:jc w:val="center"/>
      </w:pPr>
      <w:r>
        <w:rPr>
          <w:rFonts w:ascii="Calibri" w:cs="Calibri" w:eastAsia="Calibri" w:hAnsi="Calibri"/>
          <w:b w:val="false"/>
          <w:bCs w:val="false"/>
          <w:i/>
          <w:iCs/>
          <w:sz w:val="22"/>
          <w:szCs w:val="22"/>
        </w:rPr>
        <w:t xml:space="preserve">a [TENANT STATE] [TENANT ENTITY TYPE]</w:t>
      </w:r>
    </w:p>
    <w:p>
      <w:pPr>
        <w:spacing w:after="200"/>
        <w:jc w:val="center"/>
      </w:pPr>
      <w:r>
        <w:rPr>
          <w:rFonts w:ascii="Calibri" w:cs="Calibri" w:eastAsia="Calibri" w:hAnsi="Calibri"/>
          <w:b w:val="false"/>
          <w:bCs w:val="false"/>
          <w:i/>
          <w:iCs/>
          <w:sz w:val="22"/>
          <w:szCs w:val="22"/>
        </w:rPr>
        <w:t xml:space="preserve">as Tenant</w:t>
      </w:r>
    </w:p>
    <w:p>
      <w:pPr>
        <w:spacing w:after="60"/>
      </w:pPr>
    </w:p>
    <w:p>
      <w:pPr>
        <w:spacing w:after="60"/>
      </w:pPr>
    </w:p>
    <w:p>
      <w:pPr>
        <w:spacing w:after="60"/>
      </w:pPr>
    </w:p>
    <w:p>
      <w:pPr>
        <w:spacing w:after="40"/>
        <w:jc w:val="center"/>
      </w:pPr>
      <w:r>
        <w:rPr>
          <w:rFonts w:ascii="Calibri" w:cs="Calibri" w:eastAsia="Calibri" w:hAnsi="Calibri"/>
          <w:b w:val="false"/>
          <w:bCs w:val="false"/>
          <w:i w:val="false"/>
          <w:iCs w:val="false"/>
          <w:sz w:val="22"/>
          <w:szCs w:val="22"/>
        </w:rPr>
        <w:t xml:space="preserve">Premises: [BUILDING NAME], [SUITE NUMBER]</w:t>
      </w:r>
    </w:p>
    <w:p>
      <w:pPr>
        <w:spacing w:after="40"/>
        <w:jc w:val="center"/>
      </w:pPr>
      <w:r>
        <w:rPr>
          <w:rFonts w:ascii="Calibri" w:cs="Calibri" w:eastAsia="Calibri" w:hAnsi="Calibri"/>
          <w:b w:val="false"/>
          <w:bCs w:val="false"/>
          <w:i w:val="false"/>
          <w:iCs w:val="false"/>
          <w:sz w:val="22"/>
          <w:szCs w:val="22"/>
        </w:rPr>
        <w:t xml:space="preserve">[BUILDING ADDRESS]</w:t>
      </w:r>
    </w:p>
    <w:p>
      <w:pPr>
        <w:spacing w:after="200"/>
        <w:jc w:val="center"/>
      </w:pPr>
      <w:r>
        <w:rPr>
          <w:rFonts w:ascii="Calibri" w:cs="Calibri" w:eastAsia="Calibri" w:hAnsi="Calibri"/>
          <w:b w:val="false"/>
          <w:bCs w:val="false"/>
          <w:i w:val="false"/>
          <w:iCs w:val="false"/>
          <w:sz w:val="22"/>
          <w:szCs w:val="22"/>
        </w:rPr>
        <w:t xml:space="preserve">[CITY], [STATE] [ZIP CODE]</w:t>
      </w:r>
    </w:p>
    <w:p>
      <w:pPr>
        <w:spacing w:after="60"/>
      </w:pPr>
    </w:p>
    <w:p>
      <w:pPr>
        <w:spacing w:after="40"/>
        <w:jc w:val="center"/>
      </w:pPr>
      <w:r>
        <w:rPr>
          <w:rFonts w:ascii="Calibri" w:cs="Calibri" w:eastAsia="Calibri" w:hAnsi="Calibri"/>
          <w:b w:val="false"/>
          <w:bCs w:val="false"/>
          <w:i w:val="false"/>
          <w:iCs w:val="false"/>
          <w:sz w:val="22"/>
          <w:szCs w:val="22"/>
        </w:rPr>
        <w:t xml:space="preserve">Lease Date: [LEASE DATE]</w:t>
      </w:r>
    </w:p>
    <w:p>
      <w:pPr>
        <w:spacing w:after="40"/>
        <w:jc w:val="center"/>
      </w:pPr>
      <w:r>
        <w:rPr>
          <w:rFonts w:ascii="Calibri" w:cs="Calibri" w:eastAsia="Calibri" w:hAnsi="Calibri"/>
          <w:b w:val="false"/>
          <w:bCs w:val="false"/>
          <w:i/>
          <w:iCs/>
          <w:sz w:val="18"/>
          <w:szCs w:val="18"/>
        </w:rPr>
        <w:t xml:space="preserve">Montague Law Entrepreneur Forms Library</w:t>
      </w:r>
    </w:p>
    <w:p>
      <w:pPr>
        <w:pageBreakBefore/>
        <w:spacing w:after="200" w:before="120"/>
        <w:jc w:val="center"/>
      </w:pPr>
      <w:r>
        <w:rPr>
          <w:rFonts w:ascii="Calibri" w:cs="Calibri" w:eastAsia="Calibri" w:hAnsi="Calibri"/>
          <w:b/>
          <w:bCs/>
          <w:sz w:val="26"/>
          <w:szCs w:val="26"/>
        </w:rPr>
        <w:t xml:space="preserve">ARTICLE 1 — COVER SHEET, DEFINITIONS, AND EXHIBITS</w:t>
      </w:r>
    </w:p>
    <w:p>
      <w:pPr>
        <w:spacing w:after="120" w:before="240"/>
      </w:pPr>
      <w:r>
        <w:rPr>
          <w:rFonts w:ascii="Calibri" w:cs="Calibri" w:eastAsia="Calibri" w:hAnsi="Calibri"/>
          <w:b/>
          <w:bCs/>
          <w:sz w:val="22"/>
          <w:szCs w:val="22"/>
        </w:rPr>
        <w:t xml:space="preserve">Section 1.1. Key Business Terms</w:t>
      </w:r>
    </w:p>
    <w:p>
      <w:pPr>
        <w:spacing w:after="120"/>
        <w:jc w:val="both"/>
      </w:pPr>
      <w:r>
        <w:rPr>
          <w:rFonts w:ascii="Calibri" w:cs="Calibri" w:eastAsia="Calibri" w:hAnsi="Calibri"/>
          <w:sz w:val="22"/>
          <w:szCs w:val="22"/>
        </w:rPr>
        <w:t xml:space="preserve">The following summary of Key Business Terms (the "Cover Sheet") is provided for convenience of reference and is qualified in its entirety by the detailed provisions of this Lease. In the event of any conflict between the Cover Sheet and the body of this Lease, the body shall control unless the Cover Sheet expressly states otherwise.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360"/>
      </w:tblGrid>
      <w:tr>
        <w:tc>
          <w:tcPr>
            <w:tcW w:type="dxa" w:w="3000"/>
            <w:shd w:fill="F2F2F2"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Lease Date</w:t>
            </w:r>
          </w:p>
        </w:tc>
        <w:tc>
          <w:tcPr>
            <w:tcW w:type="dxa" w:w="6360"/>
            <w:shd w:fill="F2F2F2"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[LEASE DATE]</w:t>
            </w:r>
          </w:p>
        </w:tc>
      </w:tr>
      <w:tr>
        <w:tc>
          <w:tcPr>
            <w:tcW w:type="dxa" w:w="3000"/>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Landlord</w:t>
            </w:r>
          </w:p>
        </w:tc>
        <w:tc>
          <w:tcPr>
            <w:tcW w:type="dxa" w:w="63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[LANDLORD ENTITY NAME], a [STATE] [ENTITY TYPE]</w:t>
            </w:r>
          </w:p>
        </w:tc>
      </w:tr>
      <w:tr>
        <w:tc>
          <w:tcPr>
            <w:tcW w:type="dxa" w:w="3000"/>
            <w:shd w:fill="F2F2F2"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Landlord Address</w:t>
            </w:r>
          </w:p>
        </w:tc>
        <w:tc>
          <w:tcPr>
            <w:tcW w:type="dxa" w:w="6360"/>
            <w:shd w:fill="F2F2F2"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[LANDLORD ADDRESS]</w:t>
            </w:r>
          </w:p>
        </w:tc>
      </w:tr>
      <w:tr>
        <w:tc>
          <w:tcPr>
            <w:tcW w:type="dxa" w:w="3000"/>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Tenant</w:t>
            </w:r>
          </w:p>
        </w:tc>
        <w:tc>
          <w:tcPr>
            <w:tcW w:type="dxa" w:w="63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[TENANT ENTITY NAME], a [STATE] [ENTITY TYPE]</w:t>
            </w:r>
          </w:p>
        </w:tc>
      </w:tr>
      <w:tr>
        <w:tc>
          <w:tcPr>
            <w:tcW w:type="dxa" w:w="3000"/>
            <w:shd w:fill="F2F2F2"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Tenant Address (pre-occupancy)</w:t>
            </w:r>
          </w:p>
        </w:tc>
        <w:tc>
          <w:tcPr>
            <w:tcW w:type="dxa" w:w="6360"/>
            <w:shd w:fill="F2F2F2"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[TENANT PRE-OCCUPANCY ADDRESS]</w:t>
            </w:r>
          </w:p>
        </w:tc>
      </w:tr>
      <w:tr>
        <w:tc>
          <w:tcPr>
            <w:tcW w:type="dxa" w:w="3000"/>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Building</w:t>
            </w:r>
          </w:p>
        </w:tc>
        <w:tc>
          <w:tcPr>
            <w:tcW w:type="dxa" w:w="63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[BUILDING NAME], located at [BUILDING ADDRESS], [CITY], [STATE] [ZIP]</w:t>
            </w:r>
          </w:p>
        </w:tc>
      </w:tr>
      <w:tr>
        <w:tc>
          <w:tcPr>
            <w:tcW w:type="dxa" w:w="3000"/>
            <w:shd w:fill="F2F2F2"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Project/Complex</w:t>
            </w:r>
          </w:p>
        </w:tc>
        <w:tc>
          <w:tcPr>
            <w:tcW w:type="dxa" w:w="6360"/>
            <w:shd w:fill="F2F2F2"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[PROJECT NAME] (if applicable)</w:t>
            </w:r>
          </w:p>
        </w:tc>
      </w:tr>
      <w:tr>
        <w:tc>
          <w:tcPr>
            <w:tcW w:type="dxa" w:w="3000"/>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Premises / Suite</w:t>
            </w:r>
          </w:p>
        </w:tc>
        <w:tc>
          <w:tcPr>
            <w:tcW w:type="dxa" w:w="63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Suite [SUITE NUMBER] on Floor(s) [FLOOR(S)], as depicted on Exhibit A</w:t>
            </w:r>
          </w:p>
        </w:tc>
      </w:tr>
      <w:tr>
        <w:tc>
          <w:tcPr>
            <w:tcW w:type="dxa" w:w="3000"/>
            <w:shd w:fill="F2F2F2"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Rentable Area of Premises</w:t>
            </w:r>
          </w:p>
        </w:tc>
        <w:tc>
          <w:tcPr>
            <w:tcW w:type="dxa" w:w="6360"/>
            <w:shd w:fill="F2F2F2"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[PREMISES RSF] rentable square feet ("RSF")</w:t>
            </w:r>
          </w:p>
        </w:tc>
      </w:tr>
      <w:tr>
        <w:tc>
          <w:tcPr>
            <w:tcW w:type="dxa" w:w="3000"/>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Rentable Area of Building</w:t>
            </w:r>
          </w:p>
        </w:tc>
        <w:tc>
          <w:tcPr>
            <w:tcW w:type="dxa" w:w="63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[BUILDING RSF] RSF</w:t>
            </w:r>
          </w:p>
        </w:tc>
      </w:tr>
      <w:tr>
        <w:tc>
          <w:tcPr>
            <w:tcW w:type="dxa" w:w="3000"/>
            <w:shd w:fill="F2F2F2"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Tenant's Pro Rata Share</w:t>
            </w:r>
          </w:p>
        </w:tc>
        <w:tc>
          <w:tcPr>
            <w:tcW w:type="dxa" w:w="6360"/>
            <w:shd w:fill="F2F2F2"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[PRO RATA SHARE]% (Premises RSF / Building RSF)</w:t>
            </w:r>
          </w:p>
        </w:tc>
      </w:tr>
      <w:tr>
        <w:tc>
          <w:tcPr>
            <w:tcW w:type="dxa" w:w="3000"/>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Lease Term</w:t>
            </w:r>
          </w:p>
        </w:tc>
        <w:tc>
          <w:tcPr>
            <w:tcW w:type="dxa" w:w="63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[LEASE TERM, e.g., 84] months, subject to Section 4.6</w:t>
            </w:r>
          </w:p>
        </w:tc>
      </w:tr>
      <w:tr>
        <w:tc>
          <w:tcPr>
            <w:tcW w:type="dxa" w:w="3000"/>
            <w:shd w:fill="F2F2F2"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Anticipated Delivery Date</w:t>
            </w:r>
          </w:p>
        </w:tc>
        <w:tc>
          <w:tcPr>
            <w:tcW w:type="dxa" w:w="6360"/>
            <w:shd w:fill="F2F2F2"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[ANTICIPATED DELIVERY DATE]</w:t>
            </w:r>
          </w:p>
        </w:tc>
      </w:tr>
      <w:tr>
        <w:tc>
          <w:tcPr>
            <w:tcW w:type="dxa" w:w="3000"/>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Commencement Date</w:t>
            </w:r>
          </w:p>
        </w:tc>
        <w:tc>
          <w:tcPr>
            <w:tcW w:type="dxa" w:w="63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Per Section 4.6</w:t>
            </w:r>
          </w:p>
        </w:tc>
      </w:tr>
      <w:tr>
        <w:tc>
          <w:tcPr>
            <w:tcW w:type="dxa" w:w="3000"/>
            <w:shd w:fill="F2F2F2"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Rent Commencement Date</w:t>
            </w:r>
          </w:p>
        </w:tc>
        <w:tc>
          <w:tcPr>
            <w:tcW w:type="dxa" w:w="6360"/>
            <w:shd w:fill="F2F2F2"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[RENT COMMENCEMENT DATE] (or [NUMBER] months after Commencement Date)</w:t>
            </w:r>
          </w:p>
        </w:tc>
      </w:tr>
      <w:tr>
        <w:tc>
          <w:tcPr>
            <w:tcW w:type="dxa" w:w="3000"/>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Expiration Date</w:t>
            </w:r>
          </w:p>
        </w:tc>
        <w:tc>
          <w:tcPr>
            <w:tcW w:type="dxa" w:w="63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[EXPIRATION DATE], subject to extension or earlier termination</w:t>
            </w:r>
          </w:p>
        </w:tc>
      </w:tr>
      <w:tr>
        <w:tc>
          <w:tcPr>
            <w:tcW w:type="dxa" w:w="3000"/>
            <w:shd w:fill="F2F2F2"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Base Rent (initial)</w:t>
            </w:r>
          </w:p>
        </w:tc>
        <w:tc>
          <w:tcPr>
            <w:tcW w:type="dxa" w:w="6360"/>
            <w:shd w:fill="F2F2F2"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$[INITIAL BASE RENT]/RSF/year ($[MONTHLY AMOUNT]/month)</w:t>
            </w:r>
          </w:p>
        </w:tc>
      </w:tr>
      <w:tr>
        <w:tc>
          <w:tcPr>
            <w:tcW w:type="dxa" w:w="3000"/>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Annual Escalation</w:t>
            </w:r>
          </w:p>
        </w:tc>
        <w:tc>
          <w:tcPr>
            <w:tcW w:type="dxa" w:w="63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[ESCALATION RATE]% per annum (or $[ESCALATION AMOUNT]/RSF/year)</w:t>
            </w:r>
          </w:p>
        </w:tc>
      </w:tr>
      <w:tr>
        <w:tc>
          <w:tcPr>
            <w:tcW w:type="dxa" w:w="3000"/>
            <w:shd w:fill="F2F2F2"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Free Rent Period</w:t>
            </w:r>
          </w:p>
        </w:tc>
        <w:tc>
          <w:tcPr>
            <w:tcW w:type="dxa" w:w="6360"/>
            <w:shd w:fill="F2F2F2"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[FREE RENT MONTHS] months from Commencement Date (Base Rent only)</w:t>
            </w:r>
          </w:p>
        </w:tc>
      </w:tr>
      <w:tr>
        <w:tc>
          <w:tcPr>
            <w:tcW w:type="dxa" w:w="3000"/>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Security Deposit</w:t>
            </w:r>
          </w:p>
        </w:tc>
        <w:tc>
          <w:tcPr>
            <w:tcW w:type="dxa" w:w="63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$[SECURITY DEPOSIT AMOUNT] (or Letter of Credit per Section 6.9)</w:t>
            </w:r>
          </w:p>
        </w:tc>
      </w:tr>
      <w:tr>
        <w:tc>
          <w:tcPr>
            <w:tcW w:type="dxa" w:w="3000"/>
            <w:shd w:fill="F2F2F2"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Tenant Improvement Allowance</w:t>
            </w:r>
          </w:p>
        </w:tc>
        <w:tc>
          <w:tcPr>
            <w:tcW w:type="dxa" w:w="6360"/>
            <w:shd w:fill="F2F2F2"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$[TI ALLOWANCE]/RSF ($[TI TOTAL] aggregate)</w:t>
            </w:r>
          </w:p>
        </w:tc>
      </w:tr>
      <w:tr>
        <w:tc>
          <w:tcPr>
            <w:tcW w:type="dxa" w:w="3000"/>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Permitted Use</w:t>
            </w:r>
          </w:p>
        </w:tc>
        <w:tc>
          <w:tcPr>
            <w:tcW w:type="dxa" w:w="63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[DESCRIBE PERMITTED USE, e.g., General office, software development, and ancillary uses]</w:t>
            </w:r>
          </w:p>
        </w:tc>
      </w:tr>
      <w:tr>
        <w:tc>
          <w:tcPr>
            <w:tcW w:type="dxa" w:w="3000"/>
            <w:shd w:fill="F2F2F2"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Parking Spaces</w:t>
            </w:r>
          </w:p>
        </w:tc>
        <w:tc>
          <w:tcPr>
            <w:tcW w:type="dxa" w:w="6360"/>
            <w:shd w:fill="F2F2F2"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[NUMBER] unreserved; [NUMBER] reserved (ratio: [X] per 1,000 RSF)</w:t>
            </w:r>
          </w:p>
        </w:tc>
      </w:tr>
      <w:tr>
        <w:tc>
          <w:tcPr>
            <w:tcW w:type="dxa" w:w="3000"/>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Renewal Option(s)</w:t>
            </w:r>
          </w:p>
        </w:tc>
        <w:tc>
          <w:tcPr>
            <w:tcW w:type="dxa" w:w="63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[NUMBER] option(s) of [TERM] years each, per Section 14.1</w:t>
            </w:r>
          </w:p>
        </w:tc>
      </w:tr>
      <w:tr>
        <w:tc>
          <w:tcPr>
            <w:tcW w:type="dxa" w:w="3000"/>
            <w:shd w:fill="F2F2F2"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Expansion Option</w:t>
            </w:r>
          </w:p>
        </w:tc>
        <w:tc>
          <w:tcPr>
            <w:tcW w:type="dxa" w:w="6360"/>
            <w:shd w:fill="F2F2F2"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[EXPANSION SPACE DESCRIPTION], per Section 14.2</w:t>
            </w:r>
          </w:p>
        </w:tc>
      </w:tr>
      <w:tr>
        <w:tc>
          <w:tcPr>
            <w:tcW w:type="dxa" w:w="3000"/>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Right of First Offer</w:t>
            </w:r>
          </w:p>
        </w:tc>
        <w:tc>
          <w:tcPr>
            <w:tcW w:type="dxa" w:w="63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[ROFO SPACE DESCRIPTION], per Section 14.3</w:t>
            </w:r>
          </w:p>
        </w:tc>
      </w:tr>
      <w:tr>
        <w:tc>
          <w:tcPr>
            <w:tcW w:type="dxa" w:w="3000"/>
            <w:shd w:fill="F2F2F2"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Contraction Option</w:t>
            </w:r>
          </w:p>
        </w:tc>
        <w:tc>
          <w:tcPr>
            <w:tcW w:type="dxa" w:w="6360"/>
            <w:shd w:fill="F2F2F2"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Per Section 14.4, effective no earlier than Month [NUMBER]</w:t>
            </w:r>
          </w:p>
        </w:tc>
      </w:tr>
      <w:tr>
        <w:tc>
          <w:tcPr>
            <w:tcW w:type="dxa" w:w="3000"/>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Early Termination Option</w:t>
            </w:r>
          </w:p>
        </w:tc>
        <w:tc>
          <w:tcPr>
            <w:tcW w:type="dxa" w:w="63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Per Section 14.5, effective no earlier than Month [NUMBER]</w:t>
            </w:r>
          </w:p>
        </w:tc>
      </w:tr>
      <w:tr>
        <w:tc>
          <w:tcPr>
            <w:tcW w:type="dxa" w:w="3000"/>
            <w:shd w:fill="F2F2F2"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Guarantor</w:t>
            </w:r>
          </w:p>
        </w:tc>
        <w:tc>
          <w:tcPr>
            <w:tcW w:type="dxa" w:w="6360"/>
            <w:shd w:fill="F2F2F2"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[GUARANTOR NAME] (if applicable), per Guaranty attached as Exhibit K</w:t>
            </w:r>
          </w:p>
        </w:tc>
      </w:tr>
      <w:tr>
        <w:tc>
          <w:tcPr>
            <w:tcW w:type="dxa" w:w="3000"/>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Broker(s)</w:t>
            </w:r>
          </w:p>
        </w:tc>
        <w:tc>
          <w:tcPr>
            <w:tcW w:type="dxa" w:w="63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Landlord's Broker: [NAME]; Tenant's Broker: [NAME]</w:t>
            </w:r>
          </w:p>
        </w:tc>
      </w:tr>
      <w:tr>
        <w:tc>
          <w:tcPr>
            <w:tcW w:type="dxa" w:w="3000"/>
            <w:shd w:fill="F2F2F2"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Base Year (Operating Expenses)</w:t>
            </w:r>
          </w:p>
        </w:tc>
        <w:tc>
          <w:tcPr>
            <w:tcW w:type="dxa" w:w="6360"/>
            <w:shd w:fill="F2F2F2"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Calendar year [BASE YEAR]</w:t>
            </w:r>
          </w:p>
        </w:tc>
      </w:tr>
      <w:tr>
        <w:tc>
          <w:tcPr>
            <w:tcW w:type="dxa" w:w="3000"/>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Base Year (Taxes)</w:t>
            </w:r>
          </w:p>
        </w:tc>
        <w:tc>
          <w:tcPr>
            <w:tcW w:type="dxa" w:w="63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Tax fiscal year [BASE TAX YEAR]</w:t>
            </w:r>
          </w:p>
        </w:tc>
      </w:tr>
      <w:tr>
        <w:tc>
          <w:tcPr>
            <w:tcW w:type="dxa" w:w="3000"/>
            <w:shd w:fill="F2F2F2"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Operating Expense Cap</w:t>
            </w:r>
          </w:p>
        </w:tc>
        <w:tc>
          <w:tcPr>
            <w:tcW w:type="dxa" w:w="6360"/>
            <w:shd w:fill="F2F2F2"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[CAP PERCENTAGE]% annual increase on Controllable Expenses</w:t>
            </w:r>
          </w:p>
        </w:tc>
      </w:tr>
      <w:tr>
        <w:tc>
          <w:tcPr>
            <w:tcW w:type="dxa" w:w="3000"/>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Building Hours</w:t>
            </w:r>
          </w:p>
        </w:tc>
        <w:tc>
          <w:tcPr>
            <w:tcW w:type="dxa" w:w="63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[BUILDING HOURS, e.g., 7:00 AM to 7:00 PM, Monday–Friday; 8:00 AM to 1:00 PM, Saturday]</w:t>
            </w:r>
          </w:p>
        </w:tc>
      </w:tr>
      <w:tr>
        <w:tc>
          <w:tcPr>
            <w:tcW w:type="dxa" w:w="3000"/>
            <w:shd w:fill="F2F2F2"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After-Hours HVAC Rate</w:t>
            </w:r>
          </w:p>
        </w:tc>
        <w:tc>
          <w:tcPr>
            <w:tcW w:type="dxa" w:w="6360"/>
            <w:shd w:fill="F2F2F2"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$[RATE] per hour per zone</w:t>
            </w:r>
          </w:p>
        </w:tc>
      </w:tr>
      <w:tr>
        <w:tc>
          <w:tcPr>
            <w:tcW w:type="dxa" w:w="3000"/>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Exhibits</w:t>
            </w:r>
          </w:p>
        </w:tc>
        <w:tc>
          <w:tcPr>
            <w:tcW w:type="dxa" w:w="63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 through J, incorporated herein</w:t>
            </w:r>
          </w:p>
        </w:tc>
      </w:tr>
      <w:tr>
        <w:tc>
          <w:tcPr>
            <w:tcW w:type="dxa" w:w="3000"/>
            <w:shd w:fill="F2F2F2"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Addenda</w:t>
            </w:r>
          </w:p>
        </w:tc>
        <w:tc>
          <w:tcPr>
            <w:tcW w:type="dxa" w:w="6360"/>
            <w:shd w:fill="F2F2F2"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[LIST ANY ADDENDA, OR "None"]</w:t>
            </w:r>
          </w:p>
        </w:tc>
      </w:tr>
    </w:tbl>
    <w:p>
      <w:pPr>
        <w:spacing w:after="60"/>
      </w:pPr>
    </w:p>
    <w:p>
      <w:pPr>
        <w:spacing w:after="120" w:before="240"/>
      </w:pPr>
      <w:r>
        <w:rPr>
          <w:rFonts w:ascii="Calibri" w:cs="Calibri" w:eastAsia="Calibri" w:hAnsi="Calibri"/>
          <w:b/>
          <w:bCs/>
          <w:sz w:val="22"/>
          <w:szCs w:val="22"/>
        </w:rPr>
        <w:t xml:space="preserve">Section 1.2. Definitions</w:t>
      </w:r>
    </w:p>
    <w:p>
      <w:pPr>
        <w:spacing w:after="120"/>
        <w:jc w:val="both"/>
      </w:pPr>
      <w:r>
        <w:rPr>
          <w:rFonts w:ascii="Calibri" w:cs="Calibri" w:eastAsia="Calibri" w:hAnsi="Calibri"/>
          <w:sz w:val="22"/>
          <w:szCs w:val="22"/>
        </w:rPr>
        <w:t xml:space="preserve">As used in this Lease, the following terms have the meanings set forth below. Capitalized terms not defined in this Section 1.2 shall have the meanings assigned to them elsewhere in this Lease.</w:t>
      </w:r>
    </w:p>
    <w:p>
      <w:pPr>
        <w:spacing w:after="100"/>
        <w:ind w:left="720"/>
        <w:jc w:val="both"/>
      </w:pPr>
      <w:r>
        <w:rPr>
          <w:rFonts w:ascii="Calibri" w:cs="Calibri" w:eastAsia="Calibri" w:hAnsi="Calibri"/>
          <w:sz w:val="22"/>
          <w:szCs w:val="22"/>
        </w:rPr>
        <w:t xml:space="preserve">"ADA" means the Americans with Disabilities Act of 1990, as amended, together with all regulations and guidelines promulgated thereunder, and any successor statute of similar purpose.</w:t>
      </w:r>
    </w:p>
    <w:p>
      <w:pPr>
        <w:spacing w:after="100"/>
        <w:ind w:left="720"/>
        <w:jc w:val="both"/>
      </w:pPr>
      <w:r>
        <w:rPr>
          <w:rFonts w:ascii="Calibri" w:cs="Calibri" w:eastAsia="Calibri" w:hAnsi="Calibri"/>
          <w:sz w:val="22"/>
          <w:szCs w:val="22"/>
        </w:rPr>
        <w:t xml:space="preserve">"Additional Rent" means all sums payable by Tenant under this Lease other than Base Rent, including without limitation Tenant's Pro Rata Share of Operating Expenses and Taxes in excess of the applicable Base Year amounts, parking charges, after-hours HVAC charges, utility charges, late fees, interest, and any other amounts designated as Additional Rent.</w:t>
      </w:r>
    </w:p>
    <w:p>
      <w:pPr>
        <w:spacing w:after="100"/>
        <w:ind w:left="720"/>
        <w:jc w:val="both"/>
      </w:pPr>
      <w:r>
        <w:rPr>
          <w:rFonts w:ascii="Calibri" w:cs="Calibri" w:eastAsia="Calibri" w:hAnsi="Calibri"/>
          <w:sz w:val="22"/>
          <w:szCs w:val="22"/>
        </w:rPr>
        <w:t xml:space="preserve">"Affiliate" means any entity that directly or indirectly controls, is controlled by, or is under common control with the specified party. For purposes of this definition, "control" means (a) ownership of more than fifty percent (50%) of the voting interests of such entity, or (b) the power to direct the management and policies of such entity, whether through ownership of voting securities, by contract, or otherwise.</w:t>
      </w:r>
    </w:p>
    <w:p>
      <w:pPr>
        <w:spacing w:after="100"/>
        <w:ind w:left="720"/>
        <w:jc w:val="both"/>
      </w:pPr>
      <w:r>
        <w:rPr>
          <w:rFonts w:ascii="Calibri" w:cs="Calibri" w:eastAsia="Calibri" w:hAnsi="Calibri"/>
          <w:sz w:val="22"/>
          <w:szCs w:val="22"/>
        </w:rPr>
        <w:t xml:space="preserve">"Alterations" means any modifications, improvements, additions, or changes to the Premises made by or on behalf of Tenant after the Commencement Date, excluding Tenant's initial Tenant Improvements constructed pursuant to the Work Letter.</w:t>
      </w:r>
    </w:p>
    <w:p>
      <w:pPr>
        <w:spacing w:after="100"/>
        <w:ind w:left="720"/>
        <w:jc w:val="both"/>
      </w:pPr>
      <w:r>
        <w:rPr>
          <w:rFonts w:ascii="Calibri" w:cs="Calibri" w:eastAsia="Calibri" w:hAnsi="Calibri"/>
          <w:sz w:val="22"/>
          <w:szCs w:val="22"/>
        </w:rPr>
        <w:t xml:space="preserve">"Applicable Laws" means all federal, state, and local laws, statutes, codes, ordinances, regulations, rules, orders, permits, licenses, approvals, and requirements of any governmental authority having jurisdiction, including without limitation the ADA, Environmental Laws, fire and life-safety codes, building codes, and zoning ordinances, each as amended from time to time.</w:t>
      </w:r>
    </w:p>
    <w:p>
      <w:pPr>
        <w:spacing w:after="100"/>
        <w:ind w:left="720"/>
        <w:jc w:val="both"/>
      </w:pPr>
      <w:r>
        <w:rPr>
          <w:rFonts w:ascii="Calibri" w:cs="Calibri" w:eastAsia="Calibri" w:hAnsi="Calibri"/>
          <w:sz w:val="22"/>
          <w:szCs w:val="22"/>
        </w:rPr>
        <w:t xml:space="preserve">"Base Building" means the structural elements, building envelope, base mechanical, electrical, plumbing, and life-safety systems of the Building, exclusive of any Tenant Improvements or Alterations.</w:t>
      </w:r>
    </w:p>
    <w:p>
      <w:pPr>
        <w:spacing w:after="100"/>
        <w:ind w:left="720"/>
        <w:jc w:val="both"/>
      </w:pPr>
      <w:r>
        <w:rPr>
          <w:rFonts w:ascii="Calibri" w:cs="Calibri" w:eastAsia="Calibri" w:hAnsi="Calibri"/>
          <w:sz w:val="22"/>
          <w:szCs w:val="22"/>
        </w:rPr>
        <w:t xml:space="preserve">"Base Rent" means the fixed rental amounts set forth in Section 6.1 and the Rent Schedule attached as Exhibit E.</w:t>
      </w:r>
    </w:p>
    <w:p>
      <w:pPr>
        <w:spacing w:after="100"/>
        <w:ind w:left="720"/>
        <w:jc w:val="both"/>
      </w:pPr>
      <w:r>
        <w:rPr>
          <w:rFonts w:ascii="Calibri" w:cs="Calibri" w:eastAsia="Calibri" w:hAnsi="Calibri"/>
          <w:sz w:val="22"/>
          <w:szCs w:val="22"/>
        </w:rPr>
        <w:t xml:space="preserve">"Base Year" means the calendar year or tax fiscal year, as applicable, specified in the Cover Sheet for purposes of calculating Tenant's obligation for Operating Expenses and Taxes.</w:t>
      </w:r>
    </w:p>
    <w:p>
      <w:pPr>
        <w:spacing w:after="100"/>
        <w:ind w:left="720"/>
        <w:jc w:val="both"/>
      </w:pPr>
      <w:r>
        <w:rPr>
          <w:rFonts w:ascii="Calibri" w:cs="Calibri" w:eastAsia="Calibri" w:hAnsi="Calibri"/>
          <w:sz w:val="22"/>
          <w:szCs w:val="22"/>
        </w:rPr>
        <w:t xml:space="preserve">"Broker(s)" means the real estate broker(s) identified in the Cover Sheet who represented the parties in connection with this Lease transaction.</w:t>
      </w:r>
    </w:p>
    <w:p>
      <w:pPr>
        <w:spacing w:after="100"/>
        <w:ind w:left="720"/>
        <w:jc w:val="both"/>
      </w:pPr>
      <w:r>
        <w:rPr>
          <w:rFonts w:ascii="Calibri" w:cs="Calibri" w:eastAsia="Calibri" w:hAnsi="Calibri"/>
          <w:sz w:val="22"/>
          <w:szCs w:val="22"/>
        </w:rPr>
        <w:t xml:space="preserve">"Building" means the office building specified in the Cover Sheet, including the structural components, mechanical and utility systems, Common Areas, and all other improvements located thereon.</w:t>
      </w:r>
    </w:p>
    <w:p>
      <w:pPr>
        <w:spacing w:after="100"/>
        <w:ind w:left="720"/>
        <w:jc w:val="both"/>
      </w:pPr>
      <w:r>
        <w:rPr>
          <w:rFonts w:ascii="Calibri" w:cs="Calibri" w:eastAsia="Calibri" w:hAnsi="Calibri"/>
          <w:sz w:val="22"/>
          <w:szCs w:val="22"/>
        </w:rPr>
        <w:t xml:space="preserve">"Building Hours" means the hours set forth in the Cover Sheet during which Landlord provides standard building services, as such hours may be modified from time to time by Landlord in accordance with Section 3.7.</w:t>
      </w:r>
    </w:p>
    <w:p>
      <w:pPr>
        <w:spacing w:after="100"/>
        <w:ind w:left="720"/>
        <w:jc w:val="both"/>
      </w:pPr>
      <w:r>
        <w:rPr>
          <w:rFonts w:ascii="Calibri" w:cs="Calibri" w:eastAsia="Calibri" w:hAnsi="Calibri"/>
          <w:sz w:val="22"/>
          <w:szCs w:val="22"/>
        </w:rPr>
        <w:t xml:space="preserve">"Building Standard" means the type, brand, grade, and quality of materials and finishes from time to time designated by Landlord as standard for the Building, as identified in Landlord's current finish schedule.</w:t>
      </w:r>
    </w:p>
    <w:p>
      <w:pPr>
        <w:spacing w:after="100"/>
        <w:ind w:left="720"/>
        <w:jc w:val="both"/>
      </w:pPr>
      <w:r>
        <w:rPr>
          <w:rFonts w:ascii="Calibri" w:cs="Calibri" w:eastAsia="Calibri" w:hAnsi="Calibri"/>
          <w:sz w:val="22"/>
          <w:szCs w:val="22"/>
        </w:rPr>
        <w:t xml:space="preserve">"Business Day" means any day other than a Saturday, Sunday, or federal or state holiday observed in [STATE].</w:t>
      </w:r>
    </w:p>
    <w:p>
      <w:pPr>
        <w:spacing w:after="100"/>
        <w:ind w:left="720"/>
        <w:jc w:val="both"/>
      </w:pPr>
      <w:r>
        <w:rPr>
          <w:rFonts w:ascii="Calibri" w:cs="Calibri" w:eastAsia="Calibri" w:hAnsi="Calibri"/>
          <w:sz w:val="22"/>
          <w:szCs w:val="22"/>
        </w:rPr>
        <w:t xml:space="preserve">"Casualty" means any fire, earthquake, flood, or other casualty event causing damage to or destruction of all or any portion of the Building or the Premises.</w:t>
      </w:r>
    </w:p>
    <w:p>
      <w:pPr>
        <w:spacing w:after="100"/>
        <w:ind w:left="720"/>
        <w:jc w:val="both"/>
      </w:pPr>
      <w:r>
        <w:rPr>
          <w:rFonts w:ascii="Calibri" w:cs="Calibri" w:eastAsia="Calibri" w:hAnsi="Calibri"/>
          <w:sz w:val="22"/>
          <w:szCs w:val="22"/>
        </w:rPr>
        <w:t xml:space="preserve">"Change of Control" means (a) any merger, consolidation, or reorganization of Tenant with or into another entity; (b) any sale or transfer of all or substantially all of Tenant's assets; (c) any sale, transfer, or issuance (or series of related sales, transfers, or issuances) of equity interests in Tenant resulting in a change in the identity of the person or entity holding, directly or indirectly, more than fifty percent (50%) of the voting power of Tenant; or (d) any initial public offering of Tenant's equity securities on a nationally recognized securities exchange. Notwithstanding the foregoing, a Change of Control shall not include (i) transfers among existing holders, (ii) issuances of equity in connection with bona fide equity or convertible debt financing transactions, employee equity incentive plans, or strategic partnerships, or (iii) transfers resulting from the death or incapacity of any individual holder.</w:t>
      </w:r>
    </w:p>
    <w:p>
      <w:pPr>
        <w:spacing w:after="100"/>
        <w:ind w:left="720"/>
        <w:jc w:val="both"/>
      </w:pPr>
      <w:r>
        <w:rPr>
          <w:rFonts w:ascii="Calibri" w:cs="Calibri" w:eastAsia="Calibri" w:hAnsi="Calibri"/>
          <w:sz w:val="22"/>
          <w:szCs w:val="22"/>
        </w:rPr>
        <w:t xml:space="preserve">"Commencement Date" means the date determined in accordance with Section 4.6.</w:t>
      </w:r>
    </w:p>
    <w:p>
      <w:pPr>
        <w:spacing w:after="100"/>
        <w:ind w:left="720"/>
        <w:jc w:val="both"/>
      </w:pPr>
      <w:r>
        <w:rPr>
          <w:rFonts w:ascii="Calibri" w:cs="Calibri" w:eastAsia="Calibri" w:hAnsi="Calibri"/>
          <w:sz w:val="22"/>
          <w:szCs w:val="22"/>
        </w:rPr>
        <w:t xml:space="preserve">"Common Areas" means all areas within the Building and the Project that are designated by Landlord from time to time for the common use of tenants and their employees, agents, customers, and invitees, including without limitation lobbies, corridors, elevators, stairways, restrooms, mechanical rooms, electrical rooms, loading docks, trash areas, landscaped areas, driveways, sidewalks, parking facilities, and any amenity spaces.</w:t>
      </w:r>
    </w:p>
    <w:p>
      <w:pPr>
        <w:spacing w:after="100"/>
        <w:ind w:left="720"/>
        <w:jc w:val="both"/>
      </w:pPr>
      <w:r>
        <w:rPr>
          <w:rFonts w:ascii="Calibri" w:cs="Calibri" w:eastAsia="Calibri" w:hAnsi="Calibri"/>
          <w:sz w:val="22"/>
          <w:szCs w:val="22"/>
        </w:rPr>
        <w:t xml:space="preserve">"Controllable Expenses" means all Operating Expenses other than insurance premiums, utility costs, costs imposed by governmental authorities (including assessments, fees, and surcharges), snow and ice removal costs, security costs to the extent required by governmental directive, and costs arising from Force Majeure events.</w:t>
      </w:r>
    </w:p>
    <w:p>
      <w:pPr>
        <w:spacing w:after="100"/>
        <w:ind w:left="720"/>
        <w:jc w:val="both"/>
      </w:pPr>
      <w:r>
        <w:rPr>
          <w:rFonts w:ascii="Calibri" w:cs="Calibri" w:eastAsia="Calibri" w:hAnsi="Calibri"/>
          <w:sz w:val="22"/>
          <w:szCs w:val="22"/>
        </w:rPr>
        <w:t xml:space="preserve">"Default Rate" means the lesser of (a) [DEFAULT RATE, e.g., ten percent (10%)] per annum, or (b) the maximum rate permitted by Applicable Laws.</w:t>
      </w:r>
    </w:p>
    <w:p>
      <w:pPr>
        <w:spacing w:after="100"/>
        <w:ind w:left="720"/>
        <w:jc w:val="both"/>
      </w:pPr>
      <w:r>
        <w:rPr>
          <w:rFonts w:ascii="Calibri" w:cs="Calibri" w:eastAsia="Calibri" w:hAnsi="Calibri"/>
          <w:sz w:val="22"/>
          <w:szCs w:val="22"/>
        </w:rPr>
        <w:t xml:space="preserve">"Delivery Date" means the date on which Landlord delivers the Premises to Tenant in the condition required by Section 4.1.</w:t>
      </w:r>
    </w:p>
    <w:p>
      <w:pPr>
        <w:spacing w:after="100"/>
        <w:ind w:left="720"/>
        <w:jc w:val="both"/>
      </w:pPr>
      <w:r>
        <w:rPr>
          <w:rFonts w:ascii="Calibri" w:cs="Calibri" w:eastAsia="Calibri" w:hAnsi="Calibri"/>
          <w:sz w:val="22"/>
          <w:szCs w:val="22"/>
        </w:rPr>
        <w:t xml:space="preserve">"Environmental Laws" means all federal, state, and local laws, statutes, regulations, and ordinances relating to the protection of human health or the environment, including without limitation the Comprehensive Environmental Response, Compensation, and Liability Act (42 U.S.C. § 9601 et seq.), the Resource Conservation and Recovery Act (42 U.S.C. § 6901 et seq.), the Clean Air Act, the Clean Water Act, the Toxic Substances Control Act, and all state and local counterparts.</w:t>
      </w:r>
    </w:p>
    <w:p>
      <w:pPr>
        <w:spacing w:after="100"/>
        <w:ind w:left="720"/>
        <w:jc w:val="both"/>
      </w:pPr>
      <w:r>
        <w:rPr>
          <w:rFonts w:ascii="Calibri" w:cs="Calibri" w:eastAsia="Calibri" w:hAnsi="Calibri"/>
          <w:sz w:val="22"/>
          <w:szCs w:val="22"/>
        </w:rPr>
        <w:t xml:space="preserve">"Expiration Date" means the date set forth in the Cover Sheet, subject to any earlier termination or extension pursuant to this Lease.</w:t>
      </w:r>
    </w:p>
    <w:p>
      <w:pPr>
        <w:spacing w:after="100"/>
        <w:ind w:left="720"/>
        <w:jc w:val="both"/>
      </w:pPr>
      <w:r>
        <w:rPr>
          <w:rFonts w:ascii="Calibri" w:cs="Calibri" w:eastAsia="Calibri" w:hAnsi="Calibri"/>
          <w:sz w:val="22"/>
          <w:szCs w:val="22"/>
        </w:rPr>
        <w:t xml:space="preserve">"Force Majeure" means any delay caused by strikes, lockouts, labor disputes, acts of God, inability to obtain labor or materials (or reasonable substitutes therefor), governmental restrictions, regulations or controls, judicial orders, enemy or hostile governmental action, civil commotion, fire, earthquake, pandemic, epidemic, quarantine restrictions, or other casualties or causes beyond the reasonable control of the party obligated to perform, but expressly excluding financial inability or the availability of financing.</w:t>
      </w:r>
    </w:p>
    <w:p>
      <w:pPr>
        <w:spacing w:after="100"/>
        <w:ind w:left="720"/>
        <w:jc w:val="both"/>
      </w:pPr>
      <w:r>
        <w:rPr>
          <w:rFonts w:ascii="Calibri" w:cs="Calibri" w:eastAsia="Calibri" w:hAnsi="Calibri"/>
          <w:sz w:val="22"/>
          <w:szCs w:val="22"/>
        </w:rPr>
        <w:t xml:space="preserve">"Guarantor" means the person or entity identified in the Cover Sheet, if any, who has executed and delivered the Guaranty.</w:t>
      </w:r>
    </w:p>
    <w:p>
      <w:pPr>
        <w:spacing w:after="100"/>
        <w:ind w:left="720"/>
        <w:jc w:val="both"/>
      </w:pPr>
      <w:r>
        <w:rPr>
          <w:rFonts w:ascii="Calibri" w:cs="Calibri" w:eastAsia="Calibri" w:hAnsi="Calibri"/>
          <w:sz w:val="22"/>
          <w:szCs w:val="22"/>
        </w:rPr>
        <w:t xml:space="preserve">"Guaranty" means the guaranty of lease, if any, in the form attached as Exhibit K, executed by Guarantor in favor of Landlord.</w:t>
      </w:r>
    </w:p>
    <w:p>
      <w:pPr>
        <w:spacing w:after="100"/>
        <w:ind w:left="720"/>
        <w:jc w:val="both"/>
      </w:pPr>
      <w:r>
        <w:rPr>
          <w:rFonts w:ascii="Calibri" w:cs="Calibri" w:eastAsia="Calibri" w:hAnsi="Calibri"/>
          <w:sz w:val="22"/>
          <w:szCs w:val="22"/>
        </w:rPr>
        <w:t xml:space="preserve">"Hazardous Materials" means any substance, material, or waste that is regulated, classified, or otherwise characterized under any Environmental Law as "hazardous," "toxic," "pollutant," "contaminant," "radioactive," or words of similar meaning or effect, including without limitation petroleum and petroleum products, asbestos-containing materials, polychlorinated biphenyls, lead-based paint, mold, radon, and per- and polyfluoroalkyl substances (PFAS).</w:t>
      </w:r>
    </w:p>
    <w:p>
      <w:pPr>
        <w:spacing w:after="100"/>
        <w:ind w:left="720"/>
        <w:jc w:val="both"/>
      </w:pPr>
      <w:r>
        <w:rPr>
          <w:rFonts w:ascii="Calibri" w:cs="Calibri" w:eastAsia="Calibri" w:hAnsi="Calibri"/>
          <w:sz w:val="22"/>
          <w:szCs w:val="22"/>
        </w:rPr>
        <w:t xml:space="preserve">"HVAC" means heating, ventilation, and air conditioning.</w:t>
      </w:r>
    </w:p>
    <w:p>
      <w:pPr>
        <w:spacing w:after="100"/>
        <w:ind w:left="720"/>
        <w:jc w:val="both"/>
      </w:pPr>
      <w:r>
        <w:rPr>
          <w:rFonts w:ascii="Calibri" w:cs="Calibri" w:eastAsia="Calibri" w:hAnsi="Calibri"/>
          <w:sz w:val="22"/>
          <w:szCs w:val="22"/>
        </w:rPr>
        <w:t xml:space="preserve">"Interest Rate" means the lesser of (a) the annual rate of interest publicly announced from time to time by [REFERENCE BANK] as its "prime rate" or "base rate" plus [NUMBER] percentage points, or (b) the maximum rate permitted by Applicable Laws.</w:t>
      </w:r>
    </w:p>
    <w:p>
      <w:pPr>
        <w:spacing w:after="100"/>
        <w:ind w:left="720"/>
        <w:jc w:val="both"/>
      </w:pPr>
      <w:r>
        <w:rPr>
          <w:rFonts w:ascii="Calibri" w:cs="Calibri" w:eastAsia="Calibri" w:hAnsi="Calibri"/>
          <w:sz w:val="22"/>
          <w:szCs w:val="22"/>
        </w:rPr>
        <w:t xml:space="preserve">"Landlord's Work" means the construction, improvements, and other work to be performed by Landlord as described in the Delivery Condition Specification attached as Exhibit C and the Work Letter attached as Exhibit D.</w:t>
      </w:r>
    </w:p>
    <w:p>
      <w:pPr>
        <w:spacing w:after="100"/>
        <w:ind w:left="720"/>
        <w:jc w:val="both"/>
      </w:pPr>
      <w:r>
        <w:rPr>
          <w:rFonts w:ascii="Calibri" w:cs="Calibri" w:eastAsia="Calibri" w:hAnsi="Calibri"/>
          <w:sz w:val="22"/>
          <w:szCs w:val="22"/>
        </w:rPr>
        <w:t xml:space="preserve">"Lease" means this Commercial Office Lease, including all exhibits, addenda, riders, and amendments hereto.</w:t>
      </w:r>
    </w:p>
    <w:p>
      <w:pPr>
        <w:spacing w:after="100"/>
        <w:ind w:left="720"/>
        <w:jc w:val="both"/>
      </w:pPr>
      <w:r>
        <w:rPr>
          <w:rFonts w:ascii="Calibri" w:cs="Calibri" w:eastAsia="Calibri" w:hAnsi="Calibri"/>
          <w:sz w:val="22"/>
          <w:szCs w:val="22"/>
        </w:rPr>
        <w:t xml:space="preserve">"Lease Term" or "Term" means the period commencing on the Commencement Date and expiring on the Expiration Date, unless sooner terminated or extended in accordance with the terms hereof.</w:t>
      </w:r>
    </w:p>
    <w:p>
      <w:pPr>
        <w:spacing w:after="100"/>
        <w:ind w:left="720"/>
        <w:jc w:val="both"/>
      </w:pPr>
      <w:r>
        <w:rPr>
          <w:rFonts w:ascii="Calibri" w:cs="Calibri" w:eastAsia="Calibri" w:hAnsi="Calibri"/>
          <w:sz w:val="22"/>
          <w:szCs w:val="22"/>
        </w:rPr>
        <w:t xml:space="preserve">"Lease Year" means each consecutive twelve (12) month period during the Lease Term, with the first Lease Year commencing on the Commencement Date (or, if the Commencement Date does not fall on the first day of a calendar month, commencing on the first day of the calendar month immediately following the Commencement Date, and the period from the Commencement Date through the last day of that partial month shall be included in the first Lease Year).</w:t>
      </w:r>
    </w:p>
    <w:p>
      <w:pPr>
        <w:spacing w:after="100"/>
        <w:ind w:left="720"/>
        <w:jc w:val="both"/>
      </w:pPr>
      <w:r>
        <w:rPr>
          <w:rFonts w:ascii="Calibri" w:cs="Calibri" w:eastAsia="Calibri" w:hAnsi="Calibri"/>
          <w:sz w:val="22"/>
          <w:szCs w:val="22"/>
        </w:rPr>
        <w:t xml:space="preserve">"Lender" means the holder of any Mortgage encumbering the Building or the Project, or any portion thereof.</w:t>
      </w:r>
    </w:p>
    <w:p>
      <w:pPr>
        <w:spacing w:after="100"/>
        <w:ind w:left="720"/>
        <w:jc w:val="both"/>
      </w:pPr>
      <w:r>
        <w:rPr>
          <w:rFonts w:ascii="Calibri" w:cs="Calibri" w:eastAsia="Calibri" w:hAnsi="Calibri"/>
          <w:sz w:val="22"/>
          <w:szCs w:val="22"/>
        </w:rPr>
        <w:t xml:space="preserve">"Mortgage" means any mortgage, deed of trust, ground lease, or other security instrument encumbering the Building, the Project, or the land thereunder, or any portion thereof.</w:t>
      </w:r>
    </w:p>
    <w:p>
      <w:pPr>
        <w:spacing w:after="100"/>
        <w:ind w:left="720"/>
        <w:jc w:val="both"/>
      </w:pPr>
      <w:r>
        <w:rPr>
          <w:rFonts w:ascii="Calibri" w:cs="Calibri" w:eastAsia="Calibri" w:hAnsi="Calibri"/>
          <w:sz w:val="22"/>
          <w:szCs w:val="22"/>
        </w:rPr>
        <w:t xml:space="preserve">"Normal Business Hours" has the same meaning as Building Hours.</w:t>
      </w:r>
    </w:p>
    <w:p>
      <w:pPr>
        <w:spacing w:after="100"/>
        <w:ind w:left="720"/>
        <w:jc w:val="both"/>
      </w:pPr>
      <w:r>
        <w:rPr>
          <w:rFonts w:ascii="Calibri" w:cs="Calibri" w:eastAsia="Calibri" w:hAnsi="Calibri"/>
          <w:sz w:val="22"/>
          <w:szCs w:val="22"/>
        </w:rPr>
        <w:t xml:space="preserve">"Operating Expenses" has the meaning set forth in Section 7.2.</w:t>
      </w:r>
    </w:p>
    <w:p>
      <w:pPr>
        <w:spacing w:after="100"/>
        <w:ind w:left="720"/>
        <w:jc w:val="both"/>
      </w:pPr>
      <w:r>
        <w:rPr>
          <w:rFonts w:ascii="Calibri" w:cs="Calibri" w:eastAsia="Calibri" w:hAnsi="Calibri"/>
          <w:sz w:val="22"/>
          <w:szCs w:val="22"/>
        </w:rPr>
        <w:t xml:space="preserve">"Outside Date" means the date that is [NUMBER] days after the Anticipated Delivery Date, as such date may be extended by Force Majeure delays for a period not to exceed [NUMBER] additional days.</w:t>
      </w:r>
    </w:p>
    <w:p>
      <w:pPr>
        <w:spacing w:after="100"/>
        <w:ind w:left="720"/>
        <w:jc w:val="both"/>
      </w:pPr>
      <w:r>
        <w:rPr>
          <w:rFonts w:ascii="Calibri" w:cs="Calibri" w:eastAsia="Calibri" w:hAnsi="Calibri"/>
          <w:sz w:val="22"/>
          <w:szCs w:val="22"/>
        </w:rPr>
        <w:t xml:space="preserve">"Permitted Use" means the use specified in the Cover Sheet and as further described in Section 3.1.</w:t>
      </w:r>
    </w:p>
    <w:p>
      <w:pPr>
        <w:spacing w:after="100"/>
        <w:ind w:left="720"/>
        <w:jc w:val="both"/>
      </w:pPr>
      <w:r>
        <w:rPr>
          <w:rFonts w:ascii="Calibri" w:cs="Calibri" w:eastAsia="Calibri" w:hAnsi="Calibri"/>
          <w:sz w:val="22"/>
          <w:szCs w:val="22"/>
        </w:rPr>
        <w:t xml:space="preserve">"Premises" means the space within the Building identified in the Cover Sheet and depicted on Exhibit A, comprising approximately [PREMISES RSF] rentable square feet.</w:t>
      </w:r>
    </w:p>
    <w:p>
      <w:pPr>
        <w:spacing w:after="100"/>
        <w:ind w:left="720"/>
        <w:jc w:val="both"/>
      </w:pPr>
      <w:r>
        <w:rPr>
          <w:rFonts w:ascii="Calibri" w:cs="Calibri" w:eastAsia="Calibri" w:hAnsi="Calibri"/>
          <w:sz w:val="22"/>
          <w:szCs w:val="22"/>
        </w:rPr>
        <w:t xml:space="preserve">"Project" means the Building, the parcel(s) of land on which the Building is situated, and all other improvements, parking facilities, landscaping, and Common Areas associated therewith, as more particularly described in Exhibit A.</w:t>
      </w:r>
    </w:p>
    <w:p>
      <w:pPr>
        <w:spacing w:after="100"/>
        <w:ind w:left="720"/>
        <w:jc w:val="both"/>
      </w:pPr>
      <w:r>
        <w:rPr>
          <w:rFonts w:ascii="Calibri" w:cs="Calibri" w:eastAsia="Calibri" w:hAnsi="Calibri"/>
          <w:sz w:val="22"/>
          <w:szCs w:val="22"/>
        </w:rPr>
        <w:t xml:space="preserve">"Rent" means, collectively, Base Rent and Additional Rent.</w:t>
      </w:r>
    </w:p>
    <w:p>
      <w:pPr>
        <w:spacing w:after="100"/>
        <w:ind w:left="720"/>
        <w:jc w:val="both"/>
      </w:pPr>
      <w:r>
        <w:rPr>
          <w:rFonts w:ascii="Calibri" w:cs="Calibri" w:eastAsia="Calibri" w:hAnsi="Calibri"/>
          <w:sz w:val="22"/>
          <w:szCs w:val="22"/>
        </w:rPr>
        <w:t xml:space="preserve">"Rent Commencement Date" means the date specified in the Cover Sheet on which Tenant's obligation to pay Base Rent commences.</w:t>
      </w:r>
    </w:p>
    <w:p>
      <w:pPr>
        <w:spacing w:after="100"/>
        <w:ind w:left="720"/>
        <w:jc w:val="both"/>
      </w:pPr>
      <w:r>
        <w:rPr>
          <w:rFonts w:ascii="Calibri" w:cs="Calibri" w:eastAsia="Calibri" w:hAnsi="Calibri"/>
          <w:sz w:val="22"/>
          <w:szCs w:val="22"/>
        </w:rPr>
        <w:t xml:space="preserve">"Rentable Area" or "RSF" means the rentable square footage of the Premises or the Building, as applicable, measured in accordance with the Building Owners and Managers Association International ("BOMA") Standard Method of Measurement (ANSI/BOMA Z65.1-2017, as amended), or such successor standard as Landlord may adopt.</w:t>
      </w:r>
    </w:p>
    <w:p>
      <w:pPr>
        <w:spacing w:after="100"/>
        <w:ind w:left="720"/>
        <w:jc w:val="both"/>
      </w:pPr>
      <w:r>
        <w:rPr>
          <w:rFonts w:ascii="Calibri" w:cs="Calibri" w:eastAsia="Calibri" w:hAnsi="Calibri"/>
          <w:sz w:val="22"/>
          <w:szCs w:val="22"/>
        </w:rPr>
        <w:t xml:space="preserve">"Restoration" means Landlord's obligation to repair and restore the Building and/or the Premises following a Casualty or Condemnation, as set forth in Article 11.</w:t>
      </w:r>
    </w:p>
    <w:p>
      <w:pPr>
        <w:spacing w:after="100"/>
        <w:ind w:left="720"/>
        <w:jc w:val="both"/>
      </w:pPr>
      <w:r>
        <w:rPr>
          <w:rFonts w:ascii="Calibri" w:cs="Calibri" w:eastAsia="Calibri" w:hAnsi="Calibri"/>
          <w:sz w:val="22"/>
          <w:szCs w:val="22"/>
        </w:rPr>
        <w:t xml:space="preserve">"Security Deposit" means the cash deposit or Letter of Credit described in Section 6.9.</w:t>
      </w:r>
    </w:p>
    <w:p>
      <w:pPr>
        <w:spacing w:after="100"/>
        <w:ind w:left="720"/>
        <w:jc w:val="both"/>
      </w:pPr>
      <w:r>
        <w:rPr>
          <w:rFonts w:ascii="Calibri" w:cs="Calibri" w:eastAsia="Calibri" w:hAnsi="Calibri"/>
          <w:sz w:val="22"/>
          <w:szCs w:val="22"/>
        </w:rPr>
        <w:t xml:space="preserve">"SNDA" means a subordination, nondisturbance, and attornment agreement.</w:t>
      </w:r>
    </w:p>
    <w:p>
      <w:pPr>
        <w:spacing w:after="100"/>
        <w:ind w:left="720"/>
        <w:jc w:val="both"/>
      </w:pPr>
      <w:r>
        <w:rPr>
          <w:rFonts w:ascii="Calibri" w:cs="Calibri" w:eastAsia="Calibri" w:hAnsi="Calibri"/>
          <w:sz w:val="22"/>
          <w:szCs w:val="22"/>
        </w:rPr>
        <w:t xml:space="preserve">"Substantial Completion" or "Substantially Complete" means, with respect to any construction work, that such work has been completed in substantial accordance with the applicable plans and specifications, subject only to minor punch-list items that do not materially interfere with Tenant's use of or access to the Premises.</w:t>
      </w:r>
    </w:p>
    <w:p>
      <w:pPr>
        <w:spacing w:after="100"/>
        <w:ind w:left="720"/>
        <w:jc w:val="both"/>
      </w:pPr>
      <w:r>
        <w:rPr>
          <w:rFonts w:ascii="Calibri" w:cs="Calibri" w:eastAsia="Calibri" w:hAnsi="Calibri"/>
          <w:sz w:val="22"/>
          <w:szCs w:val="22"/>
        </w:rPr>
        <w:t xml:space="preserve">"Taxes" means all real property taxes, assessments (general and special), governmental charges, fees, and impositions levied upon or attributable to the Building, the Project, or the land, including any tax levied in whole or in part in lieu of, as a substitute for, or in addition to real property taxes.</w:t>
      </w:r>
    </w:p>
    <w:p>
      <w:pPr>
        <w:spacing w:after="100"/>
        <w:ind w:left="720"/>
        <w:jc w:val="both"/>
      </w:pPr>
      <w:r>
        <w:rPr>
          <w:rFonts w:ascii="Calibri" w:cs="Calibri" w:eastAsia="Calibri" w:hAnsi="Calibri"/>
          <w:sz w:val="22"/>
          <w:szCs w:val="22"/>
        </w:rPr>
        <w:t xml:space="preserve">"Tenant Improvements" or "TI Work" means the initial improvements to the Premises constructed pursuant to the Work Letter attached as Exhibit D.</w:t>
      </w:r>
    </w:p>
    <w:p>
      <w:pPr>
        <w:spacing w:after="100"/>
        <w:ind w:left="720"/>
        <w:jc w:val="both"/>
      </w:pPr>
      <w:r>
        <w:rPr>
          <w:rFonts w:ascii="Calibri" w:cs="Calibri" w:eastAsia="Calibri" w:hAnsi="Calibri"/>
          <w:sz w:val="22"/>
          <w:szCs w:val="22"/>
        </w:rPr>
        <w:t xml:space="preserve">"Tenant Improvement Allowance" or "TI Allowance" means the contribution by Landlord toward the cost of the Tenant Improvements, as set forth in the Cover Sheet and Section 5.4.</w:t>
      </w:r>
    </w:p>
    <w:p>
      <w:pPr>
        <w:spacing w:after="100"/>
        <w:ind w:left="720"/>
        <w:jc w:val="both"/>
      </w:pPr>
      <w:r>
        <w:rPr>
          <w:rFonts w:ascii="Calibri" w:cs="Calibri" w:eastAsia="Calibri" w:hAnsi="Calibri"/>
          <w:sz w:val="22"/>
          <w:szCs w:val="22"/>
        </w:rPr>
        <w:t xml:space="preserve">"Tenant's Pro Rata Share" means the percentage set forth in the Cover Sheet, subject to adjustment as provided in Section 7.1.</w:t>
      </w:r>
    </w:p>
    <w:p>
      <w:pPr>
        <w:spacing w:after="100"/>
        <w:ind w:left="720"/>
        <w:jc w:val="both"/>
      </w:pPr>
      <w:r>
        <w:rPr>
          <w:rFonts w:ascii="Calibri" w:cs="Calibri" w:eastAsia="Calibri" w:hAnsi="Calibri"/>
          <w:sz w:val="22"/>
          <w:szCs w:val="22"/>
        </w:rPr>
        <w:t xml:space="preserve">"Transfer" means any assignment, sublease, license, concession, mortgage, pledge, encumbrance, or other transfer of all or any portion of Tenant's interest in this Lease or the Premises.</w:t>
      </w:r>
    </w:p>
    <w:p>
      <w:pPr>
        <w:spacing w:after="120" w:before="240"/>
      </w:pPr>
      <w:r>
        <w:rPr>
          <w:rFonts w:ascii="Calibri" w:cs="Calibri" w:eastAsia="Calibri" w:hAnsi="Calibri"/>
          <w:b/>
          <w:bCs/>
          <w:sz w:val="22"/>
          <w:szCs w:val="22"/>
        </w:rPr>
        <w:t xml:space="preserve">Section 1.3. Exhibits and Addenda</w:t>
      </w:r>
    </w:p>
    <w:p>
      <w:pPr>
        <w:spacing w:after="120"/>
        <w:jc w:val="both"/>
      </w:pPr>
      <w:r>
        <w:rPr>
          <w:rFonts w:ascii="Calibri" w:cs="Calibri" w:eastAsia="Calibri" w:hAnsi="Calibri"/>
          <w:sz w:val="22"/>
          <w:szCs w:val="22"/>
        </w:rPr>
        <w:t xml:space="preserve">The following Exhibits are attached hereto and incorporated herein by this reference:</w:t>
      </w:r>
    </w:p>
    <w:p>
      <w:pPr>
        <w:spacing w:after="100"/>
        <w:ind w:left="720"/>
        <w:jc w:val="both"/>
      </w:pPr>
      <w:r>
        <w:rPr>
          <w:rFonts w:ascii="Calibri" w:cs="Calibri" w:eastAsia="Calibri" w:hAnsi="Calibri"/>
          <w:sz w:val="22"/>
          <w:szCs w:val="22"/>
        </w:rPr>
        <w:t xml:space="preserve">Exhibit A — Legal Description, Site Plan, and Floor Plan</w:t>
      </w:r>
    </w:p>
    <w:p>
      <w:pPr>
        <w:spacing w:after="100"/>
        <w:ind w:left="720"/>
        <w:jc w:val="both"/>
      </w:pPr>
      <w:r>
        <w:rPr>
          <w:rFonts w:ascii="Calibri" w:cs="Calibri" w:eastAsia="Calibri" w:hAnsi="Calibri"/>
          <w:sz w:val="22"/>
          <w:szCs w:val="22"/>
        </w:rPr>
        <w:t xml:space="preserve">Exhibit B — Title, Zoning, and Environmental Disclosures</w:t>
      </w:r>
    </w:p>
    <w:p>
      <w:pPr>
        <w:spacing w:after="100"/>
        <w:ind w:left="720"/>
        <w:jc w:val="both"/>
      </w:pPr>
      <w:r>
        <w:rPr>
          <w:rFonts w:ascii="Calibri" w:cs="Calibri" w:eastAsia="Calibri" w:hAnsi="Calibri"/>
          <w:sz w:val="22"/>
          <w:szCs w:val="22"/>
        </w:rPr>
        <w:t xml:space="preserve">Exhibit C — Delivery Condition Specification</w:t>
      </w:r>
    </w:p>
    <w:p>
      <w:pPr>
        <w:spacing w:after="100"/>
        <w:ind w:left="720"/>
        <w:jc w:val="both"/>
      </w:pPr>
      <w:r>
        <w:rPr>
          <w:rFonts w:ascii="Calibri" w:cs="Calibri" w:eastAsia="Calibri" w:hAnsi="Calibri"/>
          <w:sz w:val="22"/>
          <w:szCs w:val="22"/>
        </w:rPr>
        <w:t xml:space="preserve">Exhibit D — Work Letter and Allowance Budget</w:t>
      </w:r>
    </w:p>
    <w:p>
      <w:pPr>
        <w:spacing w:after="100"/>
        <w:ind w:left="720"/>
        <w:jc w:val="both"/>
      </w:pPr>
      <w:r>
        <w:rPr>
          <w:rFonts w:ascii="Calibri" w:cs="Calibri" w:eastAsia="Calibri" w:hAnsi="Calibri"/>
          <w:sz w:val="22"/>
          <w:szCs w:val="22"/>
        </w:rPr>
        <w:t xml:space="preserve">Exhibit E — Rent and CAM Schedule</w:t>
      </w:r>
    </w:p>
    <w:p>
      <w:pPr>
        <w:spacing w:after="100"/>
        <w:ind w:left="720"/>
        <w:jc w:val="both"/>
      </w:pPr>
      <w:r>
        <w:rPr>
          <w:rFonts w:ascii="Calibri" w:cs="Calibri" w:eastAsia="Calibri" w:hAnsi="Calibri"/>
          <w:sz w:val="22"/>
          <w:szCs w:val="22"/>
        </w:rPr>
        <w:t xml:space="preserve">Exhibit F — Services and Repair Responsibility Matrix</w:t>
      </w:r>
    </w:p>
    <w:p>
      <w:pPr>
        <w:spacing w:after="100"/>
        <w:ind w:left="720"/>
        <w:jc w:val="both"/>
      </w:pPr>
      <w:r>
        <w:rPr>
          <w:rFonts w:ascii="Calibri" w:cs="Calibri" w:eastAsia="Calibri" w:hAnsi="Calibri"/>
          <w:sz w:val="22"/>
          <w:szCs w:val="22"/>
        </w:rPr>
        <w:t xml:space="preserve">Exhibit G — Insurance Schedule</w:t>
      </w:r>
    </w:p>
    <w:p>
      <w:pPr>
        <w:spacing w:after="100"/>
        <w:ind w:left="720"/>
        <w:jc w:val="both"/>
      </w:pPr>
      <w:r>
        <w:rPr>
          <w:rFonts w:ascii="Calibri" w:cs="Calibri" w:eastAsia="Calibri" w:hAnsi="Calibri"/>
          <w:sz w:val="22"/>
          <w:szCs w:val="22"/>
        </w:rPr>
        <w:t xml:space="preserve">Exhibit H — Assignment and Options Schedule</w:t>
      </w:r>
    </w:p>
    <w:p>
      <w:pPr>
        <w:spacing w:after="100"/>
        <w:ind w:left="720"/>
        <w:jc w:val="both"/>
      </w:pPr>
      <w:r>
        <w:rPr>
          <w:rFonts w:ascii="Calibri" w:cs="Calibri" w:eastAsia="Calibri" w:hAnsi="Calibri"/>
          <w:sz w:val="22"/>
          <w:szCs w:val="22"/>
        </w:rPr>
        <w:t xml:space="preserve">Exhibit I — Form of SNDA</w:t>
      </w:r>
    </w:p>
    <w:p>
      <w:pPr>
        <w:spacing w:after="100"/>
        <w:ind w:left="720"/>
        <w:jc w:val="both"/>
      </w:pPr>
      <w:r>
        <w:rPr>
          <w:rFonts w:ascii="Calibri" w:cs="Calibri" w:eastAsia="Calibri" w:hAnsi="Calibri"/>
          <w:sz w:val="22"/>
          <w:szCs w:val="22"/>
        </w:rPr>
        <w:t xml:space="preserve">Exhibit J — Surrender and Restoration Checklist</w:t>
      </w:r>
    </w:p>
    <w:p>
      <w:pPr>
        <w:spacing w:after="100"/>
        <w:ind w:left="720"/>
        <w:jc w:val="both"/>
      </w:pPr>
      <w:r>
        <w:rPr>
          <w:rFonts w:ascii="Calibri" w:cs="Calibri" w:eastAsia="Calibri" w:hAnsi="Calibri"/>
          <w:sz w:val="22"/>
          <w:szCs w:val="22"/>
        </w:rPr>
        <w:t xml:space="preserve">Exhibit K — Form of Guaranty (if applicable)</w:t>
      </w:r>
    </w:p>
    <w:p>
      <w:pPr>
        <w:spacing w:after="120" w:before="240"/>
      </w:pPr>
      <w:r>
        <w:rPr>
          <w:rFonts w:ascii="Calibri" w:cs="Calibri" w:eastAsia="Calibri" w:hAnsi="Calibri"/>
          <w:b/>
          <w:bCs/>
          <w:sz w:val="22"/>
          <w:szCs w:val="22"/>
        </w:rPr>
        <w:t xml:space="preserve">Section 1.4. Order of Precedence</w:t>
      </w:r>
    </w:p>
    <w:p>
      <w:pPr>
        <w:spacing w:after="120"/>
        <w:jc w:val="both"/>
      </w:pPr>
      <w:r>
        <w:rPr>
          <w:rFonts w:ascii="Calibri" w:cs="Calibri" w:eastAsia="Calibri" w:hAnsi="Calibri"/>
          <w:sz w:val="22"/>
          <w:szCs w:val="22"/>
        </w:rPr>
        <w:t xml:space="preserve">In the event of any conflict or inconsistency among the provisions of this Lease, the following order of precedence shall apply (with the first listed having the highest priority): (a) any amendment or modification executed by both parties after the Lease Date; (b) any addenda or riders attached to this Lease as of the Lease Date; (c) the body of this Lease (Articles 1 through 16); (d) the Cover Sheet; (e) the Exhibits. Notwithstanding the foregoing, any specific numerical value or date set forth in the Cover Sheet shall control over any conflicting general description in the body of this Lease.</w:t>
      </w:r>
    </w:p>
    <w:p>
      <w:pPr>
        <w:pageBreakBefore/>
        <w:spacing w:after="200" w:before="120"/>
        <w:jc w:val="center"/>
      </w:pPr>
      <w:r>
        <w:rPr>
          <w:rFonts w:ascii="Calibri" w:cs="Calibri" w:eastAsia="Calibri" w:hAnsi="Calibri"/>
          <w:b/>
          <w:bCs/>
          <w:sz w:val="26"/>
          <w:szCs w:val="26"/>
        </w:rPr>
        <w:t xml:space="preserve">ARTICLE 2 — PREMISES AND RIGHTS</w:t>
      </w:r>
    </w:p>
    <w:p>
      <w:pPr>
        <w:spacing w:after="120" w:before="240"/>
      </w:pPr>
      <w:r>
        <w:rPr>
          <w:rFonts w:ascii="Calibri" w:cs="Calibri" w:eastAsia="Calibri" w:hAnsi="Calibri"/>
          <w:b/>
          <w:bCs/>
          <w:sz w:val="22"/>
          <w:szCs w:val="22"/>
        </w:rPr>
        <w:t xml:space="preserve">Section 2.1. Lease of Premises</w:t>
      </w:r>
    </w:p>
    <w:p>
      <w:pPr>
        <w:spacing w:after="120"/>
        <w:jc w:val="both"/>
      </w:pPr>
      <w:r>
        <w:rPr>
          <w:rFonts w:ascii="Calibri" w:cs="Calibri" w:eastAsia="Calibri" w:hAnsi="Calibri"/>
          <w:sz w:val="22"/>
          <w:szCs w:val="22"/>
        </w:rPr>
        <w:t xml:space="preserve">Landlord hereby leases to Tenant, and Tenant hereby leases from Landlord, the Premises described in the Cover Sheet and depicted on the floor plan attached as Exhibit A, together with the non-exclusive right to use the Common Areas of the Building and the Project in common with Landlord, other tenants, and their respective employees, agents, customers, and invitees, subject to the terms and conditions of this Lease and Landlord's rules and regulations for the Building (the "Rules and Regulations"). The Premises are leased in their "as-is" condition as of the Delivery Date, subject to Landlord's obligation to deliver the Premises in the condition required by Section 4.1 and Exhibit C.</w:t>
      </w:r>
    </w:p>
    <w:p>
      <w:pPr>
        <w:spacing w:after="120" w:before="240"/>
      </w:pPr>
      <w:r>
        <w:rPr>
          <w:rFonts w:ascii="Calibri" w:cs="Calibri" w:eastAsia="Calibri" w:hAnsi="Calibri"/>
          <w:b/>
          <w:bCs/>
          <w:sz w:val="22"/>
          <w:szCs w:val="22"/>
        </w:rPr>
        <w:t xml:space="preserve">Section 2.2. Rentable Area; Measurement</w:t>
      </w:r>
    </w:p>
    <w:p>
      <w:pPr>
        <w:spacing w:after="120"/>
        <w:jc w:val="both"/>
      </w:pPr>
      <w:r>
        <w:rPr>
          <w:rFonts w:ascii="Calibri" w:cs="Calibri" w:eastAsia="Calibri" w:hAnsi="Calibri"/>
          <w:sz w:val="22"/>
          <w:szCs w:val="22"/>
        </w:rPr>
        <w:t xml:space="preserve">The Rentable Area of the Premises is stipulated to be [PREMISES RSF] rentable square feet, and the Rentable Area of the Building is stipulated to be [BUILDING RSF] rentable square feet, as set forth in the Cover Sheet. If either party disputes the accuracy of the stated Rentable Area, such party may, at its sole cost and expense, engage a licensed architect reasonably acceptable to the other party to remeasure the Premises and/or the Building in accordance with the BOMA Standard. If the remeasurement reveals a variance of more than [MEASUREMENT VARIANCE, e.g., two percent (2%)] from the stated Rentable Area, the parties shall execute an amendment to this Lease adjusting the Rentable Area, Tenant's Pro Rata Share, Base Rent, and the Tenant Improvement Allowance, retroactive to the Commencement Date, and any overpayment or underpayment shall be reconciled within thirty (30) days. The cost of remeasurement shall be borne by the party whose stated figure is determined to be inaccurate.</w:t>
      </w:r>
    </w:p>
    <w:p>
      <w:pPr>
        <w:spacing w:after="120" w:before="240"/>
      </w:pPr>
      <w:r>
        <w:rPr>
          <w:rFonts w:ascii="Calibri" w:cs="Calibri" w:eastAsia="Calibri" w:hAnsi="Calibri"/>
          <w:b/>
          <w:bCs/>
          <w:sz w:val="22"/>
          <w:szCs w:val="22"/>
        </w:rPr>
        <w:t xml:space="preserve">Section 2.3. Common Areas</w:t>
      </w:r>
    </w:p>
    <w:p>
      <w:pPr>
        <w:spacing w:after="120"/>
        <w:jc w:val="both"/>
      </w:pPr>
      <w:r>
        <w:rPr>
          <w:rFonts w:ascii="Calibri" w:cs="Calibri" w:eastAsia="Calibri" w:hAnsi="Calibri"/>
          <w:sz w:val="22"/>
          <w:szCs w:val="22"/>
        </w:rPr>
        <w:t xml:space="preserve">Tenant and its employees, agents, customers, and invitees shall have the non-exclusive right to use the Common Areas in common with other occupants of the Building, subject to the Rules and Regulations. Landlord reserves the right, in its reasonable discretion, to (a) modify, reconfigure, or relocate Common Areas (provided that such modifications do not materially and adversely affect Tenant's access to or use of the Premises), (b) temporarily close portions of the Common Areas for maintenance, repair, or renovation, (c) designate and modify the location and configuration of entrances, exits, corridors, elevators, and stairways, and (d) establish reasonable Rules and Regulations governing the use of Common Areas. Landlord shall not modify the Common Areas in any manner that reduces the Rentable Area of the Premises, materially impairs Tenant's access to the Premises, or materially reduces the number of parking spaces available to Tenant without Tenant's prior written consent.</w:t>
      </w:r>
    </w:p>
    <w:p>
      <w:pPr>
        <w:spacing w:after="120" w:before="240"/>
      </w:pPr>
      <w:r>
        <w:rPr>
          <w:rFonts w:ascii="Calibri" w:cs="Calibri" w:eastAsia="Calibri" w:hAnsi="Calibri"/>
          <w:b/>
          <w:bCs/>
          <w:sz w:val="22"/>
          <w:szCs w:val="22"/>
        </w:rPr>
        <w:t xml:space="preserve">Section 2.4. Access</w:t>
      </w:r>
    </w:p>
    <w:p>
      <w:pPr>
        <w:spacing w:after="120"/>
        <w:jc w:val="both"/>
      </w:pPr>
      <w:r>
        <w:rPr>
          <w:rFonts w:ascii="Calibri" w:cs="Calibri" w:eastAsia="Calibri" w:hAnsi="Calibri"/>
          <w:sz w:val="22"/>
          <w:szCs w:val="22"/>
        </w:rPr>
        <w:t xml:space="preserve">Tenant shall have access to the Premises twenty-four (24) hours per day, seven (7) days per week, three hundred sixty-five (365) days per year, subject to (a) emergency conditions, (b) Force Majeure events, (c) temporary interruptions for maintenance, repair, or capital improvements to the Building systems, and (d) reasonable security protocols established by Landlord. Landlord shall provide Tenant with [NUMBER] building access cards and [NUMBER] suite keys at no charge; additional or replacement cards and keys shall be available at Landlord's then-current standard charge. Tenant shall have the right to install, at Tenant's sole cost and expense, supplemental security systems within the Premises (including card readers, biometric access controls, and security cameras), subject to Landlord's prior written approval, which shall not be unreasonably withheld, conditioned, or delayed.</w:t>
      </w:r>
    </w:p>
    <w:p>
      <w:pPr>
        <w:spacing w:after="120" w:before="240"/>
      </w:pPr>
      <w:r>
        <w:rPr>
          <w:rFonts w:ascii="Calibri" w:cs="Calibri" w:eastAsia="Calibri" w:hAnsi="Calibri"/>
          <w:b/>
          <w:bCs/>
          <w:sz w:val="22"/>
          <w:szCs w:val="22"/>
        </w:rPr>
        <w:t xml:space="preserve">Section 2.5. Parking</w:t>
      </w:r>
    </w:p>
    <w:p>
      <w:pPr>
        <w:spacing w:after="120"/>
        <w:jc w:val="both"/>
      </w:pPr>
      <w:r>
        <w:rPr>
          <w:rFonts w:ascii="Calibri" w:cs="Calibri" w:eastAsia="Calibri" w:hAnsi="Calibri"/>
          <w:sz w:val="22"/>
          <w:szCs w:val="22"/>
        </w:rPr>
        <w:t xml:space="preserve">Landlord shall make available to Tenant, throughout the Lease Term, the number of parking spaces specified in the Cover Sheet, at the rates set forth in Exhibit E. [NUMBER] of such spaces shall be reserved and designated parking spaces in [LOCATION, e.g., the covered parking garage], and the remaining [NUMBER] spaces shall be unreserved. Tenant's parking rights are personal to Tenant and may not be assigned or transferred separately from this Lease. Landlord reserves the right to designate and redesignate the location of reserved and unreserved parking spaces, provided that reserved spaces shall at all times be located within a reasonable distance of the Building entrance. Landlord shall maintain the parking facilities in good condition and repair and shall provide adequate lighting and directional signage. Tenant shall cause its employees and invitees to comply with all parking rules and regulations established by Landlord from time to time. Electric vehicle charging stations, if available, shall be allocated on a first-come, first-served basis at Landlord's then-current published rates.</w:t>
      </w:r>
    </w:p>
    <w:p>
      <w:pPr>
        <w:spacing w:after="120" w:before="240"/>
      </w:pPr>
      <w:r>
        <w:rPr>
          <w:rFonts w:ascii="Calibri" w:cs="Calibri" w:eastAsia="Calibri" w:hAnsi="Calibri"/>
          <w:b/>
          <w:bCs/>
          <w:sz w:val="22"/>
          <w:szCs w:val="22"/>
        </w:rPr>
        <w:t xml:space="preserve">Section 2.6. Loading and Receiving</w:t>
      </w:r>
    </w:p>
    <w:p>
      <w:pPr>
        <w:spacing w:after="120"/>
        <w:jc w:val="both"/>
      </w:pPr>
      <w:r>
        <w:rPr>
          <w:rFonts w:ascii="Calibri" w:cs="Calibri" w:eastAsia="Calibri" w:hAnsi="Calibri"/>
          <w:sz w:val="22"/>
          <w:szCs w:val="22"/>
        </w:rPr>
        <w:t xml:space="preserve">Tenant shall have non-exclusive access to the Building's loading dock and freight elevator facilities during Building Hours, and at other times upon reasonable advance notice to Landlord's property management office. Landlord shall have the right to establish reasonable scheduling procedures for use of loading and freight elevator facilities. Tenant shall not obstruct or permit its employees, contractors, or invitees to obstruct loading areas, freight corridors, or service hallways. Oversized deliveries (exceeding [WEIGHT/SIZE THRESHOLD] or requiring specialized equipment) shall be coordinated in advance with Landlord's building engineer. Tenant shall be responsible for any damage to the Building caused by Tenant's move-in, move-out, or deliveries, and shall promptly repair or reimburse Landlord for the reasonable cost of repairing any such damage.</w:t>
      </w:r>
    </w:p>
    <w:p>
      <w:pPr>
        <w:spacing w:after="120" w:before="240"/>
      </w:pPr>
      <w:r>
        <w:rPr>
          <w:rFonts w:ascii="Calibri" w:cs="Calibri" w:eastAsia="Calibri" w:hAnsi="Calibri"/>
          <w:b/>
          <w:bCs/>
          <w:sz w:val="22"/>
          <w:szCs w:val="22"/>
        </w:rPr>
        <w:t xml:space="preserve">Section 2.7. Storage</w:t>
      </w:r>
    </w:p>
    <w:p>
      <w:pPr>
        <w:spacing w:after="120"/>
        <w:jc w:val="both"/>
      </w:pPr>
      <w:r>
        <w:rPr>
          <w:rFonts w:ascii="Calibri" w:cs="Calibri" w:eastAsia="Calibri" w:hAnsi="Calibri"/>
          <w:sz w:val="22"/>
          <w:szCs w:val="22"/>
        </w:rPr>
        <w:t xml:space="preserve">Subject to availability, Landlord shall make available to Tenant approximately [STORAGE SF] square feet of storage space in [STORAGE LOCATION] at a monthly rate of $[STORAGE RATE] per square foot (the "Storage Space"). The Storage Space is provided in its "as-is" condition and is not included in the calculation of Rentable Area or Tenant's Pro Rata Share. Tenant shall use the Storage Space solely for the storage of files, records, furniture, fixtures, and equipment used in connection with Tenant's business, and shall not store any Hazardous Materials, perishable goods, or items of extraordinary value in the Storage Space. Landlord shall have no liability for any loss of or damage to items stored in the Storage Space, and Tenant's insurance policies required under Article 10 shall cover the contents of the Storage Space.</w:t>
      </w:r>
    </w:p>
    <w:p>
      <w:pPr>
        <w:spacing w:after="120" w:before="240"/>
      </w:pPr>
      <w:r>
        <w:rPr>
          <w:rFonts w:ascii="Calibri" w:cs="Calibri" w:eastAsia="Calibri" w:hAnsi="Calibri"/>
          <w:b/>
          <w:bCs/>
          <w:sz w:val="22"/>
          <w:szCs w:val="22"/>
        </w:rPr>
        <w:t xml:space="preserve">Section 2.8. Signage</w:t>
      </w:r>
    </w:p>
    <w:p>
      <w:pPr>
        <w:spacing w:after="120"/>
        <w:jc w:val="both"/>
      </w:pPr>
      <w:r>
        <w:rPr>
          <w:rFonts w:ascii="Calibri" w:cs="Calibri" w:eastAsia="Calibri" w:hAnsi="Calibri"/>
          <w:sz w:val="22"/>
          <w:szCs w:val="22"/>
        </w:rPr>
        <w:t xml:space="preserve">Tenant shall have the right to install signage as follows, subject to Landlord's prior written approval of the design, size, color, materials, and placement (which approval shall not be unreasonably withheld, conditioned, or delayed), compliance with all Applicable Laws, and consistency with the Building's architectural standards and signage criteria:</w:t>
      </w:r>
    </w:p>
    <w:p>
      <w:pPr>
        <w:spacing w:after="100"/>
        <w:ind w:left="720"/>
        <w:jc w:val="both"/>
      </w:pPr>
      <w:r>
        <w:rPr>
          <w:rFonts w:ascii="Calibri" w:cs="Calibri" w:eastAsia="Calibri" w:hAnsi="Calibri"/>
          <w:sz w:val="22"/>
          <w:szCs w:val="22"/>
        </w:rPr>
        <w:t xml:space="preserve">(a) Building directory listing in the main lobby, at Landlord's standard size and format, at no additional charge;</w:t>
      </w:r>
    </w:p>
    <w:p>
      <w:pPr>
        <w:spacing w:after="100"/>
        <w:ind w:left="720"/>
        <w:jc w:val="both"/>
      </w:pPr>
      <w:r>
        <w:rPr>
          <w:rFonts w:ascii="Calibri" w:cs="Calibri" w:eastAsia="Calibri" w:hAnsi="Calibri"/>
          <w:sz w:val="22"/>
          <w:szCs w:val="22"/>
        </w:rPr>
        <w:t xml:space="preserve">(b) Suite entry signage at the entrance to the Premises, at Tenant's sole cost and expense;</w:t>
      </w:r>
    </w:p>
    <w:p>
      <w:pPr>
        <w:spacing w:after="100"/>
        <w:ind w:left="720"/>
        <w:jc w:val="both"/>
      </w:pPr>
      <w:r>
        <w:rPr>
          <w:rFonts w:ascii="Calibri" w:cs="Calibri" w:eastAsia="Calibri" w:hAnsi="Calibri"/>
          <w:sz w:val="22"/>
          <w:szCs w:val="22"/>
        </w:rPr>
        <w:t xml:space="preserve">(c) [IF APPLICABLE: Lobby or elevator lobby identification signage on each full floor leased by Tenant, at Tenant's sole cost and expense, subject to Landlord's signage criteria;]</w:t>
      </w:r>
    </w:p>
    <w:p>
      <w:pPr>
        <w:spacing w:after="100"/>
        <w:ind w:left="720"/>
        <w:jc w:val="both"/>
      </w:pPr>
      <w:r>
        <w:rPr>
          <w:rFonts w:ascii="Calibri" w:cs="Calibri" w:eastAsia="Calibri" w:hAnsi="Calibri"/>
          <w:sz w:val="22"/>
          <w:szCs w:val="22"/>
        </w:rPr>
        <w:t xml:space="preserve">(d) [IF APPLICABLE: Exterior building signage or monument signage, at Tenant's sole cost and expense, in a location and of a size, design, and material approved by Landlord and all applicable governmental authorities. Tenant's right to exterior signage is personal to Tenant and may not be transferred to any assignee or subtenant without Landlord's prior written consent.]</w:t>
      </w:r>
    </w:p>
    <w:p>
      <w:pPr>
        <w:spacing w:after="120"/>
        <w:jc w:val="both"/>
      </w:pPr>
      <w:r>
        <w:rPr>
          <w:rFonts w:ascii="Calibri" w:cs="Calibri" w:eastAsia="Calibri" w:hAnsi="Calibri"/>
          <w:sz w:val="22"/>
          <w:szCs w:val="22"/>
        </w:rPr>
        <w:t xml:space="preserve">Upon expiration or earlier termination of this Lease, Tenant shall remove all signage installed by Tenant and restore the affected areas to their condition prior to installation, at Tenant's sole cost and expense.</w:t>
      </w:r>
    </w:p>
    <w:p>
      <w:pPr>
        <w:spacing w:after="120" w:before="240"/>
      </w:pPr>
      <w:r>
        <w:rPr>
          <w:rFonts w:ascii="Calibri" w:cs="Calibri" w:eastAsia="Calibri" w:hAnsi="Calibri"/>
          <w:b/>
          <w:bCs/>
          <w:sz w:val="22"/>
          <w:szCs w:val="22"/>
        </w:rPr>
        <w:t xml:space="preserve">Section 2.9. Telecommunications</w:t>
      </w:r>
    </w:p>
    <w:p>
      <w:pPr>
        <w:spacing w:after="120"/>
        <w:jc w:val="both"/>
      </w:pPr>
      <w:r>
        <w:rPr>
          <w:rFonts w:ascii="Calibri" w:cs="Calibri" w:eastAsia="Calibri" w:hAnsi="Calibri"/>
          <w:sz w:val="22"/>
          <w:szCs w:val="22"/>
        </w:rPr>
        <w:t xml:space="preserve">Tenant shall have the right to install, maintain, and operate telecommunications equipment, cabling, and wiring within the Premises and, subject to Landlord's prior written approval and Landlord's conduit and riser management policies, through Building risers and conduits to the Building's main telecommunications demarcation point. Tenant shall use only Landlord-approved telecommunications contractors for any work performed outside the Premises. All telecommunications installations shall comply with Applicable Laws and the National Electrical Code. Tenant shall not install any equipment on the roof or exterior of the Building without Landlord's prior written consent, which may be withheld in Landlord's sole and absolute discretion. Tenant shall be responsible for contracting directly with telecommunications service providers and shall pay all charges for telecommunications services. Landlord makes no representation or warranty regarding the suitability of the Building's telecommunications infrastructure for Tenant's requirements.</w:t>
      </w:r>
    </w:p>
    <w:p>
      <w:pPr>
        <w:spacing w:after="120" w:before="240"/>
      </w:pPr>
      <w:r>
        <w:rPr>
          <w:rFonts w:ascii="Calibri" w:cs="Calibri" w:eastAsia="Calibri" w:hAnsi="Calibri"/>
          <w:b/>
          <w:bCs/>
          <w:sz w:val="22"/>
          <w:szCs w:val="22"/>
        </w:rPr>
        <w:t xml:space="preserve">Section 2.10. Building Amenities</w:t>
      </w:r>
    </w:p>
    <w:p>
      <w:pPr>
        <w:spacing w:after="120"/>
        <w:jc w:val="both"/>
      </w:pPr>
      <w:r>
        <w:rPr>
          <w:rFonts w:ascii="Calibri" w:cs="Calibri" w:eastAsia="Calibri" w:hAnsi="Calibri"/>
          <w:sz w:val="22"/>
          <w:szCs w:val="22"/>
        </w:rPr>
        <w:t xml:space="preserve">Landlord currently provides the following building amenities, which may be used by Tenant and its employees in common with other building tenants and occupants, subject to Landlord's Rules and Regulations and applicable usage fees: [DESCRIBE AMENITIES, e.g., fitness center, conference center, rooftop terrace, tenant lounge, bicycle storage, shower facilities, package room]. Landlord reserves the right to modify, relocate, or discontinue amenities at any time in Landlord's reasonable discretion, provided that Landlord shall provide Tenant with at least [NUMBER] days' prior written notice before discontinuing any material amenity. Amenity usage fees, if any, shall be at Landlord's then-current published rates and shall not be included in Operating Expenses.</w:t>
      </w:r>
    </w:p>
    <w:p>
      <w:pPr>
        <w:pageBreakBefore/>
        <w:spacing w:after="200" w:before="120"/>
        <w:jc w:val="center"/>
      </w:pPr>
      <w:r>
        <w:rPr>
          <w:rFonts w:ascii="Calibri" w:cs="Calibri" w:eastAsia="Calibri" w:hAnsi="Calibri"/>
          <w:b/>
          <w:bCs/>
          <w:sz w:val="26"/>
          <w:szCs w:val="26"/>
        </w:rPr>
        <w:t xml:space="preserve">ARTICLE 3 — USE AND LEGAL APPROVALS</w:t>
      </w:r>
    </w:p>
    <w:p>
      <w:pPr>
        <w:spacing w:after="120" w:before="240"/>
      </w:pPr>
      <w:r>
        <w:rPr>
          <w:rFonts w:ascii="Calibri" w:cs="Calibri" w:eastAsia="Calibri" w:hAnsi="Calibri"/>
          <w:b/>
          <w:bCs/>
          <w:sz w:val="22"/>
          <w:szCs w:val="22"/>
        </w:rPr>
        <w:t xml:space="preserve">Section 3.1. Permitted Use</w:t>
      </w:r>
    </w:p>
    <w:p>
      <w:pPr>
        <w:spacing w:after="120"/>
        <w:jc w:val="both"/>
      </w:pPr>
      <w:r>
        <w:rPr>
          <w:rFonts w:ascii="Calibri" w:cs="Calibri" w:eastAsia="Calibri" w:hAnsi="Calibri"/>
          <w:sz w:val="22"/>
          <w:szCs w:val="22"/>
        </w:rPr>
        <w:t xml:space="preserve">Tenant shall use and occupy the Premises solely for the Permitted Use specified in the Cover Sheet, which shall include general office use, software development, product design and engineering, data analysis, sales and marketing operations, customer support, and such other lawful office purposes as are customary for a technology or startup company of similar size and character. Tenant's use shall at all times comply with all Applicable Laws and shall not violate any restrictive covenant, recorded easement, or other encumbrance affecting the Building or the Project.</w:t>
      </w:r>
    </w:p>
    <w:p>
      <w:pPr>
        <w:spacing w:after="120" w:before="240"/>
      </w:pPr>
      <w:r>
        <w:rPr>
          <w:rFonts w:ascii="Calibri" w:cs="Calibri" w:eastAsia="Calibri" w:hAnsi="Calibri"/>
          <w:b/>
          <w:bCs/>
          <w:sz w:val="22"/>
          <w:szCs w:val="22"/>
        </w:rPr>
        <w:t xml:space="preserve">Section 3.2. Ancillary Uses</w:t>
      </w:r>
    </w:p>
    <w:p>
      <w:pPr>
        <w:spacing w:after="120"/>
        <w:jc w:val="both"/>
      </w:pPr>
      <w:r>
        <w:rPr>
          <w:rFonts w:ascii="Calibri" w:cs="Calibri" w:eastAsia="Calibri" w:hAnsi="Calibri"/>
          <w:sz w:val="22"/>
          <w:szCs w:val="22"/>
        </w:rPr>
        <w:t xml:space="preserve">In addition to the Permitted Use, Tenant may conduct the following ancillary activities within the Premises without additional Landlord consent: (a) operation of a server room or network operations center (subject to Section 8.5 regarding electrical capacity and cooling); (b) a kitchen, pantry, and dining area for the preparation and service of food and beverages to Tenant's employees and business guests (but not for sale to the general public); (c) hosting of business meetings, training sessions, seminars, and similar events with attendance not to exceed [NUMBER] persons; (d) a reception or waiting area; and (e) incidental storage and shipping/receiving associated with Tenant's business operations. All ancillary uses shall comply with Applicable Laws and shall not create any nuisance, safety hazard, or unreasonable disturbance to other tenants.</w:t>
      </w:r>
    </w:p>
    <w:p>
      <w:pPr>
        <w:spacing w:after="120" w:before="240"/>
      </w:pPr>
      <w:r>
        <w:rPr>
          <w:rFonts w:ascii="Calibri" w:cs="Calibri" w:eastAsia="Calibri" w:hAnsi="Calibri"/>
          <w:b/>
          <w:bCs/>
          <w:sz w:val="22"/>
          <w:szCs w:val="22"/>
        </w:rPr>
        <w:t xml:space="preserve">Section 3.3. Zoning and Governmental Approvals</w:t>
      </w:r>
    </w:p>
    <w:p>
      <w:pPr>
        <w:spacing w:after="120"/>
        <w:jc w:val="both"/>
      </w:pPr>
      <w:r>
        <w:rPr>
          <w:rFonts w:ascii="Calibri" w:cs="Calibri" w:eastAsia="Calibri" w:hAnsi="Calibri"/>
          <w:sz w:val="22"/>
          <w:szCs w:val="22"/>
        </w:rPr>
        <w:t xml:space="preserve">Landlord represents and warrants that, as of the Lease Date, the Building is properly zoned for general office use and that the Permitted Use does not violate the applicable zoning ordinance or any certificate of occupancy for the Building. Tenant shall be responsible for obtaining any and all governmental permits, licenses, approvals, and certificates (collectively, "Permits") required for Tenant's specific use of the Premises and for the conduct of Tenant's business, including without limitation a certificate of occupancy for the Premises (to the extent required after completion of the Tenant Improvements), business licenses, fire department approvals, and health department permits. Landlord shall reasonably cooperate with Tenant in obtaining such Permits, at no out-of-pocket cost to Landlord, including executing applications and providing access to the Building as reasonably necessary.</w:t>
      </w:r>
    </w:p>
    <w:p>
      <w:pPr>
        <w:spacing w:after="120" w:before="240"/>
      </w:pPr>
      <w:r>
        <w:rPr>
          <w:rFonts w:ascii="Calibri" w:cs="Calibri" w:eastAsia="Calibri" w:hAnsi="Calibri"/>
          <w:b/>
          <w:bCs/>
          <w:sz w:val="22"/>
          <w:szCs w:val="22"/>
        </w:rPr>
        <w:t xml:space="preserve">Section 3.4. Prohibited Uses</w:t>
      </w:r>
    </w:p>
    <w:p>
      <w:pPr>
        <w:spacing w:after="120"/>
        <w:jc w:val="both"/>
      </w:pPr>
      <w:r>
        <w:rPr>
          <w:rFonts w:ascii="Calibri" w:cs="Calibri" w:eastAsia="Calibri" w:hAnsi="Calibri"/>
          <w:sz w:val="22"/>
          <w:szCs w:val="22"/>
        </w:rPr>
        <w:t xml:space="preserve">Tenant shall not use or permit the use of the Premises for any of the following purposes: (a) any use that would constitute a public or private nuisance or that would violate any Applicable Law; (b) any use that would invalidate or increase the cost of any insurance policy maintained by Landlord (unless Tenant pays the resulting premium increase); (c) any retail, restaurant, manufacturing, or industrial use; (d) any residential or overnight sleeping use; (e) any medical, dental, or veterinary practice; (f) any use involving the storage, handling, or disposal of Hazardous Materials in violation of Environmental Laws; (g) any use that generates excessive noise, vibration, odors, fumes, dust, or electromagnetic interference that is perceptible outside the Premises; (h) any use that places a load on the floor exceeding [FLOOR LOAD] pounds per square foot of live load; or (i) any use that would materially and adversely affect the first-class character and reputation of the Building.</w:t>
      </w:r>
    </w:p>
    <w:p>
      <w:pPr>
        <w:spacing w:after="120" w:before="240"/>
      </w:pPr>
      <w:r>
        <w:rPr>
          <w:rFonts w:ascii="Calibri" w:cs="Calibri" w:eastAsia="Calibri" w:hAnsi="Calibri"/>
          <w:b/>
          <w:bCs/>
          <w:sz w:val="22"/>
          <w:szCs w:val="22"/>
        </w:rPr>
        <w:t xml:space="preserve">Section 3.5. Hazardous Materials</w:t>
      </w:r>
    </w:p>
    <w:p>
      <w:pPr>
        <w:spacing w:after="120"/>
        <w:jc w:val="both"/>
      </w:pPr>
      <w:r>
        <w:rPr>
          <w:rFonts w:ascii="Calibri" w:cs="Calibri" w:eastAsia="Calibri" w:hAnsi="Calibri"/>
          <w:sz w:val="22"/>
          <w:szCs w:val="22"/>
        </w:rPr>
        <w:t xml:space="preserve">Tenant shall not bring upon, use, store, handle, generate, release, or dispose of any Hazardous Materials in, on, under, or about the Premises, the Building, or the Project, except for (a) ordinary office supplies and cleaning materials in commercially reasonable quantities that are used, stored, and disposed of in compliance with all Environmental Laws, and (b) materials used in connection with Tenant's server equipment and laboratory operations (if applicable) in compliance with all Environmental Laws and subject to Landlord's prior written approval of the types and quantities. Tenant shall maintain a current inventory of all Hazardous Materials stored at the Premises and shall make such inventory available to Landlord upon request. Tenant shall promptly notify Landlord of any release, spill, or discharge of Hazardous Materials in, on, or about the Premises or the Building of which Tenant becomes aware. Tenant shall indemnify, defend (with counsel reasonably acceptable to Landlord), and hold harmless Landlord and its agents, employees, officers, directors, partners, members, shareholders, and Lenders from and against any and all claims, damages, losses, costs, expenses (including reasonable attorneys' fees and consultant fees), liabilities, fines, and penalties arising out of or related to Tenant's use, storage, handling, generation, release, or disposal of Hazardous Materials in, on, under, or about the Premises, the Building, or the Project.</w:t>
      </w:r>
    </w:p>
    <w:p>
      <w:pPr>
        <w:spacing w:after="120" w:before="240"/>
      </w:pPr>
      <w:r>
        <w:rPr>
          <w:rFonts w:ascii="Calibri" w:cs="Calibri" w:eastAsia="Calibri" w:hAnsi="Calibri"/>
          <w:b/>
          <w:bCs/>
          <w:sz w:val="22"/>
          <w:szCs w:val="22"/>
        </w:rPr>
        <w:t xml:space="preserve">Section 3.6. Density and Occupancy</w:t>
      </w:r>
    </w:p>
    <w:p>
      <w:pPr>
        <w:spacing w:after="120"/>
        <w:jc w:val="both"/>
      </w:pPr>
      <w:r>
        <w:rPr>
          <w:rFonts w:ascii="Calibri" w:cs="Calibri" w:eastAsia="Calibri" w:hAnsi="Calibri"/>
          <w:sz w:val="22"/>
          <w:szCs w:val="22"/>
        </w:rPr>
        <w:t xml:space="preserve">Tenant shall not permit the occupancy density of the Premises to exceed [DENSITY LIMIT, e.g., one (1) person per [NUMBER] rentable square feet], or such lower density as may be required by Applicable Laws, including without limitation fire codes and building codes. Tenant acknowledges that excessive occupancy density may adversely affect building systems performance (including HVAC, elevator, and plumbing capacity) and Tenant agrees to cooperate with Landlord to address any building systems impacts resulting from Tenant's occupancy levels.</w:t>
      </w:r>
    </w:p>
    <w:p>
      <w:pPr>
        <w:spacing w:after="120" w:before="240"/>
      </w:pPr>
      <w:r>
        <w:rPr>
          <w:rFonts w:ascii="Calibri" w:cs="Calibri" w:eastAsia="Calibri" w:hAnsi="Calibri"/>
          <w:b/>
          <w:bCs/>
          <w:sz w:val="22"/>
          <w:szCs w:val="22"/>
        </w:rPr>
        <w:t xml:space="preserve">Section 3.7. Operating Hours</w:t>
      </w:r>
    </w:p>
    <w:p>
      <w:pPr>
        <w:spacing w:after="120"/>
        <w:jc w:val="both"/>
      </w:pPr>
      <w:r>
        <w:rPr>
          <w:rFonts w:ascii="Calibri" w:cs="Calibri" w:eastAsia="Calibri" w:hAnsi="Calibri"/>
          <w:sz w:val="22"/>
          <w:szCs w:val="22"/>
        </w:rPr>
        <w:t xml:space="preserve">Building Hours are as set forth in the Cover Sheet. Landlord reserves the right to modify Building Hours from time to time upon not less than sixty (60) days' prior written notice to Tenant, provided that (a) Building Hours shall not be reduced to fewer than [MINIMUM HOURS] per Business Day, and (b) any modification shall be consistent with the operating hours of comparable first-class office buildings in the [MARKET AREA]. Tenant shall have access to the Premises at all times, including outside of Building Hours, subject to Section 2.4. Building services provided outside of Building Hours shall be at the rates specified in the Cover Sheet and Exhibit E.</w:t>
      </w:r>
    </w:p>
    <w:p>
      <w:pPr>
        <w:pageBreakBefore/>
        <w:spacing w:after="200" w:before="120"/>
        <w:jc w:val="center"/>
      </w:pPr>
      <w:r>
        <w:rPr>
          <w:rFonts w:ascii="Calibri" w:cs="Calibri" w:eastAsia="Calibri" w:hAnsi="Calibri"/>
          <w:b/>
          <w:bCs/>
          <w:sz w:val="26"/>
          <w:szCs w:val="26"/>
        </w:rPr>
        <w:t xml:space="preserve">ARTICLE 4 — DELIVERY, COMMENCEMENT, AND DELAY</w:t>
      </w:r>
    </w:p>
    <w:p>
      <w:pPr>
        <w:spacing w:after="120" w:before="240"/>
      </w:pPr>
      <w:r>
        <w:rPr>
          <w:rFonts w:ascii="Calibri" w:cs="Calibri" w:eastAsia="Calibri" w:hAnsi="Calibri"/>
          <w:b/>
          <w:bCs/>
          <w:sz w:val="22"/>
          <w:szCs w:val="22"/>
        </w:rPr>
        <w:t xml:space="preserve">Section 4.1. Delivery of Premises</w:t>
      </w:r>
    </w:p>
    <w:p>
      <w:pPr>
        <w:spacing w:after="120"/>
        <w:jc w:val="both"/>
      </w:pPr>
      <w:r>
        <w:rPr>
          <w:rFonts w:ascii="Calibri" w:cs="Calibri" w:eastAsia="Calibri" w:hAnsi="Calibri"/>
          <w:sz w:val="22"/>
          <w:szCs w:val="22"/>
        </w:rPr>
        <w:t xml:space="preserve">Landlord shall deliver the Premises to Tenant in the condition specified in the Delivery Condition Specification attached as Exhibit C (the "Delivery Condition"), which shall include, at a minimum: (a) vacant possession, free of all prior tenants, occupants, and their personal property; (b) all Base Building systems serving the Premises (including HVAC, electrical, plumbing, fire protection, life safety, and elevator systems) in good working order and condition; (c) the Premises broom-clean and free of debris; (d) the roof, exterior walls, windows, and structural elements of the Building in watertight, sound condition; (e) compliance with all Applicable Laws (including ADA) in the Common Areas and Base Building; and (f) free of any Hazardous Materials in violation of Environmental Laws. Landlord shall use commercially reasonable efforts to deliver the Premises on or before the Anticipated Delivery Date.</w:t>
      </w:r>
    </w:p>
    <w:p>
      <w:pPr>
        <w:spacing w:after="120" w:before="240"/>
      </w:pPr>
      <w:r>
        <w:rPr>
          <w:rFonts w:ascii="Calibri" w:cs="Calibri" w:eastAsia="Calibri" w:hAnsi="Calibri"/>
          <w:b/>
          <w:bCs/>
          <w:sz w:val="22"/>
          <w:szCs w:val="22"/>
        </w:rPr>
        <w:t xml:space="preserve">Section 4.2. Base Building Condition</w:t>
      </w:r>
    </w:p>
    <w:p>
      <w:pPr>
        <w:spacing w:after="120"/>
        <w:jc w:val="both"/>
      </w:pPr>
      <w:r>
        <w:rPr>
          <w:rFonts w:ascii="Calibri" w:cs="Calibri" w:eastAsia="Calibri" w:hAnsi="Calibri"/>
          <w:sz w:val="22"/>
          <w:szCs w:val="22"/>
        </w:rPr>
        <w:t xml:space="preserve">Landlord represents and warrants that, as of the Delivery Date, the following Base Building components shall be in the condition specified: (a) structural frame, foundation, load-bearing walls, columns, and floor slabs — structurally sound and free of material defects; (b) roof membrane and flashing — watertight, with a remaining useful life of not less than [NUMBER] years; (c) HVAC system — capable of maintaining interior temperatures between 68°F and 76°F, at a relative humidity between 30% and 60%, under normal occupancy and usage conditions; (d) electrical service — [NUMBER] watts per rentable square foot of connected load capacity (exclusive of HVAC), with distribution to the Premises electrical panels; (e) plumbing — adequate restroom facilities for the anticipated occupancy of the floor; (f) elevators — in good working order, with current inspection certificates; and (g) fire protection and life safety systems — fully operational and code-compliant.</w:t>
      </w:r>
    </w:p>
    <w:p>
      <w:pPr>
        <w:spacing w:after="120" w:before="240"/>
      </w:pPr>
      <w:r>
        <w:rPr>
          <w:rFonts w:ascii="Calibri" w:cs="Calibri" w:eastAsia="Calibri" w:hAnsi="Calibri"/>
          <w:b/>
          <w:bCs/>
          <w:sz w:val="22"/>
          <w:szCs w:val="22"/>
        </w:rPr>
        <w:t xml:space="preserve">Section 4.3. Punch List</w:t>
      </w:r>
    </w:p>
    <w:p>
      <w:pPr>
        <w:spacing w:after="120"/>
        <w:jc w:val="both"/>
      </w:pPr>
      <w:r>
        <w:rPr>
          <w:rFonts w:ascii="Calibri" w:cs="Calibri" w:eastAsia="Calibri" w:hAnsi="Calibri"/>
          <w:sz w:val="22"/>
          <w:szCs w:val="22"/>
        </w:rPr>
        <w:t xml:space="preserve">Within [NUMBER, e.g., fifteen (15)] Business Days after the Delivery Date, Tenant and Landlord shall jointly inspect the Premises and prepare a written list (the "Punch List") of any items of Landlord's Work or the Delivery Condition that remain to be completed or corrected. Landlord shall complete or correct all Punch List items within [NUMBER, e.g., thirty (30)] days after the Punch List is finalized, or such longer period as may be reasonably necessary for items that cannot be completed within such period, provided that Landlord commences work within such thirty (30) day period and diligently prosecutes the same to completion. Punch List items shall not delay the Commencement Date unless the incomplete or defective items materially interfere with Tenant's ability to occupy and use the Premises for the Permitted Use or to commence construction of the Tenant Improvements.</w:t>
      </w:r>
    </w:p>
    <w:p>
      <w:pPr>
        <w:spacing w:after="120" w:before="240"/>
      </w:pPr>
      <w:r>
        <w:rPr>
          <w:rFonts w:ascii="Calibri" w:cs="Calibri" w:eastAsia="Calibri" w:hAnsi="Calibri"/>
          <w:b/>
          <w:bCs/>
          <w:sz w:val="22"/>
          <w:szCs w:val="22"/>
        </w:rPr>
        <w:t xml:space="preserve">Section 4.4. Inspection and Access</w:t>
      </w:r>
    </w:p>
    <w:p>
      <w:pPr>
        <w:spacing w:after="120"/>
        <w:jc w:val="both"/>
      </w:pPr>
      <w:r>
        <w:rPr>
          <w:rFonts w:ascii="Calibri" w:cs="Calibri" w:eastAsia="Calibri" w:hAnsi="Calibri"/>
          <w:sz w:val="22"/>
          <w:szCs w:val="22"/>
        </w:rPr>
        <w:t xml:space="preserve">Landlord shall provide Tenant and its architects, engineers, contractors, and consultants with reasonable access to the Premises during normal business hours prior to the Delivery Date for purposes of inspection, measurement, planning, and coordination of the Tenant Improvements, subject to reasonable safety requirements and coordination with Landlord's ongoing work. Such access shall not constitute delivery of the Premises or commencement of the Lease Term. Tenant shall ensure that its representatives do not interfere with Landlord's Work and shall maintain commercially reasonable insurance coverage during any pre-delivery access period.</w:t>
      </w:r>
    </w:p>
    <w:p>
      <w:pPr>
        <w:spacing w:after="120" w:before="240"/>
      </w:pPr>
      <w:r>
        <w:rPr>
          <w:rFonts w:ascii="Calibri" w:cs="Calibri" w:eastAsia="Calibri" w:hAnsi="Calibri"/>
          <w:b/>
          <w:bCs/>
          <w:sz w:val="22"/>
          <w:szCs w:val="22"/>
        </w:rPr>
        <w:t xml:space="preserve">Section 4.5. Substantial Completion</w:t>
      </w:r>
    </w:p>
    <w:p>
      <w:pPr>
        <w:spacing w:after="120"/>
        <w:jc w:val="both"/>
      </w:pPr>
      <w:r>
        <w:rPr>
          <w:rFonts w:ascii="Calibri" w:cs="Calibri" w:eastAsia="Calibri" w:hAnsi="Calibri"/>
          <w:sz w:val="22"/>
          <w:szCs w:val="22"/>
        </w:rPr>
        <w:t xml:space="preserve">Landlord's Work and the Delivery Condition obligations shall be deemed "Substantially Complete" when (a) Landlord has completed all material components of Landlord's Work in substantial accordance with the specifications set forth in Exhibit C, subject only to minor punch-list items that do not materially interfere with Tenant's use of or access to the Premises or Tenant's ability to commence construction of the Tenant Improvements; (b) all Building systems serving the Premises are operational; and (c) Landlord has obtained a temporary or final certificate of occupancy for the Premises (or, if the applicable jurisdiction does not issue certificates of occupancy, a comparable governmental sign-off). Landlord shall deliver written notice to Tenant when Landlord believes Substantial Completion has occurred. If Tenant disputes that Substantial Completion has been achieved, Tenant shall notify Landlord in writing within five (5) Business Days of receipt of Landlord's notice, specifying the items that Tenant believes prevent Substantial Completion. Any dispute regarding Substantial Completion shall be resolved by a mutually agreed independent architect.</w:t>
      </w:r>
    </w:p>
    <w:p>
      <w:pPr>
        <w:spacing w:after="120" w:before="240"/>
      </w:pPr>
      <w:r>
        <w:rPr>
          <w:rFonts w:ascii="Calibri" w:cs="Calibri" w:eastAsia="Calibri" w:hAnsi="Calibri"/>
          <w:b/>
          <w:bCs/>
          <w:sz w:val="22"/>
          <w:szCs w:val="22"/>
        </w:rPr>
        <w:t xml:space="preserve">Section 4.6. Commencement Date Determination</w:t>
      </w:r>
    </w:p>
    <w:p>
      <w:pPr>
        <w:spacing w:after="120"/>
        <w:jc w:val="both"/>
      </w:pPr>
      <w:r>
        <w:rPr>
          <w:rFonts w:ascii="Calibri" w:cs="Calibri" w:eastAsia="Calibri" w:hAnsi="Calibri"/>
          <w:sz w:val="22"/>
          <w:szCs w:val="22"/>
        </w:rPr>
        <w:t xml:space="preserve">The "Commencement Date" shall be the earlier of (a) the date on which Tenant first occupies any portion of the Premises for the conduct of business (excluding permitted early access for construction and fixturing), or (b) the date that is [NUMBER] days after the Delivery Date (such period being the "Fixturing Period"). Promptly after the Commencement Date is determined, the parties shall execute a written confirmation of the Commencement Date, the Rent Commencement Date, and the Expiration Date in the form attached hereto (the "Commencement Date Confirmation"). Failure to execute the Commencement Date Confirmation shall not affect the determination of such dates.</w:t>
      </w:r>
    </w:p>
    <w:p>
      <w:pPr>
        <w:spacing w:after="120" w:before="240"/>
      </w:pPr>
      <w:r>
        <w:rPr>
          <w:rFonts w:ascii="Calibri" w:cs="Calibri" w:eastAsia="Calibri" w:hAnsi="Calibri"/>
          <w:b/>
          <w:bCs/>
          <w:sz w:val="22"/>
          <w:szCs w:val="22"/>
        </w:rPr>
        <w:t xml:space="preserve">Section 4.7. Rent Abatement for Landlord Delay</w:t>
      </w:r>
    </w:p>
    <w:p>
      <w:pPr>
        <w:spacing w:after="120"/>
        <w:jc w:val="both"/>
      </w:pPr>
      <w:r>
        <w:rPr>
          <w:rFonts w:ascii="Calibri" w:cs="Calibri" w:eastAsia="Calibri" w:hAnsi="Calibri"/>
          <w:sz w:val="22"/>
          <w:szCs w:val="22"/>
        </w:rPr>
        <w:t xml:space="preserve">If Landlord fails to deliver the Premises in the Delivery Condition on or before the Anticipated Delivery Date (as such date may be extended by Force Majeure delays and Tenant Delays), then: (a) this Lease shall not be void or voidable by reason of such delay; (b) Landlord shall not be liable to Tenant for any damages arising from such delay (subject to Tenant's termination right under Section 4.8); and (c) the Rent Commencement Date shall be postponed by one (1) day for each day of Landlord Delay. If the Delivery Date is delayed beyond [NUMBER] days after the Anticipated Delivery Date for any reason other than Force Majeure or Tenant Delay, the Rent Commencement Date shall be postponed by two (2) days for each additional day of delay (the "Accelerated Abatement"). All rent abatement under this Section 4.7 shall be in addition to, and not in lieu of, the Free Rent Period specified in the Cover Sheet.</w:t>
      </w:r>
    </w:p>
    <w:p>
      <w:pPr>
        <w:spacing w:after="120" w:before="240"/>
      </w:pPr>
      <w:r>
        <w:rPr>
          <w:rFonts w:ascii="Calibri" w:cs="Calibri" w:eastAsia="Calibri" w:hAnsi="Calibri"/>
          <w:b/>
          <w:bCs/>
          <w:sz w:val="22"/>
          <w:szCs w:val="22"/>
        </w:rPr>
        <w:t xml:space="preserve">Section 4.8. Outside Date; Termination</w:t>
      </w:r>
    </w:p>
    <w:p>
      <w:pPr>
        <w:spacing w:after="120"/>
        <w:jc w:val="both"/>
      </w:pPr>
      <w:r>
        <w:rPr>
          <w:rFonts w:ascii="Calibri" w:cs="Calibri" w:eastAsia="Calibri" w:hAnsi="Calibri"/>
          <w:sz w:val="22"/>
          <w:szCs w:val="22"/>
        </w:rPr>
        <w:t xml:space="preserve">If Landlord has not delivered the Premises in the Delivery Condition on or before the Outside Date, Tenant shall have the right to terminate this Lease by delivering written notice to Landlord at any time after the Outside Date and prior to the Delivery Date, in which event (a) this Lease shall terminate and be of no further force or effect; (b) Landlord shall promptly return to Tenant the Security Deposit and any prepaid Rent; and (c) Landlord shall reimburse Tenant for Tenant's actual, documented, out-of-pocket costs incurred in connection with this Lease, including architectural and engineering fees, legal fees, and moving preparation costs, in an aggregate amount not to exceed $[OUTSIDE DATE CAP]. Tenant's termination right under this Section 4.8 shall be Tenant's sole and exclusive remedy for Landlord's failure to deliver the Premises by the Outside Date.</w:t>
      </w:r>
    </w:p>
    <w:p>
      <w:pPr>
        <w:spacing w:after="120" w:before="240"/>
      </w:pPr>
      <w:r>
        <w:rPr>
          <w:rFonts w:ascii="Calibri" w:cs="Calibri" w:eastAsia="Calibri" w:hAnsi="Calibri"/>
          <w:b/>
          <w:bCs/>
          <w:sz w:val="22"/>
          <w:szCs w:val="22"/>
        </w:rPr>
        <w:t xml:space="preserve">Section 4.9. Early Access</w:t>
      </w:r>
    </w:p>
    <w:p>
      <w:pPr>
        <w:spacing w:after="120"/>
        <w:jc w:val="both"/>
      </w:pPr>
      <w:r>
        <w:rPr>
          <w:rFonts w:ascii="Calibri" w:cs="Calibri" w:eastAsia="Calibri" w:hAnsi="Calibri"/>
          <w:sz w:val="22"/>
          <w:szCs w:val="22"/>
        </w:rPr>
        <w:t xml:space="preserve">Landlord may, in its discretion, permit Tenant to enter the Premises prior to the Delivery Date for the limited purposes of installing telecommunications cabling, furniture, fixtures, and equipment, and commencing Tenant Improvement construction ("Early Access"). Early Access shall be subject to (a) Tenant's compliance with all insurance requirements under Article 10, (b) Tenant's execution of any early access agreement reasonably required by Landlord, (c) coordination with Landlord's ongoing work, and (d) compliance with all Applicable Laws. Early Access shall not trigger the Commencement Date or the obligation to pay Rent, but Tenant shall be responsible for utility costs attributable to Tenant's Early Access activities and shall comply with all other obligations of this Lease applicable to Tenant's occupancy during the Early Access period.</w:t>
      </w:r>
    </w:p>
    <w:p>
      <w:pPr>
        <w:pageBreakBefore/>
        <w:spacing w:after="200" w:before="120"/>
        <w:jc w:val="center"/>
      </w:pPr>
      <w:r>
        <w:rPr>
          <w:rFonts w:ascii="Calibri" w:cs="Calibri" w:eastAsia="Calibri" w:hAnsi="Calibri"/>
          <w:b/>
          <w:bCs/>
          <w:sz w:val="26"/>
          <w:szCs w:val="26"/>
        </w:rPr>
        <w:t xml:space="preserve">ARTICLE 5 — WORK LETTER</w:t>
      </w:r>
    </w:p>
    <w:p>
      <w:pPr>
        <w:spacing w:after="120" w:before="240"/>
      </w:pPr>
      <w:r>
        <w:rPr>
          <w:rFonts w:ascii="Calibri" w:cs="Calibri" w:eastAsia="Calibri" w:hAnsi="Calibri"/>
          <w:b/>
          <w:bCs/>
          <w:sz w:val="22"/>
          <w:szCs w:val="22"/>
        </w:rPr>
        <w:t xml:space="preserve">Section 5.1. Plans and Specifications</w:t>
      </w:r>
    </w:p>
    <w:p>
      <w:pPr>
        <w:spacing w:after="120"/>
        <w:jc w:val="both"/>
      </w:pPr>
      <w:r>
        <w:rPr>
          <w:rFonts w:ascii="Calibri" w:cs="Calibri" w:eastAsia="Calibri" w:hAnsi="Calibri"/>
          <w:sz w:val="22"/>
          <w:szCs w:val="22"/>
        </w:rPr>
        <w:t xml:space="preserve">Tenant shall prepare and submit to Landlord for approval complete architectural and engineering plans and specifications (the "TI Plans") for the Tenant Improvements, prepared by an architect licensed in [STATE] and reasonably approved by Landlord (the "Architect"). The TI Plans shall include architectural drawings, reflected ceiling plans, mechanical, electrical, plumbing, and fire protection plans, finish schedules, and such other drawings and specifications as Landlord may reasonably require. The TI Plans shall be consistent with the design criteria, construction standards, and specifications set forth in Exhibit D and shall comply with all Applicable Laws. Tenant shall submit the TI Plans within [NUMBER] days after the Lease Date or the Delivery Date, whichever is later.</w:t>
      </w:r>
    </w:p>
    <w:p>
      <w:pPr>
        <w:spacing w:after="120" w:before="240"/>
      </w:pPr>
      <w:r>
        <w:rPr>
          <w:rFonts w:ascii="Calibri" w:cs="Calibri" w:eastAsia="Calibri" w:hAnsi="Calibri"/>
          <w:b/>
          <w:bCs/>
          <w:sz w:val="22"/>
          <w:szCs w:val="22"/>
        </w:rPr>
        <w:t xml:space="preserve">Section 5.2. Design Review and Approval</w:t>
      </w:r>
    </w:p>
    <w:p>
      <w:pPr>
        <w:spacing w:after="120"/>
        <w:jc w:val="both"/>
      </w:pPr>
      <w:r>
        <w:rPr>
          <w:rFonts w:ascii="Calibri" w:cs="Calibri" w:eastAsia="Calibri" w:hAnsi="Calibri"/>
          <w:sz w:val="22"/>
          <w:szCs w:val="22"/>
        </w:rPr>
        <w:t xml:space="preserve">Landlord shall review the TI Plans and notify Tenant in writing within [NUMBER, e.g., ten (10)] Business Days after receipt thereof of Landlord's approval, disapproval (with specific reasons), or request for modifications. If Landlord disapproves or requests modifications, Tenant shall revise the TI Plans and resubmit them within [NUMBER] Business Days. Landlord shall respond to each resubmission within [NUMBER] Business Days. Landlord's approval shall not be unreasonably withheld, conditioned, or delayed; provided, however, that Landlord may withhold approval if the proposed Tenant Improvements (a) would affect the structural integrity of the Building, (b) would adversely affect the Building systems, (c) are not consistent with the design criteria and construction standards of a first-class office building, (d) would be visible from the exterior of the Building, or (e) would violate any Applicable Laws, covenant, or restriction. Landlord's approval of the TI Plans shall not constitute a warranty or representation that the TI Plans comply with Applicable Laws or are adequate for Tenant's intended purpose.</w:t>
      </w:r>
    </w:p>
    <w:p>
      <w:pPr>
        <w:spacing w:after="120" w:before="240"/>
      </w:pPr>
      <w:r>
        <w:rPr>
          <w:rFonts w:ascii="Calibri" w:cs="Calibri" w:eastAsia="Calibri" w:hAnsi="Calibri"/>
          <w:b/>
          <w:bCs/>
          <w:sz w:val="22"/>
          <w:szCs w:val="22"/>
        </w:rPr>
        <w:t xml:space="preserve">Section 5.3. Governmental Approvals</w:t>
      </w:r>
    </w:p>
    <w:p>
      <w:pPr>
        <w:spacing w:after="120"/>
        <w:jc w:val="both"/>
      </w:pPr>
      <w:r>
        <w:rPr>
          <w:rFonts w:ascii="Calibri" w:cs="Calibri" w:eastAsia="Calibri" w:hAnsi="Calibri"/>
          <w:sz w:val="22"/>
          <w:szCs w:val="22"/>
        </w:rPr>
        <w:t xml:space="preserve">Tenant shall be responsible for obtaining all governmental permits, approvals, and inspections required for the construction of the Tenant Improvements, at Tenant's sole cost and expense (which costs may be paid from the TI Allowance). Landlord shall reasonably cooperate with Tenant in obtaining such permits, including executing applications as the building owner and providing access to the Building as reasonably necessary. Tenant shall not commence construction of the Tenant Improvements until all required permits have been obtained.</w:t>
      </w:r>
    </w:p>
    <w:p>
      <w:pPr>
        <w:spacing w:after="120" w:before="240"/>
      </w:pPr>
      <w:r>
        <w:rPr>
          <w:rFonts w:ascii="Calibri" w:cs="Calibri" w:eastAsia="Calibri" w:hAnsi="Calibri"/>
          <w:b/>
          <w:bCs/>
          <w:sz w:val="22"/>
          <w:szCs w:val="22"/>
        </w:rPr>
        <w:t xml:space="preserve">Section 5.4. Tenant Improvement Allowance</w:t>
      </w:r>
    </w:p>
    <w:p>
      <w:pPr>
        <w:spacing w:after="120"/>
        <w:jc w:val="both"/>
      </w:pPr>
      <w:r>
        <w:rPr>
          <w:rFonts w:ascii="Calibri" w:cs="Calibri" w:eastAsia="Calibri" w:hAnsi="Calibri"/>
          <w:sz w:val="22"/>
          <w:szCs w:val="22"/>
        </w:rPr>
        <w:t xml:space="preserve">Landlord shall provide the TI Allowance specified in the Cover Sheet toward the cost of designing and constructing the Tenant Improvements. The TI Allowance may be applied to the following costs (collectively, "TI Costs"): (a) architectural, engineering, and design fees; (b) permit and inspection fees; (c) construction costs, including labor and materials; (d) project management fees (not to exceed [NUMBER]% of hard construction costs); (e) telecommunications and data cabling; (f) furniture, fixtures, and equipment that are permanently affixed to the Premises; and (g) moving costs, up to $[MOVING ALLOWANCE AMOUNT]. The TI Allowance shall not be used for (i) the purchase of non-affixed furniture, personal property, or trade fixtures (except as expressly set forth above), (ii) Tenant's rent obligations, or (iii) any costs arising from Tenant Delays or change orders. Any portion of the TI Allowance remaining unused as of the date that is [NUMBER, e.g., twelve (12)] months after the Commencement Date shall be forfeited and Landlord shall have no further obligation with respect thereto. [OPTIONAL: Up to [PERCENTAGE]% of the unused TI Allowance may be applied as a credit against Rent obligations.]</w:t>
      </w:r>
    </w:p>
    <w:p>
      <w:pPr>
        <w:spacing w:after="120" w:before="240"/>
      </w:pPr>
      <w:r>
        <w:rPr>
          <w:rFonts w:ascii="Calibri" w:cs="Calibri" w:eastAsia="Calibri" w:hAnsi="Calibri"/>
          <w:b/>
          <w:bCs/>
          <w:sz w:val="22"/>
          <w:szCs w:val="22"/>
        </w:rPr>
        <w:t xml:space="preserve">Section 5.5. Disbursement of TI Allowance</w:t>
      </w:r>
    </w:p>
    <w:p>
      <w:pPr>
        <w:spacing w:after="120"/>
        <w:jc w:val="both"/>
      </w:pPr>
      <w:r>
        <w:rPr>
          <w:rFonts w:ascii="Calibri" w:cs="Calibri" w:eastAsia="Calibri" w:hAnsi="Calibri"/>
          <w:sz w:val="22"/>
          <w:szCs w:val="22"/>
        </w:rPr>
        <w:t xml:space="preserve">Landlord shall disburse the TI Allowance to Tenant (or, at Landlord's election, directly to Tenant's contractors) in installments upon Tenant's submission of draw requests in the form reasonably required by Landlord. Each draw request shall include (a) invoices or receipts for TI Costs incurred, (b) unconditional lien waivers and releases from all contractors, subcontractors, materialmen, and suppliers for work covered by prior draw requests, (c) conditional lien waivers for the current draw request, (d) an architect's certification of the percentage of completion, and (e) evidence that all work has been performed in accordance with the approved TI Plans and all Applicable Laws. Landlord shall process and pay each conforming draw request within [NUMBER, e.g., thirty (30)] days after receipt. Landlord may retain [NUMBER, e.g., ten percent (10%)] of each disbursement until Substantial Completion of the Tenant Improvements, receipt of a final certificate of occupancy, delivery of final unconditional lien waivers, and delivery of a complete set of as-built drawings.</w:t>
      </w:r>
    </w:p>
    <w:p>
      <w:pPr>
        <w:spacing w:after="120" w:before="240"/>
      </w:pPr>
      <w:r>
        <w:rPr>
          <w:rFonts w:ascii="Calibri" w:cs="Calibri" w:eastAsia="Calibri" w:hAnsi="Calibri"/>
          <w:b/>
          <w:bCs/>
          <w:sz w:val="22"/>
          <w:szCs w:val="22"/>
        </w:rPr>
        <w:t xml:space="preserve">Section 5.6. Change Orders</w:t>
      </w:r>
    </w:p>
    <w:p>
      <w:pPr>
        <w:spacing w:after="120"/>
        <w:jc w:val="both"/>
      </w:pPr>
      <w:r>
        <w:rPr>
          <w:rFonts w:ascii="Calibri" w:cs="Calibri" w:eastAsia="Calibri" w:hAnsi="Calibri"/>
          <w:sz w:val="22"/>
          <w:szCs w:val="22"/>
        </w:rPr>
        <w:t xml:space="preserve">Any modifications to the approved TI Plans shall require a written change order signed by both Tenant and Landlord. Tenant shall submit each proposed change order to Landlord in writing, including a description of the proposed modification and the estimated impact on cost and schedule. Landlord shall respond to each change order request within [NUMBER] Business Days. Cost increases and schedule delays resulting from Tenant-initiated change orders shall be borne by Tenant and shall not increase the TI Allowance or constitute a Landlord Delay. Landlord shall not require a change order that increases TI Costs or delays the completion schedule unless such change order is necessitated by (a) a change in Applicable Laws enacted after the date of the approved TI Plans, (b) concealed or unforeseen conditions, or (c) Tenant's request.</w:t>
      </w:r>
    </w:p>
    <w:p>
      <w:pPr>
        <w:spacing w:after="120" w:before="240"/>
      </w:pPr>
      <w:r>
        <w:rPr>
          <w:rFonts w:ascii="Calibri" w:cs="Calibri" w:eastAsia="Calibri" w:hAnsi="Calibri"/>
          <w:b/>
          <w:bCs/>
          <w:sz w:val="22"/>
          <w:szCs w:val="22"/>
        </w:rPr>
        <w:t xml:space="preserve">Section 5.7. Tenant's Contractor</w:t>
      </w:r>
    </w:p>
    <w:p>
      <w:pPr>
        <w:spacing w:after="120"/>
        <w:jc w:val="both"/>
      </w:pPr>
      <w:r>
        <w:rPr>
          <w:rFonts w:ascii="Calibri" w:cs="Calibri" w:eastAsia="Calibri" w:hAnsi="Calibri"/>
          <w:sz w:val="22"/>
          <w:szCs w:val="22"/>
        </w:rPr>
        <w:t xml:space="preserve">Tenant shall select a licensed general contractor reasonably approved by Landlord (the "General Contractor") to construct the Tenant Improvements. Tenant may, alternatively, use Landlord's designated contractor if Landlord's contractor provides a competitive bid. The General Contractor and all subcontractors shall (a) be licensed in [STATE], (b) maintain insurance coverage meeting the requirements of Section 5.8, (c) comply with Landlord's construction rules and regulations, (d) use union labor if required by Landlord's labor agreements or Building policies, and (e) coordinate construction activities with Landlord's building engineer and property manager. Tenant shall provide Landlord with a list of all proposed subcontractors for Landlord's reasonable approval prior to commencement of construction. All work shall be performed in a good and workmanlike manner, in accordance with the approved TI Plans and all Applicable Laws, and in a manner that minimizes disruption to other tenants and building operations.</w:t>
      </w:r>
    </w:p>
    <w:p>
      <w:pPr>
        <w:spacing w:after="120" w:before="240"/>
      </w:pPr>
      <w:r>
        <w:rPr>
          <w:rFonts w:ascii="Calibri" w:cs="Calibri" w:eastAsia="Calibri" w:hAnsi="Calibri"/>
          <w:b/>
          <w:bCs/>
          <w:sz w:val="22"/>
          <w:szCs w:val="22"/>
        </w:rPr>
        <w:t xml:space="preserve">Section 5.8. Contractor Insurance Requirements</w:t>
      </w:r>
    </w:p>
    <w:p>
      <w:pPr>
        <w:spacing w:after="120"/>
        <w:jc w:val="both"/>
      </w:pPr>
      <w:r>
        <w:rPr>
          <w:rFonts w:ascii="Calibri" w:cs="Calibri" w:eastAsia="Calibri" w:hAnsi="Calibri"/>
          <w:sz w:val="22"/>
          <w:szCs w:val="22"/>
        </w:rPr>
        <w:t xml:space="preserve">Prior to commencement of any construction work, the General Contractor and each subcontractor shall provide Landlord with certificates of insurance evidencing the following minimum coverages: (a) commercial general liability insurance with limits of not less than $[CGL LIMIT] per occurrence and $[CGL AGGREGATE] in the aggregate; (b) automobile liability insurance with limits of not less than $[AUTO LIMIT] combined single limit; (c) workers' compensation insurance as required by Applicable Laws and employer's liability insurance with limits of not less than $[WC LIMIT] per accident; and (d) umbrella/excess liability insurance with limits of not less than $[UMBRELLA LIMIT] per occurrence. All such policies shall name Landlord, Landlord's property manager, and Landlord's Lender as additional insureds and shall contain a waiver of subrogation in favor of such parties.</w:t>
      </w:r>
    </w:p>
    <w:p>
      <w:pPr>
        <w:spacing w:after="120" w:before="240"/>
      </w:pPr>
      <w:r>
        <w:rPr>
          <w:rFonts w:ascii="Calibri" w:cs="Calibri" w:eastAsia="Calibri" w:hAnsi="Calibri"/>
          <w:b/>
          <w:bCs/>
          <w:sz w:val="22"/>
          <w:szCs w:val="22"/>
        </w:rPr>
        <w:t xml:space="preserve">Section 5.9. Lien Waivers and Mechanic's Liens</w:t>
      </w:r>
    </w:p>
    <w:p>
      <w:pPr>
        <w:spacing w:after="120"/>
        <w:jc w:val="both"/>
      </w:pPr>
      <w:r>
        <w:rPr>
          <w:rFonts w:ascii="Calibri" w:cs="Calibri" w:eastAsia="Calibri" w:hAnsi="Calibri"/>
          <w:sz w:val="22"/>
          <w:szCs w:val="22"/>
        </w:rPr>
        <w:t xml:space="preserve">Tenant shall keep the Premises, the Building, and the Project free and clear of all mechanic's liens, materialmen's liens, and other liens arising out of work performed, materials furnished, or obligations incurred by or on behalf of Tenant. If any such lien is filed, Tenant shall cause the same to be released, discharged, or bonded over (by a surety bond in an amount and form reasonably satisfactory to Landlord) within [NUMBER, e.g., twenty (20)] days after Tenant receives notice of the filing. If Tenant fails to release, discharge, or bond over any such lien within such period, Landlord may do so at Tenant's expense, and Tenant shall reimburse Landlord for all costs incurred within ten (10) days after demand. Tenant shall provide Landlord with final unconditional lien waivers from all contractors, subcontractors, and materialmen within [NUMBER] days after Substantial Completion of the Tenant Improvements.</w:t>
      </w:r>
    </w:p>
    <w:p>
      <w:pPr>
        <w:spacing w:after="120" w:before="240"/>
      </w:pPr>
      <w:r>
        <w:rPr>
          <w:rFonts w:ascii="Calibri" w:cs="Calibri" w:eastAsia="Calibri" w:hAnsi="Calibri"/>
          <w:b/>
          <w:bCs/>
          <w:sz w:val="22"/>
          <w:szCs w:val="22"/>
        </w:rPr>
        <w:t xml:space="preserve">Section 5.10. Construction Delays</w:t>
      </w:r>
    </w:p>
    <w:p>
      <w:pPr>
        <w:spacing w:after="120"/>
        <w:jc w:val="both"/>
      </w:pPr>
      <w:r>
        <w:rPr>
          <w:rFonts w:ascii="Calibri" w:cs="Calibri" w:eastAsia="Calibri" w:hAnsi="Calibri"/>
          <w:sz w:val="22"/>
          <w:szCs w:val="22"/>
        </w:rPr>
        <w:t xml:space="preserve">"Tenant Delay" means any delay in the completion of Landlord's Work or the delivery of the Premises caused by (a) Tenant's failure to timely submit or approve TI Plans or any other required submissions, (b) changes or modifications requested by Tenant to the Delivery Condition or Landlord's Work, (c) interference by Tenant or its agents, contractors, or employees with Landlord's Work, (d) Tenant's request for non-Building Standard materials or finishes that require lead times exceeding [NUMBER] weeks, or (e) any other act or omission of Tenant, its agents, contractors, or employees that delays Landlord's Work. "Landlord Delay" means any delay in Tenant's construction of the Tenant Improvements caused by (a) Landlord's failure to timely approve or respond to TI Plans, change orders, or other submissions within the time periods specified herein, (b) Landlord's failure to provide access to the Premises as required, (c) interference by Landlord, its agents, contractors, or employees with Tenant's construction, or (d) any other act or omission of Landlord that delays Tenant's construction. Each party shall promptly notify the other in writing of any delay claim.</w:t>
      </w:r>
    </w:p>
    <w:p>
      <w:pPr>
        <w:spacing w:after="120" w:before="240"/>
      </w:pPr>
      <w:r>
        <w:rPr>
          <w:rFonts w:ascii="Calibri" w:cs="Calibri" w:eastAsia="Calibri" w:hAnsi="Calibri"/>
          <w:b/>
          <w:bCs/>
          <w:sz w:val="22"/>
          <w:szCs w:val="22"/>
        </w:rPr>
        <w:t xml:space="preserve">Section 5.11. Landlord's Work</w:t>
      </w:r>
    </w:p>
    <w:p>
      <w:pPr>
        <w:spacing w:after="120"/>
        <w:jc w:val="both"/>
      </w:pPr>
      <w:r>
        <w:rPr>
          <w:rFonts w:ascii="Calibri" w:cs="Calibri" w:eastAsia="Calibri" w:hAnsi="Calibri"/>
          <w:sz w:val="22"/>
          <w:szCs w:val="22"/>
        </w:rPr>
        <w:t xml:space="preserve">Landlord shall perform or cause to be performed the work described in the Delivery Condition Specification (Exhibit C) and any additional Landlord's Work described in the Work Letter (Exhibit D) (collectively, "Landlord's Work"). Landlord's Work shall be performed in a good and workmanlike manner, in compliance with all Applicable Laws, and in accordance with the specifications set forth in the applicable Exhibits. Landlord shall bear the cost of Landlord's Work, except to the extent otherwise expressly provided in this Lease. Upon Substantial Completion of Landlord's Work, Landlord shall deliver to Tenant (a) a copy of the final certificate of occupancy (or equivalent governmental approval), (b) copies of all warranties from contractors and equipment manufacturers, and (c) as-built drawings in CAD and PDF format.</w:t>
      </w:r>
    </w:p>
    <w:p>
      <w:pPr>
        <w:pageBreakBefore/>
        <w:spacing w:after="200" w:before="120"/>
        <w:jc w:val="center"/>
      </w:pPr>
      <w:r>
        <w:rPr>
          <w:rFonts w:ascii="Calibri" w:cs="Calibri" w:eastAsia="Calibri" w:hAnsi="Calibri"/>
          <w:b/>
          <w:bCs/>
          <w:sz w:val="26"/>
          <w:szCs w:val="26"/>
        </w:rPr>
        <w:t xml:space="preserve">ARTICLE 6 — RENT AND SECURITY</w:t>
      </w:r>
    </w:p>
    <w:p>
      <w:pPr>
        <w:spacing w:after="120" w:before="240"/>
      </w:pPr>
      <w:r>
        <w:rPr>
          <w:rFonts w:ascii="Calibri" w:cs="Calibri" w:eastAsia="Calibri" w:hAnsi="Calibri"/>
          <w:b/>
          <w:bCs/>
          <w:sz w:val="22"/>
          <w:szCs w:val="22"/>
        </w:rPr>
        <w:t xml:space="preserve">Section 6.1. Base Rent</w:t>
      </w:r>
    </w:p>
    <w:p>
      <w:pPr>
        <w:spacing w:after="120"/>
        <w:jc w:val="both"/>
      </w:pPr>
      <w:r>
        <w:rPr>
          <w:rFonts w:ascii="Calibri" w:cs="Calibri" w:eastAsia="Calibri" w:hAnsi="Calibri"/>
          <w:sz w:val="22"/>
          <w:szCs w:val="22"/>
        </w:rPr>
        <w:t xml:space="preserve">Commencing on the Rent Commencement Date and continuing throughout the Lease Term, Tenant shall pay to Landlord the Base Rent specified in the Cover Sheet and the Rent Schedule set forth below and in Exhibit E, in equal monthly installments, in advance, on or before the first (1st) day of each calendar month, without demand, setoff, abatement, or deduction (except as expressly provided in this Lease). If the Rent Commencement Date occurs on a day other than the first day of a calendar month, Base Rent for the partial month shall be prorated on a per diem basis based on the actual number of days in such month, and shall be payable on the Rent Commencement Date.</w:t>
      </w:r>
    </w:p>
    <w:p>
      <w:pPr>
        <w:spacing w:after="120" w:before="240"/>
      </w:pPr>
      <w:r>
        <w:rPr>
          <w:rFonts w:ascii="Calibri" w:cs="Calibri" w:eastAsia="Calibri" w:hAnsi="Calibri"/>
          <w:b/>
          <w:bCs/>
          <w:sz w:val="22"/>
          <w:szCs w:val="22"/>
        </w:rPr>
        <w:t xml:space="preserve">Section 6.2. Rent Schedule</w:t>
      </w:r>
    </w:p>
    <w:p>
      <w:pPr>
        <w:spacing w:after="120"/>
        <w:jc w:val="both"/>
      </w:pPr>
      <w:r>
        <w:rPr>
          <w:rFonts w:ascii="Calibri" w:cs="Calibri" w:eastAsia="Calibri" w:hAnsi="Calibri"/>
          <w:sz w:val="22"/>
          <w:szCs w:val="22"/>
        </w:rPr>
        <w:t xml:space="preserve">Base Rent shall be payable in accordance with the following schedule: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00"/>
        <w:gridCol w:w="1560"/>
        <w:gridCol w:w="1000"/>
        <w:gridCol w:w="1400"/>
        <w:gridCol w:w="2200"/>
        <w:gridCol w:w="2000"/>
      </w:tblGrid>
      <w:tr>
        <w:tc>
          <w:tcPr>
            <w:tcW w:type="dxa" w:w="120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Period</w:t>
            </w:r>
          </w:p>
        </w:tc>
        <w:tc>
          <w:tcPr>
            <w:tcW w:type="dxa" w:w="156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Months</w:t>
            </w:r>
          </w:p>
        </w:tc>
        <w:tc>
          <w:tcPr>
            <w:tcW w:type="dxa" w:w="100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RSF</w:t>
            </w:r>
          </w:p>
        </w:tc>
        <w:tc>
          <w:tcPr>
            <w:tcW w:type="dxa" w:w="140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$/RSF/Yr</w:t>
            </w:r>
          </w:p>
        </w:tc>
        <w:tc>
          <w:tcPr>
            <w:tcW w:type="dxa" w:w="220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Monthly Base Rent</w:t>
            </w:r>
          </w:p>
        </w:tc>
        <w:tc>
          <w:tcPr>
            <w:tcW w:type="dxa" w:w="200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Annual Base Rent</w:t>
            </w:r>
          </w:p>
        </w:tc>
      </w:tr>
      <w:tr>
        <w:tc>
          <w:tcPr>
            <w:tcW w:type="dxa" w:w="12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Free Rent</w:t>
            </w:r>
          </w:p>
        </w:tc>
        <w:tc>
          <w:tcPr>
            <w:tcW w:type="dxa" w:w="15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[MO 1]–[MO X]</w:t>
            </w:r>
          </w:p>
        </w:tc>
        <w:tc>
          <w:tcPr>
            <w:tcW w:type="dxa" w:w="10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[RSF]</w:t>
            </w:r>
          </w:p>
        </w:tc>
        <w:tc>
          <w:tcPr>
            <w:tcW w:type="dxa" w:w="14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$0.00</w:t>
            </w:r>
          </w:p>
        </w:tc>
        <w:tc>
          <w:tcPr>
            <w:tcW w:type="dxa" w:w="22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$0.00</w:t>
            </w:r>
          </w:p>
        </w:tc>
        <w:tc>
          <w:tcPr>
            <w:tcW w:type="dxa" w:w="20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$0.00</w:t>
            </w:r>
          </w:p>
        </w:tc>
      </w:tr>
      <w:tr>
        <w:tc>
          <w:tcPr>
            <w:tcW w:type="dxa" w:w="12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Year 1</w:t>
            </w:r>
          </w:p>
        </w:tc>
        <w:tc>
          <w:tcPr>
            <w:tcW w:type="dxa" w:w="156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[MO X+1]–[MO 12]</w:t>
            </w:r>
          </w:p>
        </w:tc>
        <w:tc>
          <w:tcPr>
            <w:tcW w:type="dxa" w:w="10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[RSF]</w:t>
            </w:r>
          </w:p>
        </w:tc>
        <w:tc>
          <w:tcPr>
            <w:tcW w:type="dxa" w:w="14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$[RATE 1]</w:t>
            </w:r>
          </w:p>
        </w:tc>
        <w:tc>
          <w:tcPr>
            <w:tcW w:type="dxa" w:w="22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$[MONTHLY 1]</w:t>
            </w:r>
          </w:p>
        </w:tc>
        <w:tc>
          <w:tcPr>
            <w:tcW w:type="dxa" w:w="20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$[ANNUAL 1]</w:t>
            </w:r>
          </w:p>
        </w:tc>
      </w:tr>
      <w:tr>
        <w:tc>
          <w:tcPr>
            <w:tcW w:type="dxa" w:w="12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Year 2</w:t>
            </w:r>
          </w:p>
        </w:tc>
        <w:tc>
          <w:tcPr>
            <w:tcW w:type="dxa" w:w="15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[MO 13]–[MO 24]</w:t>
            </w:r>
          </w:p>
        </w:tc>
        <w:tc>
          <w:tcPr>
            <w:tcW w:type="dxa" w:w="10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[RSF]</w:t>
            </w:r>
          </w:p>
        </w:tc>
        <w:tc>
          <w:tcPr>
            <w:tcW w:type="dxa" w:w="14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$[RATE 2]</w:t>
            </w:r>
          </w:p>
        </w:tc>
        <w:tc>
          <w:tcPr>
            <w:tcW w:type="dxa" w:w="22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$[MONTHLY 2]</w:t>
            </w:r>
          </w:p>
        </w:tc>
        <w:tc>
          <w:tcPr>
            <w:tcW w:type="dxa" w:w="20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$[ANNUAL 2]</w:t>
            </w:r>
          </w:p>
        </w:tc>
      </w:tr>
      <w:tr>
        <w:tc>
          <w:tcPr>
            <w:tcW w:type="dxa" w:w="12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Year 3</w:t>
            </w:r>
          </w:p>
        </w:tc>
        <w:tc>
          <w:tcPr>
            <w:tcW w:type="dxa" w:w="156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[MO 25]–[MO 36]</w:t>
            </w:r>
          </w:p>
        </w:tc>
        <w:tc>
          <w:tcPr>
            <w:tcW w:type="dxa" w:w="10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[RSF]</w:t>
            </w:r>
          </w:p>
        </w:tc>
        <w:tc>
          <w:tcPr>
            <w:tcW w:type="dxa" w:w="14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$[RATE 3]</w:t>
            </w:r>
          </w:p>
        </w:tc>
        <w:tc>
          <w:tcPr>
            <w:tcW w:type="dxa" w:w="22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$[MONTHLY 3]</w:t>
            </w:r>
          </w:p>
        </w:tc>
        <w:tc>
          <w:tcPr>
            <w:tcW w:type="dxa" w:w="20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$[ANNUAL 3]</w:t>
            </w:r>
          </w:p>
        </w:tc>
      </w:tr>
      <w:tr>
        <w:tc>
          <w:tcPr>
            <w:tcW w:type="dxa" w:w="12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Year 4</w:t>
            </w:r>
          </w:p>
        </w:tc>
        <w:tc>
          <w:tcPr>
            <w:tcW w:type="dxa" w:w="15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[MO 37]–[MO 48]</w:t>
            </w:r>
          </w:p>
        </w:tc>
        <w:tc>
          <w:tcPr>
            <w:tcW w:type="dxa" w:w="10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[RSF]</w:t>
            </w:r>
          </w:p>
        </w:tc>
        <w:tc>
          <w:tcPr>
            <w:tcW w:type="dxa" w:w="14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$[RATE 4]</w:t>
            </w:r>
          </w:p>
        </w:tc>
        <w:tc>
          <w:tcPr>
            <w:tcW w:type="dxa" w:w="22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$[MONTHLY 4]</w:t>
            </w:r>
          </w:p>
        </w:tc>
        <w:tc>
          <w:tcPr>
            <w:tcW w:type="dxa" w:w="20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$[ANNUAL 4]</w:t>
            </w:r>
          </w:p>
        </w:tc>
      </w:tr>
      <w:tr>
        <w:tc>
          <w:tcPr>
            <w:tcW w:type="dxa" w:w="12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Year 5</w:t>
            </w:r>
          </w:p>
        </w:tc>
        <w:tc>
          <w:tcPr>
            <w:tcW w:type="dxa" w:w="156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[MO 49]–[MO 60]</w:t>
            </w:r>
          </w:p>
        </w:tc>
        <w:tc>
          <w:tcPr>
            <w:tcW w:type="dxa" w:w="10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[RSF]</w:t>
            </w:r>
          </w:p>
        </w:tc>
        <w:tc>
          <w:tcPr>
            <w:tcW w:type="dxa" w:w="14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$[RATE 5]</w:t>
            </w:r>
          </w:p>
        </w:tc>
        <w:tc>
          <w:tcPr>
            <w:tcW w:type="dxa" w:w="22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$[MONTHLY 5]</w:t>
            </w:r>
          </w:p>
        </w:tc>
        <w:tc>
          <w:tcPr>
            <w:tcW w:type="dxa" w:w="20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$[ANNUAL 5]</w:t>
            </w:r>
          </w:p>
        </w:tc>
      </w:tr>
      <w:tr>
        <w:tc>
          <w:tcPr>
            <w:tcW w:type="dxa" w:w="12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Year 6</w:t>
            </w:r>
          </w:p>
        </w:tc>
        <w:tc>
          <w:tcPr>
            <w:tcW w:type="dxa" w:w="15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[MO 61]–[MO 72]</w:t>
            </w:r>
          </w:p>
        </w:tc>
        <w:tc>
          <w:tcPr>
            <w:tcW w:type="dxa" w:w="10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[RSF]</w:t>
            </w:r>
          </w:p>
        </w:tc>
        <w:tc>
          <w:tcPr>
            <w:tcW w:type="dxa" w:w="14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$[RATE 6]</w:t>
            </w:r>
          </w:p>
        </w:tc>
        <w:tc>
          <w:tcPr>
            <w:tcW w:type="dxa" w:w="22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$[MONTHLY 6]</w:t>
            </w:r>
          </w:p>
        </w:tc>
        <w:tc>
          <w:tcPr>
            <w:tcW w:type="dxa" w:w="20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$[ANNUAL 6]</w:t>
            </w:r>
          </w:p>
        </w:tc>
      </w:tr>
      <w:tr>
        <w:tc>
          <w:tcPr>
            <w:tcW w:type="dxa" w:w="12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Year 7</w:t>
            </w:r>
          </w:p>
        </w:tc>
        <w:tc>
          <w:tcPr>
            <w:tcW w:type="dxa" w:w="156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[MO 73]–[MO 84]</w:t>
            </w:r>
          </w:p>
        </w:tc>
        <w:tc>
          <w:tcPr>
            <w:tcW w:type="dxa" w:w="10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[RSF]</w:t>
            </w:r>
          </w:p>
        </w:tc>
        <w:tc>
          <w:tcPr>
            <w:tcW w:type="dxa" w:w="14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$[RATE 7]</w:t>
            </w:r>
          </w:p>
        </w:tc>
        <w:tc>
          <w:tcPr>
            <w:tcW w:type="dxa" w:w="22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$[MONTHLY 7]</w:t>
            </w:r>
          </w:p>
        </w:tc>
        <w:tc>
          <w:tcPr>
            <w:tcW w:type="dxa" w:w="20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$[ANNUAL 7]</w:t>
            </w:r>
          </w:p>
        </w:tc>
      </w:tr>
    </w:tbl>
    <w:p>
      <w:pPr>
        <w:spacing w:after="60"/>
      </w:pPr>
    </w:p>
    <w:p>
      <w:pPr>
        <w:spacing w:after="120"/>
        <w:jc w:val="both"/>
      </w:pPr>
      <w:r>
        <w:rPr>
          <w:rFonts w:ascii="Calibri" w:cs="Calibri" w:eastAsia="Calibri" w:hAnsi="Calibri"/>
          <w:sz w:val="22"/>
          <w:szCs w:val="22"/>
        </w:rPr>
        <w:t xml:space="preserve">[ADD ADDITIONAL YEARS IF LEASE TERM EXCEEDS 7 YEARS. ADJUST ESCALATION RATE AND AMOUNTS ACCORDINGLY.]</w:t>
      </w:r>
    </w:p>
    <w:p>
      <w:pPr>
        <w:spacing w:after="120" w:before="240"/>
      </w:pPr>
      <w:r>
        <w:rPr>
          <w:rFonts w:ascii="Calibri" w:cs="Calibri" w:eastAsia="Calibri" w:hAnsi="Calibri"/>
          <w:b/>
          <w:bCs/>
          <w:sz w:val="22"/>
          <w:szCs w:val="22"/>
        </w:rPr>
        <w:t xml:space="preserve">Section 6.3. Escalations</w:t>
      </w:r>
    </w:p>
    <w:p>
      <w:pPr>
        <w:spacing w:after="120"/>
        <w:jc w:val="both"/>
      </w:pPr>
      <w:r>
        <w:rPr>
          <w:rFonts w:ascii="Calibri" w:cs="Calibri" w:eastAsia="Calibri" w:hAnsi="Calibri"/>
          <w:sz w:val="22"/>
          <w:szCs w:val="22"/>
        </w:rPr>
        <w:t xml:space="preserve">Base Rent shall increase on each anniversary of the Rent Commencement Date (or, if the Rent Commencement Date is not the first day of a calendar month, on the first day of the calendar month in which such anniversary occurs) by the Escalation Rate specified in the Cover Sheet. If the Cover Sheet specifies a percentage escalation, the increase shall be calculated as the applicable percentage of the Base Rent in effect during the immediately preceding Lease Year. If the Cover Sheet specifies a fixed dollar escalation, the increase shall be the specified dollar amount per RSF per year, applied to the Rentable Area of the Premises as then determined. The escalated Base Rent for each Lease Year is set forth in the Rent Schedule in Section 6.2 and Exhibit E.</w:t>
      </w:r>
    </w:p>
    <w:p>
      <w:pPr>
        <w:spacing w:after="120" w:before="240"/>
      </w:pPr>
      <w:r>
        <w:rPr>
          <w:rFonts w:ascii="Calibri" w:cs="Calibri" w:eastAsia="Calibri" w:hAnsi="Calibri"/>
          <w:b/>
          <w:bCs/>
          <w:sz w:val="22"/>
          <w:szCs w:val="22"/>
        </w:rPr>
        <w:t xml:space="preserve">Section 6.4. Free Rent Period</w:t>
      </w:r>
    </w:p>
    <w:p>
      <w:pPr>
        <w:spacing w:after="120"/>
        <w:jc w:val="both"/>
      </w:pPr>
      <w:r>
        <w:rPr>
          <w:rFonts w:ascii="Calibri" w:cs="Calibri" w:eastAsia="Calibri" w:hAnsi="Calibri"/>
          <w:sz w:val="22"/>
          <w:szCs w:val="22"/>
        </w:rPr>
        <w:t xml:space="preserve">Notwithstanding anything to the contrary in this Lease, Tenant shall not be obligated to pay Base Rent during the Free Rent Period specified in the Cover Sheet. During the Free Rent Period, Tenant shall remain obligated to pay all Additional Rent, including without limitation Tenant's Pro Rata Share of Operating Expenses and Taxes, parking charges, and utility charges. The Free Rent Period shall commence on the Commencement Date and shall expire on the last day of the month that is [FREE RENT MONTHS] full calendar months after the Commencement Date. If Tenant is in Default (as defined in Section 13.1) beyond any applicable notice and cure period at any time during the Free Rent Period, Landlord may, as part of its remedies, recapture the value of the free rent previously provided (calculated at the initial Base Rent rate for the number of days of free rent received).</w:t>
      </w:r>
    </w:p>
    <w:p>
      <w:pPr>
        <w:spacing w:after="120" w:before="240"/>
      </w:pPr>
      <w:r>
        <w:rPr>
          <w:rFonts w:ascii="Calibri" w:cs="Calibri" w:eastAsia="Calibri" w:hAnsi="Calibri"/>
          <w:b/>
          <w:bCs/>
          <w:sz w:val="22"/>
          <w:szCs w:val="22"/>
        </w:rPr>
        <w:t xml:space="preserve">Section 6.5. Additional Rent</w:t>
      </w:r>
    </w:p>
    <w:p>
      <w:pPr>
        <w:spacing w:after="120"/>
        <w:jc w:val="both"/>
      </w:pPr>
      <w:r>
        <w:rPr>
          <w:rFonts w:ascii="Calibri" w:cs="Calibri" w:eastAsia="Calibri" w:hAnsi="Calibri"/>
          <w:sz w:val="22"/>
          <w:szCs w:val="22"/>
        </w:rPr>
        <w:t xml:space="preserve">In addition to Base Rent, Tenant shall pay to Landlord, as Additional Rent, all other sums of money that become due and payable by Tenant to Landlord under this Lease, including without limitation (a) Tenant's Pro Rata Share of increases in Operating Expenses over the Base Year amount (Article 7); (b) Tenant's Pro Rata Share of increases in Taxes over the Base Year amount (Section 6.8); (c) parking charges (Section 6.7); (d) after-hours HVAC charges; (e) utility charges for excess or supplemental utility consumption (Section 8.5); (f) late charges and interest (Sections 6.10 and 6.11); (g) costs of repairs, maintenance, or other work performed by Landlord at Tenant's expense; and (h) any other amounts expressly designated as Additional Rent or stated to be payable by Tenant under this Lease. Unless otherwise specified, Additional Rent shall be due and payable within thirty (30) days after Landlord's delivery of an invoice or statement therefor. Landlord shall have the same rights and remedies for Tenant's failure to pay Additional Rent as for Tenant's failure to pay Base Rent.</w:t>
      </w:r>
    </w:p>
    <w:p>
      <w:pPr>
        <w:spacing w:after="120" w:before="240"/>
      </w:pPr>
      <w:r>
        <w:rPr>
          <w:rFonts w:ascii="Calibri" w:cs="Calibri" w:eastAsia="Calibri" w:hAnsi="Calibri"/>
          <w:b/>
          <w:bCs/>
          <w:sz w:val="22"/>
          <w:szCs w:val="22"/>
        </w:rPr>
        <w:t xml:space="preserve">Section 6.6. Utilities</w:t>
      </w:r>
    </w:p>
    <w:p>
      <w:pPr>
        <w:spacing w:after="120"/>
        <w:jc w:val="both"/>
      </w:pPr>
      <w:r>
        <w:rPr>
          <w:rFonts w:ascii="Calibri" w:cs="Calibri" w:eastAsia="Calibri" w:hAnsi="Calibri"/>
          <w:sz w:val="22"/>
          <w:szCs w:val="22"/>
        </w:rPr>
        <w:t xml:space="preserve">Landlord shall furnish to the Premises the utility services described in Article 8 and Exhibit F. If the Premises are separately metered for any utility, Tenant shall pay the utility provider directly for such metered utility consumption. If the Premises are not separately metered, Tenant shall pay its proportionate share of utility costs as part of Operating Expenses; provided, however, that if Tenant's utility consumption materially exceeds the consumption of a typical office tenant of similar size in the Building (as reasonably determined by Landlord based on engineering estimates or submetering data), Landlord may (a) install a submeter at Tenant's expense and bill Tenant directly for excess consumption, or (b) include a reasonable estimate of Tenant's excess consumption as Additional Rent. Tenant shall not install any equipment or machinery with electrical requirements exceeding Building Standard capacity without Landlord's prior written consent and, if approved, Tenant shall pay for all costs of supplemental electrical service, transformers, distribution panels, and associated infrastructure.</w:t>
      </w:r>
    </w:p>
    <w:p>
      <w:pPr>
        <w:spacing w:after="120" w:before="240"/>
      </w:pPr>
      <w:r>
        <w:rPr>
          <w:rFonts w:ascii="Calibri" w:cs="Calibri" w:eastAsia="Calibri" w:hAnsi="Calibri"/>
          <w:b/>
          <w:bCs/>
          <w:sz w:val="22"/>
          <w:szCs w:val="22"/>
        </w:rPr>
        <w:t xml:space="preserve">Section 6.7. Parking Charges</w:t>
      </w:r>
    </w:p>
    <w:p>
      <w:pPr>
        <w:spacing w:after="120"/>
        <w:jc w:val="both"/>
      </w:pPr>
      <w:r>
        <w:rPr>
          <w:rFonts w:ascii="Calibri" w:cs="Calibri" w:eastAsia="Calibri" w:hAnsi="Calibri"/>
          <w:sz w:val="22"/>
          <w:szCs w:val="22"/>
        </w:rPr>
        <w:t xml:space="preserve">Tenant shall pay monthly parking charges for the parking spaces allocated to Tenant under Section 2.5 at the rates set forth in Exhibit E. Parking charges shall be payable as Additional Rent on the first day of each calendar month, commencing on the Commencement Date. Landlord may adjust parking charges annually upon not less than thirty (30) days' prior written notice, provided that increases in parking charges shall not exceed [NUMBER]% per year for the initial Lease Term. If Tenant fails to utilize allocated parking spaces for [NUMBER] or more consecutive months, Landlord may reallocate the unused spaces to other tenants, subject to Tenant's right to reclaim such spaces upon thirty (30) days' written notice.</w:t>
      </w:r>
    </w:p>
    <w:p>
      <w:pPr>
        <w:spacing w:after="120" w:before="240"/>
      </w:pPr>
      <w:r>
        <w:rPr>
          <w:rFonts w:ascii="Calibri" w:cs="Calibri" w:eastAsia="Calibri" w:hAnsi="Calibri"/>
          <w:b/>
          <w:bCs/>
          <w:sz w:val="22"/>
          <w:szCs w:val="22"/>
        </w:rPr>
        <w:t xml:space="preserve">Section 6.8. Real Estate Taxes</w:t>
      </w:r>
    </w:p>
    <w:p>
      <w:pPr>
        <w:spacing w:after="120"/>
        <w:jc w:val="both"/>
      </w:pPr>
      <w:r>
        <w:rPr>
          <w:rFonts w:ascii="Calibri" w:cs="Calibri" w:eastAsia="Calibri" w:hAnsi="Calibri"/>
          <w:sz w:val="22"/>
          <w:szCs w:val="22"/>
        </w:rPr>
        <w:t xml:space="preserve">Tenant shall pay Tenant's Pro Rata Share of the amount by which Taxes for each calendar year (or tax fiscal year, as applicable) during the Lease Term exceed the Taxes for the Base Year specified in the Cover Sheet (the "Tax Excess"). "Taxes" shall include all real property taxes, general and special assessments, supplemental assessments, sewer charges, transit assessments, business improvement district charges, and other governmental charges and impositions levied against or attributable to the Building, the Project, and the underlying land, together with any tax levied in whole or in part in lieu of, as a supplement to, or in addition to real property taxes, and reasonable costs and fees incurred in connection with proceedings to contest, reduce, or appeal such taxes (net of any tax refunds received). Taxes shall not include income taxes, franchise taxes, inheritance taxes, estate taxes, gift taxes, or transfer taxes unless imposed in lieu of or as a substitute for real property taxes.</w:t>
      </w:r>
    </w:p>
    <w:p>
      <w:pPr>
        <w:spacing w:after="120" w:before="240"/>
      </w:pPr>
      <w:r>
        <w:rPr>
          <w:rFonts w:ascii="Calibri" w:cs="Calibri" w:eastAsia="Calibri" w:hAnsi="Calibri"/>
          <w:b/>
          <w:bCs/>
          <w:sz w:val="22"/>
          <w:szCs w:val="22"/>
        </w:rPr>
        <w:t xml:space="preserve">Section 6.9. Security Deposit; Letter of Credit</w:t>
      </w:r>
    </w:p>
    <w:p>
      <w:pPr>
        <w:spacing w:after="120"/>
        <w:jc w:val="both"/>
      </w:pPr>
      <w:r>
        <w:rPr>
          <w:rFonts w:ascii="Calibri" w:cs="Calibri" w:eastAsia="Calibri" w:hAnsi="Calibri"/>
          <w:sz w:val="22"/>
          <w:szCs w:val="22"/>
        </w:rPr>
        <w:t xml:space="preserve">Upon execution of this Lease, Tenant shall deliver to Landlord the Security Deposit specified in the Cover Sheet, which shall be held by Landlord as security for the faithful performance by Tenant of all of Tenant's obligations under this Lease.</w:t>
      </w:r>
    </w:p>
    <w:p>
      <w:pPr>
        <w:spacing w:after="100"/>
        <w:ind w:left="720"/>
        <w:jc w:val="both"/>
      </w:pPr>
      <w:r>
        <w:rPr>
          <w:rFonts w:ascii="Calibri" w:cs="Calibri" w:eastAsia="Calibri" w:hAnsi="Calibri"/>
          <w:sz w:val="22"/>
          <w:szCs w:val="22"/>
        </w:rPr>
        <w:t xml:space="preserve">(a) Cash Deposit. If the Security Deposit is in the form of cash, Landlord shall hold the Security Deposit in a [INTEREST-BEARING/NON-INTEREST-BEARING] account at a federally insured financial institution. Landlord may commingle the Security Deposit with Landlord's other funds. Interest earned on the Security Deposit, if any, shall [ACCRUE TO TENANT'S BENEFIT / BE RETAINED BY LANDLORD]. If Tenant is not then in Default, the Security Deposit (less any amounts applied by Landlord) shall be returned to Tenant within [NUMBER] days after the later of (i) the Expiration Date or earlier termination of this Lease, and (ii) Tenant's vacation and surrender of the Premises in the condition required by Section 16.1.</w:t>
      </w:r>
    </w:p>
    <w:p>
      <w:pPr>
        <w:spacing w:after="100"/>
        <w:ind w:left="720"/>
        <w:jc w:val="both"/>
      </w:pPr>
      <w:r>
        <w:rPr>
          <w:rFonts w:ascii="Calibri" w:cs="Calibri" w:eastAsia="Calibri" w:hAnsi="Calibri"/>
          <w:sz w:val="22"/>
          <w:szCs w:val="22"/>
        </w:rPr>
        <w:t xml:space="preserve">(b) Letter of Credit. In lieu of a cash Security Deposit, Tenant may deliver to Landlord an irrevocable, unconditional, transferable standby letter of credit (the "Letter of Credit") issued by a nationally recognized commercial bank reasonably approved by Landlord, in the amount of the Security Deposit, naming Landlord as beneficiary, with an initial expiration date not earlier than sixty (60) days after the Expiration Date, and otherwise in form and substance reasonably satisfactory to Landlord. The Letter of Credit shall provide that Landlord may draw thereon upon presentation of a sight draft and Landlord's signed statement that Landlord is entitled to draw under the terms of the Lease. If the Letter of Credit has an expiration date earlier than sixty (60) days after the Expiration Date, Tenant shall deliver a replacement or renewal Letter of Credit to Landlord at least thirty (30) days prior to expiration. If Tenant fails to deliver a timely replacement or renewal, Landlord may draw the full amount of the Letter of Credit and hold the proceeds as a cash Security Deposit.</w:t>
      </w:r>
    </w:p>
    <w:p>
      <w:pPr>
        <w:spacing w:after="100"/>
        <w:ind w:left="720"/>
        <w:jc w:val="both"/>
      </w:pPr>
      <w:r>
        <w:rPr>
          <w:rFonts w:ascii="Calibri" w:cs="Calibri" w:eastAsia="Calibri" w:hAnsi="Calibri"/>
          <w:sz w:val="22"/>
          <w:szCs w:val="22"/>
        </w:rPr>
        <w:t xml:space="preserve">(c) Reduction. Provided that (i) Tenant has not been in Default beyond applicable cure periods more than [NUMBER] times during the Lease Term, and (ii) Tenant's net worth (or, if Tenant is privately held, Tenant's total assets minus total liabilities as reflected in Tenant's most recent audited financial statements) exceeds $[THRESHOLD AMOUNT], the Security Deposit shall be reduced by [PERCENTAGE]% on each of the [NUMBER]th, [NUMBER]th, and [NUMBER]th anniversaries of the Rent Commencement Date.</w:t>
      </w:r>
    </w:p>
    <w:p>
      <w:pPr>
        <w:spacing w:after="100"/>
        <w:ind w:left="720"/>
        <w:jc w:val="both"/>
      </w:pPr>
      <w:r>
        <w:rPr>
          <w:rFonts w:ascii="Calibri" w:cs="Calibri" w:eastAsia="Calibri" w:hAnsi="Calibri"/>
          <w:sz w:val="22"/>
          <w:szCs w:val="22"/>
        </w:rPr>
        <w:t xml:space="preserve">(d) Application. Landlord may apply all or any portion of the Security Deposit to cure any Default by Tenant or to compensate Landlord for any damage, injury, expense, or liability caused by Tenant's Default. If Landlord so applies any portion of the Security Deposit, Tenant shall deposit with Landlord the amount necessary to restore the Security Deposit to its then-required amount within ten (10) Business Days after Landlord's demand.</w:t>
      </w:r>
    </w:p>
    <w:p>
      <w:pPr>
        <w:spacing w:after="120" w:before="240"/>
      </w:pPr>
      <w:r>
        <w:rPr>
          <w:rFonts w:ascii="Calibri" w:cs="Calibri" w:eastAsia="Calibri" w:hAnsi="Calibri"/>
          <w:b/>
          <w:bCs/>
          <w:sz w:val="22"/>
          <w:szCs w:val="22"/>
        </w:rPr>
        <w:t xml:space="preserve">Section 6.10. Late Charges</w:t>
      </w:r>
    </w:p>
    <w:p>
      <w:pPr>
        <w:spacing w:after="120"/>
        <w:jc w:val="both"/>
      </w:pPr>
      <w:r>
        <w:rPr>
          <w:rFonts w:ascii="Calibri" w:cs="Calibri" w:eastAsia="Calibri" w:hAnsi="Calibri"/>
          <w:sz w:val="22"/>
          <w:szCs w:val="22"/>
        </w:rPr>
        <w:t xml:space="preserve">If Tenant fails to pay any Rent within five (5) days after the date such payment is due (without regard to any notice or cure period in Section 13.2), Tenant shall pay to Landlord a late charge equal to [LATE CHARGE PERCENTAGE, e.g., five percent (5%)] of the overdue amount. The parties agree that the amount of such late charge represents a fair and reasonable estimate of the costs that Landlord will incur by reason of the late payment, including processing, administrative, and accounting costs. Acceptance of a late charge by Landlord shall not constitute a waiver of Tenant's Default with respect to the overdue amount, and shall not prevent Landlord from exercising any other rights or remedies available under this Lease.</w:t>
      </w:r>
    </w:p>
    <w:p>
      <w:pPr>
        <w:spacing w:after="120" w:before="240"/>
      </w:pPr>
      <w:r>
        <w:rPr>
          <w:rFonts w:ascii="Calibri" w:cs="Calibri" w:eastAsia="Calibri" w:hAnsi="Calibri"/>
          <w:b/>
          <w:bCs/>
          <w:sz w:val="22"/>
          <w:szCs w:val="22"/>
        </w:rPr>
        <w:t xml:space="preserve">Section 6.11. Interest on Late Payments</w:t>
      </w:r>
    </w:p>
    <w:p>
      <w:pPr>
        <w:spacing w:after="120"/>
        <w:jc w:val="both"/>
      </w:pPr>
      <w:r>
        <w:rPr>
          <w:rFonts w:ascii="Calibri" w:cs="Calibri" w:eastAsia="Calibri" w:hAnsi="Calibri"/>
          <w:sz w:val="22"/>
          <w:szCs w:val="22"/>
        </w:rPr>
        <w:t xml:space="preserve">Any Rent or other amount owed by Tenant to Landlord under this Lease that is not paid when due shall bear interest from the due date until paid at the Default Rate. Interest under this Section 6.11 shall be in addition to, and not in lieu of, any late charge assessed under Section 6.10.</w:t>
      </w:r>
    </w:p>
    <w:p>
      <w:pPr>
        <w:spacing w:after="120" w:before="240"/>
      </w:pPr>
      <w:r>
        <w:rPr>
          <w:rFonts w:ascii="Calibri" w:cs="Calibri" w:eastAsia="Calibri" w:hAnsi="Calibri"/>
          <w:b/>
          <w:bCs/>
          <w:sz w:val="22"/>
          <w:szCs w:val="22"/>
        </w:rPr>
        <w:t xml:space="preserve">Section 6.12. Manner of Payment</w:t>
      </w:r>
    </w:p>
    <w:p>
      <w:pPr>
        <w:spacing w:after="120"/>
        <w:jc w:val="both"/>
      </w:pPr>
      <w:r>
        <w:rPr>
          <w:rFonts w:ascii="Calibri" w:cs="Calibri" w:eastAsia="Calibri" w:hAnsi="Calibri"/>
          <w:sz w:val="22"/>
          <w:szCs w:val="22"/>
        </w:rPr>
        <w:t xml:space="preserve">All Rent shall be paid in lawful money of the United States, by electronic funds transfer (ACH or wire) to the account designated by Landlord from time to time, or by such other method as Landlord may reasonably designate. Tenant shall not pay Rent by cash. If Tenant pays by check, Landlord may require Tenant to convert to electronic payment at any time upon thirty (30) days' notice. All payments shall be made without any prior demand and without any deduction, setoff, or counterclaim, except as expressly permitted by this Lease. If any check is returned for insufficient funds, Tenant shall pay a returned check fee of $[RETURNED CHECK FEE] in addition to any late charge and interest.</w:t>
      </w:r>
    </w:p>
    <w:p>
      <w:pPr>
        <w:pageBreakBefore/>
        <w:spacing w:after="200" w:before="120"/>
        <w:jc w:val="center"/>
      </w:pPr>
      <w:r>
        <w:rPr>
          <w:rFonts w:ascii="Calibri" w:cs="Calibri" w:eastAsia="Calibri" w:hAnsi="Calibri"/>
          <w:b/>
          <w:bCs/>
          <w:sz w:val="26"/>
          <w:szCs w:val="26"/>
        </w:rPr>
        <w:t xml:space="preserve">ARTICLE 7 — OPERATING EXPENSES AND COMMON AREA MAINTENANCE</w:t>
      </w:r>
    </w:p>
    <w:p>
      <w:pPr>
        <w:spacing w:after="120" w:before="240"/>
      </w:pPr>
      <w:r>
        <w:rPr>
          <w:rFonts w:ascii="Calibri" w:cs="Calibri" w:eastAsia="Calibri" w:hAnsi="Calibri"/>
          <w:b/>
          <w:bCs/>
          <w:sz w:val="22"/>
          <w:szCs w:val="22"/>
        </w:rPr>
        <w:t xml:space="preserve">Section 7.1. Tenant's Pro Rata Share</w:t>
      </w:r>
    </w:p>
    <w:p>
      <w:pPr>
        <w:spacing w:after="120"/>
        <w:jc w:val="both"/>
      </w:pPr>
      <w:r>
        <w:rPr>
          <w:rFonts w:ascii="Calibri" w:cs="Calibri" w:eastAsia="Calibri" w:hAnsi="Calibri"/>
          <w:sz w:val="22"/>
          <w:szCs w:val="22"/>
        </w:rPr>
        <w:t xml:space="preserve">Tenant shall pay Tenant's Pro Rata Share of Operating Expenses incurred by Landlord in each calendar year during the Lease Term in excess of the Operating Expenses incurred in the Base Year (the "Expense Excess"). Tenant's Pro Rata Share is set forth in the Cover Sheet and is calculated by dividing the Rentable Area of the Premises by the Rentable Area of the Building. If the Rentable Area of the Premises or the Building changes during the Lease Term (by reason of remeasurement, expansion, contraction, or otherwise), Tenant's Pro Rata Share shall be adjusted accordingly, effective as of the date of such change.</w:t>
      </w:r>
    </w:p>
    <w:p>
      <w:pPr>
        <w:spacing w:after="120" w:before="240"/>
      </w:pPr>
      <w:r>
        <w:rPr>
          <w:rFonts w:ascii="Calibri" w:cs="Calibri" w:eastAsia="Calibri" w:hAnsi="Calibri"/>
          <w:b/>
          <w:bCs/>
          <w:sz w:val="22"/>
          <w:szCs w:val="22"/>
        </w:rPr>
        <w:t xml:space="preserve">Section 7.2. Operating Expenses Defined</w:t>
      </w:r>
    </w:p>
    <w:p>
      <w:pPr>
        <w:spacing w:after="120"/>
        <w:jc w:val="both"/>
      </w:pPr>
      <w:r>
        <w:rPr>
          <w:rFonts w:ascii="Calibri" w:cs="Calibri" w:eastAsia="Calibri" w:hAnsi="Calibri"/>
          <w:sz w:val="22"/>
          <w:szCs w:val="22"/>
        </w:rPr>
        <w:t xml:space="preserve">"Operating Expenses" means all reasonable costs and expenses incurred by Landlord in connection with the ownership, management, operation, maintenance, repair, and replacement of the Building, the Project, and the Common Areas, including without limitation:</w:t>
      </w:r>
    </w:p>
    <w:p>
      <w:pPr>
        <w:spacing w:after="100"/>
        <w:ind w:left="720"/>
        <w:jc w:val="both"/>
      </w:pPr>
      <w:r>
        <w:rPr>
          <w:rFonts w:ascii="Calibri" w:cs="Calibri" w:eastAsia="Calibri" w:hAnsi="Calibri"/>
          <w:sz w:val="22"/>
          <w:szCs w:val="22"/>
        </w:rPr>
        <w:t xml:space="preserve">(a) wages, salaries, payroll taxes, and employee benefits for building management, engineering, security, janitorial, and maintenance personnel;</w:t>
      </w:r>
    </w:p>
    <w:p>
      <w:pPr>
        <w:spacing w:after="100"/>
        <w:ind w:left="720"/>
        <w:jc w:val="both"/>
      </w:pPr>
      <w:r>
        <w:rPr>
          <w:rFonts w:ascii="Calibri" w:cs="Calibri" w:eastAsia="Calibri" w:hAnsi="Calibri"/>
          <w:sz w:val="22"/>
          <w:szCs w:val="22"/>
        </w:rPr>
        <w:t xml:space="preserve">(b) management fees paid to Landlord's property manager (subject to Section 7.5);</w:t>
      </w:r>
    </w:p>
    <w:p>
      <w:pPr>
        <w:spacing w:after="100"/>
        <w:ind w:left="720"/>
        <w:jc w:val="both"/>
      </w:pPr>
      <w:r>
        <w:rPr>
          <w:rFonts w:ascii="Calibri" w:cs="Calibri" w:eastAsia="Calibri" w:hAnsi="Calibri"/>
          <w:sz w:val="22"/>
          <w:szCs w:val="22"/>
        </w:rPr>
        <w:t xml:space="preserve">(c) costs of cleaning, janitorial, trash removal, pest control, and window-washing services;</w:t>
      </w:r>
    </w:p>
    <w:p>
      <w:pPr>
        <w:spacing w:after="100"/>
        <w:ind w:left="720"/>
        <w:jc w:val="both"/>
      </w:pPr>
      <w:r>
        <w:rPr>
          <w:rFonts w:ascii="Calibri" w:cs="Calibri" w:eastAsia="Calibri" w:hAnsi="Calibri"/>
          <w:sz w:val="22"/>
          <w:szCs w:val="22"/>
        </w:rPr>
        <w:t xml:space="preserve">(d) costs of maintaining, repairing, and replacing landscaping, hardscaping, irrigation systems, and exterior lighting;</w:t>
      </w:r>
    </w:p>
    <w:p>
      <w:pPr>
        <w:spacing w:after="100"/>
        <w:ind w:left="720"/>
        <w:jc w:val="both"/>
      </w:pPr>
      <w:r>
        <w:rPr>
          <w:rFonts w:ascii="Calibri" w:cs="Calibri" w:eastAsia="Calibri" w:hAnsi="Calibri"/>
          <w:sz w:val="22"/>
          <w:szCs w:val="22"/>
        </w:rPr>
        <w:t xml:space="preserve">(e) costs of electricity, gas, water, sewer, and other utilities consumed in the Common Areas and by the Base Building systems;</w:t>
      </w:r>
    </w:p>
    <w:p>
      <w:pPr>
        <w:spacing w:after="100"/>
        <w:ind w:left="720"/>
        <w:jc w:val="both"/>
      </w:pPr>
      <w:r>
        <w:rPr>
          <w:rFonts w:ascii="Calibri" w:cs="Calibri" w:eastAsia="Calibri" w:hAnsi="Calibri"/>
          <w:sz w:val="22"/>
          <w:szCs w:val="22"/>
        </w:rPr>
        <w:t xml:space="preserve">(f) costs of maintaining, repairing, and replacing Base Building systems, including HVAC, electrical, plumbing, elevator, fire protection, and life safety systems;</w:t>
      </w:r>
    </w:p>
    <w:p>
      <w:pPr>
        <w:spacing w:after="100"/>
        <w:ind w:left="720"/>
        <w:jc w:val="both"/>
      </w:pPr>
      <w:r>
        <w:rPr>
          <w:rFonts w:ascii="Calibri" w:cs="Calibri" w:eastAsia="Calibri" w:hAnsi="Calibri"/>
          <w:sz w:val="22"/>
          <w:szCs w:val="22"/>
        </w:rPr>
        <w:t xml:space="preserve">(g) costs of security services, access control systems, and surveillance equipment;</w:t>
      </w:r>
    </w:p>
    <w:p>
      <w:pPr>
        <w:spacing w:after="100"/>
        <w:ind w:left="720"/>
        <w:jc w:val="both"/>
      </w:pPr>
      <w:r>
        <w:rPr>
          <w:rFonts w:ascii="Calibri" w:cs="Calibri" w:eastAsia="Calibri" w:hAnsi="Calibri"/>
          <w:sz w:val="22"/>
          <w:szCs w:val="22"/>
        </w:rPr>
        <w:t xml:space="preserve">(h) premiums for insurance maintained by Landlord under Section 10.6, including property insurance, commercial general liability insurance, earthquake insurance (if carried), flood insurance (if carried), and umbrella/excess liability insurance;</w:t>
      </w:r>
    </w:p>
    <w:p>
      <w:pPr>
        <w:spacing w:after="100"/>
        <w:ind w:left="720"/>
        <w:jc w:val="both"/>
      </w:pPr>
      <w:r>
        <w:rPr>
          <w:rFonts w:ascii="Calibri" w:cs="Calibri" w:eastAsia="Calibri" w:hAnsi="Calibri"/>
          <w:sz w:val="22"/>
          <w:szCs w:val="22"/>
        </w:rPr>
        <w:t xml:space="preserve">(i) costs of licenses, permits, and inspection fees required for the operation of the Building;</w:t>
      </w:r>
    </w:p>
    <w:p>
      <w:pPr>
        <w:spacing w:after="100"/>
        <w:ind w:left="720"/>
        <w:jc w:val="both"/>
      </w:pPr>
      <w:r>
        <w:rPr>
          <w:rFonts w:ascii="Calibri" w:cs="Calibri" w:eastAsia="Calibri" w:hAnsi="Calibri"/>
          <w:sz w:val="22"/>
          <w:szCs w:val="22"/>
        </w:rPr>
        <w:t xml:space="preserve">(j) capital expenditures, amortized as provided in Section 7.7;</w:t>
      </w:r>
    </w:p>
    <w:p>
      <w:pPr>
        <w:spacing w:after="100"/>
        <w:ind w:left="720"/>
        <w:jc w:val="both"/>
      </w:pPr>
      <w:r>
        <w:rPr>
          <w:rFonts w:ascii="Calibri" w:cs="Calibri" w:eastAsia="Calibri" w:hAnsi="Calibri"/>
          <w:sz w:val="22"/>
          <w:szCs w:val="22"/>
        </w:rPr>
        <w:t xml:space="preserve">(k) accounting, legal, and consulting fees incurred in connection with the operation and management of the Building (excluding fees incurred in connection with disputes with specific tenants or in connection with leasing, financing, or sale transactions);</w:t>
      </w:r>
    </w:p>
    <w:p>
      <w:pPr>
        <w:spacing w:after="100"/>
        <w:ind w:left="720"/>
        <w:jc w:val="both"/>
      </w:pPr>
      <w:r>
        <w:rPr>
          <w:rFonts w:ascii="Calibri" w:cs="Calibri" w:eastAsia="Calibri" w:hAnsi="Calibri"/>
          <w:sz w:val="22"/>
          <w:szCs w:val="22"/>
        </w:rPr>
        <w:t xml:space="preserve">(l) costs of snow and ice removal, deicing, and weather-related maintenance;</w:t>
      </w:r>
    </w:p>
    <w:p>
      <w:pPr>
        <w:spacing w:after="100"/>
        <w:ind w:left="720"/>
        <w:jc w:val="both"/>
      </w:pPr>
      <w:r>
        <w:rPr>
          <w:rFonts w:ascii="Calibri" w:cs="Calibri" w:eastAsia="Calibri" w:hAnsi="Calibri"/>
          <w:sz w:val="22"/>
          <w:szCs w:val="22"/>
        </w:rPr>
        <w:t xml:space="preserve">(m) costs of complying with Applicable Laws first enacted or becoming effective after the Base Year; and</w:t>
      </w:r>
    </w:p>
    <w:p>
      <w:pPr>
        <w:spacing w:after="100"/>
        <w:ind w:left="720"/>
        <w:jc w:val="both"/>
      </w:pPr>
      <w:r>
        <w:rPr>
          <w:rFonts w:ascii="Calibri" w:cs="Calibri" w:eastAsia="Calibri" w:hAnsi="Calibri"/>
          <w:sz w:val="22"/>
          <w:szCs w:val="22"/>
        </w:rPr>
        <w:t xml:space="preserve">(n) any other costs or expenses that would be considered operating expenses under generally accepted accounting principles consistently applied to comparable first-class office buildings in the [MARKET AREA].</w:t>
      </w:r>
    </w:p>
    <w:p>
      <w:pPr>
        <w:spacing w:after="120" w:before="240"/>
      </w:pPr>
      <w:r>
        <w:rPr>
          <w:rFonts w:ascii="Calibri" w:cs="Calibri" w:eastAsia="Calibri" w:hAnsi="Calibri"/>
          <w:b/>
          <w:bCs/>
          <w:sz w:val="22"/>
          <w:szCs w:val="22"/>
        </w:rPr>
        <w:t xml:space="preserve">Section 7.3. Base Year; Expense Stop</w:t>
      </w:r>
    </w:p>
    <w:p>
      <w:pPr>
        <w:spacing w:after="120"/>
        <w:jc w:val="both"/>
      </w:pPr>
      <w:r>
        <w:rPr>
          <w:rFonts w:ascii="Calibri" w:cs="Calibri" w:eastAsia="Calibri" w:hAnsi="Calibri"/>
          <w:sz w:val="22"/>
          <w:szCs w:val="22"/>
        </w:rPr>
        <w:t xml:space="preserve">Tenant's obligation to pay Tenant's Pro Rata Share of Operating Expenses is calculated using a Base Year methodology. The Base Year for Operating Expenses is the calendar year specified in the Cover Sheet. If, during the Base Year, the Building is less than [OCCUPANCY THRESHOLD, e.g., ninety-five percent (95%)] occupied, Operating Expenses for the Base Year shall be adjusted ("grossed up") to reflect the level of Operating Expenses that would have been incurred had the Building been [OCCUPANCY THRESHOLD]% occupied and all tenants were utilizing Building Standard services, and such grossed-up amount shall be used as the Base Year amount for purposes of calculating the Expense Excess. The Base Year amount shall not be reduced by reason of any unusual, nonrecurring, or extraordinary expenses incurred during the Base Year, and Landlord shall have the right to normalize the Base Year amount to exclude such items.</w:t>
      </w:r>
    </w:p>
    <w:p>
      <w:pPr>
        <w:spacing w:after="120" w:before="240"/>
      </w:pPr>
      <w:r>
        <w:rPr>
          <w:rFonts w:ascii="Calibri" w:cs="Calibri" w:eastAsia="Calibri" w:hAnsi="Calibri"/>
          <w:b/>
          <w:bCs/>
          <w:sz w:val="22"/>
          <w:szCs w:val="22"/>
        </w:rPr>
        <w:t xml:space="preserve">Section 7.4. Gross-Up Adjustment</w:t>
      </w:r>
    </w:p>
    <w:p>
      <w:pPr>
        <w:spacing w:after="120"/>
        <w:jc w:val="both"/>
      </w:pPr>
      <w:r>
        <w:rPr>
          <w:rFonts w:ascii="Calibri" w:cs="Calibri" w:eastAsia="Calibri" w:hAnsi="Calibri"/>
          <w:sz w:val="22"/>
          <w:szCs w:val="22"/>
        </w:rPr>
        <w:t xml:space="preserve">If, during any calendar year during the Lease Term (including the Base Year), the Building is less than [OCCUPANCY THRESHOLD]% occupied, or if any tenant is separately paying for services that would otherwise be included in Operating Expenses, Landlord shall adjust ("gross up") the variable components of Operating Expenses for such year to reflect the level of Operating Expenses that would have been incurred had the Building been [OCCUPANCY THRESHOLD]% occupied and all tenants were utilizing Building Standard services. Fixed components of Operating Expenses (such as insurance premiums, management fees calculated as a percentage of gross revenues, and property-level assessments) shall not be grossed up. The gross-up calculation shall be performed in accordance with generally accepted accounting principles consistently applied.</w:t>
      </w:r>
    </w:p>
    <w:p>
      <w:pPr>
        <w:spacing w:after="120" w:before="240"/>
      </w:pPr>
      <w:r>
        <w:rPr>
          <w:rFonts w:ascii="Calibri" w:cs="Calibri" w:eastAsia="Calibri" w:hAnsi="Calibri"/>
          <w:b/>
          <w:bCs/>
          <w:sz w:val="22"/>
          <w:szCs w:val="22"/>
        </w:rPr>
        <w:t xml:space="preserve">Section 7.5. Management Fee</w:t>
      </w:r>
    </w:p>
    <w:p>
      <w:pPr>
        <w:spacing w:after="120"/>
        <w:jc w:val="both"/>
      </w:pPr>
      <w:r>
        <w:rPr>
          <w:rFonts w:ascii="Calibri" w:cs="Calibri" w:eastAsia="Calibri" w:hAnsi="Calibri"/>
          <w:sz w:val="22"/>
          <w:szCs w:val="22"/>
        </w:rPr>
        <w:t xml:space="preserve">Operating Expenses shall include a management fee payable to Landlord's property manager in an amount not to exceed [MANAGEMENT FEE CAP, e.g., three percent (3%)] of gross revenues of the Building (excluding proceeds from sale, financing, or insurance claims). If Landlord self-manages the Building, Landlord may impute a management fee at market rates, not to exceed [MANAGEMENT FEE CAP]% of gross revenues.</w:t>
      </w:r>
    </w:p>
    <w:p>
      <w:pPr>
        <w:spacing w:after="120" w:before="240"/>
      </w:pPr>
      <w:r>
        <w:rPr>
          <w:rFonts w:ascii="Calibri" w:cs="Calibri" w:eastAsia="Calibri" w:hAnsi="Calibri"/>
          <w:b/>
          <w:bCs/>
          <w:sz w:val="22"/>
          <w:szCs w:val="22"/>
        </w:rPr>
        <w:t xml:space="preserve">Section 7.6. Controllable Expense Cap</w:t>
      </w:r>
    </w:p>
    <w:p>
      <w:pPr>
        <w:spacing w:after="120"/>
        <w:jc w:val="both"/>
      </w:pPr>
      <w:r>
        <w:rPr>
          <w:rFonts w:ascii="Calibri" w:cs="Calibri" w:eastAsia="Calibri" w:hAnsi="Calibri"/>
          <w:sz w:val="22"/>
          <w:szCs w:val="22"/>
        </w:rPr>
        <w:t xml:space="preserve">Notwithstanding anything to the contrary in this Article 7, the aggregate amount of Controllable Expenses included in Operating Expenses for any calendar year during the Lease Term shall not exceed the aggregate amount of Controllable Expenses included in Operating Expenses for the immediately preceding calendar year increased by [CAP PERCENTAGE, e.g., five percent (5%)] (the "Controllable Expense Cap"). The Controllable Expense Cap shall be applied on a cumulative, compounding basis (i.e., if actual Controllable Expenses in a given year are less than the cap, the cap for the following year shall be calculated based on the actual Controllable Expenses, not the cap amount). For the avoidance of doubt, the Controllable Expense Cap shall not limit Landlord's actual expenditure of Controllable Expenses; rather, it shall limit only the amount that may be passed through to Tenant as Operating Expenses.</w:t>
      </w:r>
    </w:p>
    <w:p>
      <w:pPr>
        <w:spacing w:after="120" w:before="240"/>
      </w:pPr>
      <w:r>
        <w:rPr>
          <w:rFonts w:ascii="Calibri" w:cs="Calibri" w:eastAsia="Calibri" w:hAnsi="Calibri"/>
          <w:b/>
          <w:bCs/>
          <w:sz w:val="22"/>
          <w:szCs w:val="22"/>
        </w:rPr>
        <w:t xml:space="preserve">Section 7.7. Capital Expenditures</w:t>
      </w:r>
    </w:p>
    <w:p>
      <w:pPr>
        <w:spacing w:after="120"/>
        <w:jc w:val="both"/>
      </w:pPr>
      <w:r>
        <w:rPr>
          <w:rFonts w:ascii="Calibri" w:cs="Calibri" w:eastAsia="Calibri" w:hAnsi="Calibri"/>
          <w:sz w:val="22"/>
          <w:szCs w:val="22"/>
        </w:rPr>
        <w:t xml:space="preserve">Capital expenditures incurred by Landlord shall be included in Operating Expenses only to the extent amortized over their useful life in accordance with generally accepted accounting principles, together with interest on the unamortized balance at the Interest Rate. Notwithstanding the foregoing, capital expenditures shall be included in Operating Expenses only if they are (a) required to comply with Applicable Laws first enacted or first becoming applicable to the Building after the Base Year, (b) reasonably intended to reduce Operating Expenses (in which case, the annual amortized amount included in Operating Expenses shall not exceed the reasonably estimated annual savings), or (c) necessary to maintain the Building in the condition and character of a first-class office building in the [MARKET AREA]. Capital expenditures made to (i) correct construction defects, (ii) expand the Building, or (iii) prepare space for a specific tenant shall not be included in Operating Expenses.</w:t>
      </w:r>
    </w:p>
    <w:p>
      <w:pPr>
        <w:spacing w:after="120" w:before="240"/>
      </w:pPr>
      <w:r>
        <w:rPr>
          <w:rFonts w:ascii="Calibri" w:cs="Calibri" w:eastAsia="Calibri" w:hAnsi="Calibri"/>
          <w:b/>
          <w:bCs/>
          <w:sz w:val="22"/>
          <w:szCs w:val="22"/>
        </w:rPr>
        <w:t xml:space="preserve">Section 7.8. Estimates and Reconciliation</w:t>
      </w:r>
    </w:p>
    <w:p>
      <w:pPr>
        <w:spacing w:after="120"/>
        <w:jc w:val="both"/>
      </w:pPr>
      <w:r>
        <w:rPr>
          <w:rFonts w:ascii="Calibri" w:cs="Calibri" w:eastAsia="Calibri" w:hAnsi="Calibri"/>
          <w:sz w:val="22"/>
          <w:szCs w:val="22"/>
        </w:rPr>
        <w:t xml:space="preserve">Prior to the commencement of each calendar year (or as soon thereafter as reasonably practicable), Landlord shall deliver to Tenant a written estimate of Operating Expenses for the forthcoming year and the estimated Expense Excess, together with a reasonably detailed breakdown of the components thereof. Tenant shall pay one-twelfth (1/12) of the estimated annual Expense Excess on the first day of each calendar month, commencing on the later of (a) the Rent Commencement Date, and (b) the first day of the calendar year following the Base Year. Within [NUMBER, e.g., one hundred twenty (120)] days after the end of each calendar year, Landlord shall deliver to Tenant a written statement (the "Reconciliation Statement") setting forth the actual Operating Expenses for the prior calendar year, the actual Expense Excess, and a comparison of the actual Expense Excess to the estimated payments made by Tenant. If the actual Expense Excess exceeds the estimated payments, Tenant shall pay the deficiency within thirty (30) days after delivery of the Reconciliation Statement. If the estimated payments exceed the actual Expense Excess, Landlord shall credit the overpayment against the next installment(s) of Tenant's Pro Rata Share, or, if the Lease Term has expired, refund the overpayment within thirty (30) days.</w:t>
      </w:r>
    </w:p>
    <w:p>
      <w:pPr>
        <w:spacing w:after="120" w:before="240"/>
      </w:pPr>
      <w:r>
        <w:rPr>
          <w:rFonts w:ascii="Calibri" w:cs="Calibri" w:eastAsia="Calibri" w:hAnsi="Calibri"/>
          <w:b/>
          <w:bCs/>
          <w:sz w:val="22"/>
          <w:szCs w:val="22"/>
        </w:rPr>
        <w:t xml:space="preserve">Section 7.9. Audit Rights</w:t>
      </w:r>
    </w:p>
    <w:p>
      <w:pPr>
        <w:spacing w:after="120"/>
        <w:jc w:val="both"/>
      </w:pPr>
      <w:r>
        <w:rPr>
          <w:rFonts w:ascii="Calibri" w:cs="Calibri" w:eastAsia="Calibri" w:hAnsi="Calibri"/>
          <w:sz w:val="22"/>
          <w:szCs w:val="22"/>
        </w:rPr>
        <w:t xml:space="preserve">Tenant shall have the right, exercisable not more than once in any twelve (12) month period, to audit or review Landlord's books and records relating to Operating Expenses for the immediately preceding calendar year. Tenant shall exercise its audit right by delivering written notice to Landlord within [NUMBER, e.g., one hundred eighty (180)] days after receipt of the applicable Reconciliation Statement. The audit shall be conducted at Landlord's office (or such other location where the applicable records are maintained) during normal business hours, upon reasonable advance notice, by a certified public accountant or qualified commercial real estate auditor designated by Tenant; provided, however, that the auditor shall not be engaged on a contingency fee basis. Landlord shall make available to Tenant's auditor all books, records, invoices, contracts, and supporting documentation reasonably necessary to verify Operating Expenses. If the audit reveals that Landlord overstated Operating Expenses by more than [AUDIT THRESHOLD, e.g., five percent (5%)] for the audited year, Landlord shall reimburse Tenant for the reasonable cost of the audit (not to exceed $[AUDIT COST CAP]) in addition to refunding the overpayment. Any dispute regarding Operating Expenses that cannot be resolved by the parties within thirty (30) days after completion of the audit shall be submitted to an independent certified public accountant mutually agreed upon by the parties, whose determination shall be binding.</w:t>
      </w:r>
    </w:p>
    <w:p>
      <w:pPr>
        <w:spacing w:after="120" w:before="240"/>
      </w:pPr>
      <w:r>
        <w:rPr>
          <w:rFonts w:ascii="Calibri" w:cs="Calibri" w:eastAsia="Calibri" w:hAnsi="Calibri"/>
          <w:b/>
          <w:bCs/>
          <w:sz w:val="22"/>
          <w:szCs w:val="22"/>
        </w:rPr>
        <w:t xml:space="preserve">Section 7.10. Exclusions from Operating Expenses</w:t>
      </w:r>
    </w:p>
    <w:p>
      <w:pPr>
        <w:spacing w:after="120"/>
        <w:jc w:val="both"/>
      </w:pPr>
      <w:r>
        <w:rPr>
          <w:rFonts w:ascii="Calibri" w:cs="Calibri" w:eastAsia="Calibri" w:hAnsi="Calibri"/>
          <w:sz w:val="22"/>
          <w:szCs w:val="22"/>
        </w:rPr>
        <w:t xml:space="preserve">Notwithstanding anything to the contrary in this Article 7, Operating Expenses shall not include: (a) costs of capital improvements, except as provided in Section 7.7; (b) depreciation of the Building; (c) debt service (principal and interest) on any Mortgage; (d) ground lease rent; (e) leasing commissions, tenant improvement costs, and other costs of leasing space in the Building; (f) costs of correcting defects in the original construction of the Building; (g) costs of renovating or improving space for specific tenants; (h) costs incurred in connection with the sale, financing, or refinancing of the Building; (i) fines, penalties, and interest resulting from Landlord's violation of Applicable Laws; (j) Landlord's general corporate overhead not directly attributable to the Building; (k) costs reimbursed by insurance proceeds, warranties, or condemnation awards; (l) costs attributable to Landlord's charitable or political contributions; (m) the cost of any artwork, sculptures, or decorative items; (n) costs of investigating or remediating Hazardous Materials not caused by Tenant; (o) wages and benefits for employees above the grade of building manager; and (p) any costs that are duplicative of other costs already included in Operating Expenses.</w:t>
      </w:r>
    </w:p>
    <w:p>
      <w:pPr>
        <w:pageBreakBefore/>
        <w:spacing w:after="200" w:before="120"/>
        <w:jc w:val="center"/>
      </w:pPr>
      <w:r>
        <w:rPr>
          <w:rFonts w:ascii="Calibri" w:cs="Calibri" w:eastAsia="Calibri" w:hAnsi="Calibri"/>
          <w:b/>
          <w:bCs/>
          <w:sz w:val="26"/>
          <w:szCs w:val="26"/>
        </w:rPr>
        <w:t xml:space="preserve">ARTICLE 8 — SERVICES, MAINTENANCE, AND REPAIR</w:t>
      </w:r>
    </w:p>
    <w:p>
      <w:pPr>
        <w:spacing w:after="120" w:before="240"/>
      </w:pPr>
      <w:r>
        <w:rPr>
          <w:rFonts w:ascii="Calibri" w:cs="Calibri" w:eastAsia="Calibri" w:hAnsi="Calibri"/>
          <w:b/>
          <w:bCs/>
          <w:sz w:val="22"/>
          <w:szCs w:val="22"/>
        </w:rPr>
        <w:t xml:space="preserve">Section 8.1. Landlord's Structural and Exterior Obligations</w:t>
      </w:r>
    </w:p>
    <w:p>
      <w:pPr>
        <w:spacing w:after="120"/>
        <w:jc w:val="both"/>
      </w:pPr>
      <w:r>
        <w:rPr>
          <w:rFonts w:ascii="Calibri" w:cs="Calibri" w:eastAsia="Calibri" w:hAnsi="Calibri"/>
          <w:sz w:val="22"/>
          <w:szCs w:val="22"/>
        </w:rPr>
        <w:t xml:space="preserve">Throughout the Lease Term, Landlord shall maintain in good order, condition, and repair (a) the structural components of the Building, including the foundation, structural columns, beams, load-bearing walls, floor slabs, and structural roof deck; (b) the exterior walls, windows, curtain wall, and facade of the Building; (c) the roof membrane, flashing, and drainage systems; and (d) all Common Areas, driveways, sidewalks, landscaping, and parking facilities. The cost of such maintenance and repair shall be included in Operating Expenses, except that the cost of repairs necessitated by the negligence or willful misconduct of a specific tenant shall be charged to such tenant. Landlord shall respond to Tenant's reports of structural or exterior deficiencies within a commercially reasonable time, and shall complete necessary repairs with reasonable diligence, taking into account the nature and severity of the condition.</w:t>
      </w:r>
    </w:p>
    <w:p>
      <w:pPr>
        <w:spacing w:after="120" w:before="240"/>
      </w:pPr>
      <w:r>
        <w:rPr>
          <w:rFonts w:ascii="Calibri" w:cs="Calibri" w:eastAsia="Calibri" w:hAnsi="Calibri"/>
          <w:b/>
          <w:bCs/>
          <w:sz w:val="22"/>
          <w:szCs w:val="22"/>
        </w:rPr>
        <w:t xml:space="preserve">Section 8.2. Common Area Maintenance</w:t>
      </w:r>
    </w:p>
    <w:p>
      <w:pPr>
        <w:spacing w:after="120"/>
        <w:jc w:val="both"/>
      </w:pPr>
      <w:r>
        <w:rPr>
          <w:rFonts w:ascii="Calibri" w:cs="Calibri" w:eastAsia="Calibri" w:hAnsi="Calibri"/>
          <w:sz w:val="22"/>
          <w:szCs w:val="22"/>
        </w:rPr>
        <w:t xml:space="preserve">Landlord shall maintain the Common Areas in a clean, safe, and first-class condition consistent with comparable office buildings in the [MARKET AREA]. Common Area maintenance shall include regular cleaning of lobbies, corridors, restrooms, and elevator cabs; maintenance and repair of elevators, escalators, and stairways; lighting and signage; refuse removal and recycling; snow and ice removal; pest control; and security services. Landlord shall have the right to temporarily close portions of the Common Areas for maintenance, repair, or improvement, provided that Landlord uses commercially reasonable efforts to minimize disruption to Tenant's access and business operations and provides reasonable advance notice to Tenant (except in cases of emergency).</w:t>
      </w:r>
    </w:p>
    <w:p>
      <w:pPr>
        <w:spacing w:after="120" w:before="240"/>
      </w:pPr>
      <w:r>
        <w:rPr>
          <w:rFonts w:ascii="Calibri" w:cs="Calibri" w:eastAsia="Calibri" w:hAnsi="Calibri"/>
          <w:b/>
          <w:bCs/>
          <w:sz w:val="22"/>
          <w:szCs w:val="22"/>
        </w:rPr>
        <w:t xml:space="preserve">Section 8.3. Building Systems</w:t>
      </w:r>
    </w:p>
    <w:p>
      <w:pPr>
        <w:spacing w:after="120"/>
        <w:jc w:val="both"/>
      </w:pPr>
      <w:r>
        <w:rPr>
          <w:rFonts w:ascii="Calibri" w:cs="Calibri" w:eastAsia="Calibri" w:hAnsi="Calibri"/>
          <w:sz w:val="22"/>
          <w:szCs w:val="22"/>
        </w:rPr>
        <w:t xml:space="preserve">Landlord shall maintain, repair, and, when necessary, replace all Base Building systems serving the Premises and the Common Areas, including HVAC, electrical distribution (to the Premises electrical panels), plumbing, fire protection and suppression, life safety, elevator, and building automation systems. Landlord shall maintain a preventive maintenance program for all major Building systems and shall retain qualified service contractors for the maintenance and repair of elevators, HVAC equipment, fire protection systems, and other critical Building systems. The cost of Building systems maintenance and repair shall be included in Operating Expenses (subject to the capital expenditure provisions of Section 7.7).</w:t>
      </w:r>
    </w:p>
    <w:p>
      <w:pPr>
        <w:spacing w:after="120" w:before="240"/>
      </w:pPr>
      <w:r>
        <w:rPr>
          <w:rFonts w:ascii="Calibri" w:cs="Calibri" w:eastAsia="Calibri" w:hAnsi="Calibri"/>
          <w:b/>
          <w:bCs/>
          <w:sz w:val="22"/>
          <w:szCs w:val="22"/>
        </w:rPr>
        <w:t xml:space="preserve">Section 8.4. HVAC Services</w:t>
      </w:r>
    </w:p>
    <w:p>
      <w:pPr>
        <w:spacing w:after="120"/>
        <w:jc w:val="both"/>
      </w:pPr>
      <w:r>
        <w:rPr>
          <w:rFonts w:ascii="Calibri" w:cs="Calibri" w:eastAsia="Calibri" w:hAnsi="Calibri"/>
          <w:sz w:val="22"/>
          <w:szCs w:val="22"/>
        </w:rPr>
        <w:t xml:space="preserve">Landlord shall furnish HVAC service to the Premises during Building Hours sufficient to maintain comfortable temperatures for general office occupancy under normal conditions. The HVAC system shall be capable of maintaining interior temperatures between 68°F and 76°F when the outside temperature is within the ASHRAE design range for [CITY, STATE]. After-hours HVAC shall be available upon Tenant's request at the rate specified in the Cover Sheet, with a minimum request period of [MINIMUM HOURS, e.g., two (2)] hours. Tenant shall submit after-hours HVAC requests through Landlord's building management system or to the property management office by [NOTICE TIME, e.g., 3:00 PM on the preceding Business Day] (or such shorter period as Landlord may permit). If Tenant's heat-generating equipment (including server rooms, data centers, and high-density computing equipment) creates HVAC demands that exceed the base Building HVAC capacity, Tenant shall, at Tenant's sole cost and expense, install supplemental HVAC units to serve such areas, subject to Landlord's prior written approval of the specifications, location, and installation method.</w:t>
      </w:r>
    </w:p>
    <w:p>
      <w:pPr>
        <w:spacing w:after="120" w:before="240"/>
      </w:pPr>
      <w:r>
        <w:rPr>
          <w:rFonts w:ascii="Calibri" w:cs="Calibri" w:eastAsia="Calibri" w:hAnsi="Calibri"/>
          <w:b/>
          <w:bCs/>
          <w:sz w:val="22"/>
          <w:szCs w:val="22"/>
        </w:rPr>
        <w:t xml:space="preserve">Section 8.5. Electrical Service</w:t>
      </w:r>
    </w:p>
    <w:p>
      <w:pPr>
        <w:spacing w:after="120"/>
        <w:jc w:val="both"/>
      </w:pPr>
      <w:r>
        <w:rPr>
          <w:rFonts w:ascii="Calibri" w:cs="Calibri" w:eastAsia="Calibri" w:hAnsi="Calibri"/>
          <w:sz w:val="22"/>
          <w:szCs w:val="22"/>
        </w:rPr>
        <w:t xml:space="preserve">Landlord shall provide electrical service to the Premises at a capacity of [NUMBER] watts per rentable square foot of connected load (exclusive of HVAC and lighting), distributed to the Premises electrical panel(s). If Tenant requires electrical capacity in excess of the standard capacity, Tenant shall request Landlord's approval to install supplemental electrical service, which approval shall not be unreasonably withheld. Tenant shall bear all costs associated with supplemental electrical service, including the cost of additional transformers, distribution equipment, metering, conduit, and wiring, as well as ongoing consumption charges for excess usage. Landlord shall install a submeter or check meter for the Premises if (a) Tenant requests one, or (b) Landlord reasonably determines that Tenant's electrical consumption materially exceeds Building Standard levels. If Tenant's electrical usage is submetered, Tenant shall pay for such consumption at Landlord's cost of electricity (including demand charges, distribution charges, and applicable taxes and surcharges) within thirty (30) days after receipt of Landlord's invoice.</w:t>
      </w:r>
    </w:p>
    <w:p>
      <w:pPr>
        <w:spacing w:after="120" w:before="240"/>
      </w:pPr>
      <w:r>
        <w:rPr>
          <w:rFonts w:ascii="Calibri" w:cs="Calibri" w:eastAsia="Calibri" w:hAnsi="Calibri"/>
          <w:b/>
          <w:bCs/>
          <w:sz w:val="22"/>
          <w:szCs w:val="22"/>
        </w:rPr>
        <w:t xml:space="preserve">Section 8.6. Janitorial and Cleaning Services</w:t>
      </w:r>
    </w:p>
    <w:p>
      <w:pPr>
        <w:spacing w:after="120"/>
        <w:jc w:val="both"/>
      </w:pPr>
      <w:r>
        <w:rPr>
          <w:rFonts w:ascii="Calibri" w:cs="Calibri" w:eastAsia="Calibri" w:hAnsi="Calibri"/>
          <w:sz w:val="22"/>
          <w:szCs w:val="22"/>
        </w:rPr>
        <w:t xml:space="preserve">Landlord shall provide janitorial and cleaning services to the Premises five (5) nights per week (Monday through Friday, excluding holidays) in accordance with the cleaning specifications set forth in Exhibit F. Janitorial services shall include vacuuming, dusting, trash removal, restroom cleaning and restocking, and other services customary for first-class office buildings in the [MARKET AREA]. Day porter service shall be available during Building Hours for Common Area cleaning and restroom restocking. If Tenant requires supplemental or specialized cleaning services (including cleaning of Tenant's kitchen facilities, carpet shampooing, interior window cleaning, or cleaning of specialized equipment), Tenant shall arrange and pay for such services directly with a cleaning contractor reasonably approved by Landlord, or request that Landlord provide such services at Tenant's expense.</w:t>
      </w:r>
    </w:p>
    <w:p>
      <w:pPr>
        <w:spacing w:after="120" w:before="240"/>
      </w:pPr>
      <w:r>
        <w:rPr>
          <w:rFonts w:ascii="Calibri" w:cs="Calibri" w:eastAsia="Calibri" w:hAnsi="Calibri"/>
          <w:b/>
          <w:bCs/>
          <w:sz w:val="22"/>
          <w:szCs w:val="22"/>
        </w:rPr>
        <w:t xml:space="preserve">Section 8.7. Tenant's Interior Maintenance</w:t>
      </w:r>
    </w:p>
    <w:p>
      <w:pPr>
        <w:spacing w:after="120"/>
        <w:jc w:val="both"/>
      </w:pPr>
      <w:r>
        <w:rPr>
          <w:rFonts w:ascii="Calibri" w:cs="Calibri" w:eastAsia="Calibri" w:hAnsi="Calibri"/>
          <w:sz w:val="22"/>
          <w:szCs w:val="22"/>
        </w:rPr>
        <w:t xml:space="preserve">Tenant shall maintain the interior of the Premises (including all Tenant Improvements and Alterations) in good order, condition, and repair throughout the Lease Term, at Tenant's sole cost and expense. Tenant's maintenance obligations include, without limitation, (a) interior walls, ceilings, and floor coverings; (b) doors, hardware, and interior glass; (c) lighting fixtures and lamps (replacement of building-standard light tubes and ballasts within the Premises); (d) plumbing fixtures and connections within the Premises; (e) supplemental HVAC equipment installed by or for Tenant; (f) telecommunications equipment and cabling within the Premises; (g) kitchen and break room appliances and fixtures; and (h) any specialized improvements or equipment installed by or for Tenant. Tenant shall not make any repairs, alterations, or improvements to the Premises without Landlord's prior written consent, except for minor, non-structural, cosmetic repairs and maintenance that do not affect Building systems, do not require a building permit, and do not cost more than $[THRESHOLD, e.g., 25,000] in the aggregate in any twelve (12) month period.</w:t>
      </w:r>
    </w:p>
    <w:p>
      <w:pPr>
        <w:spacing w:after="120" w:before="240"/>
      </w:pPr>
      <w:r>
        <w:rPr>
          <w:rFonts w:ascii="Calibri" w:cs="Calibri" w:eastAsia="Calibri" w:hAnsi="Calibri"/>
          <w:b/>
          <w:bCs/>
          <w:sz w:val="22"/>
          <w:szCs w:val="22"/>
        </w:rPr>
        <w:t xml:space="preserve">Section 8.8. Self-Help Rights</w:t>
      </w:r>
    </w:p>
    <w:p>
      <w:pPr>
        <w:spacing w:after="120"/>
        <w:jc w:val="both"/>
      </w:pPr>
      <w:r>
        <w:rPr>
          <w:rFonts w:ascii="Calibri" w:cs="Calibri" w:eastAsia="Calibri" w:hAnsi="Calibri"/>
          <w:sz w:val="22"/>
          <w:szCs w:val="22"/>
        </w:rPr>
        <w:t xml:space="preserve">If Landlord fails to perform any obligation under this Article 8 that materially affects Tenant's use of the Premises, and such failure continues for [NUMBER, e.g., thirty (30)] days after Tenant delivers written notice to Landlord specifying the nature of the failure (or, in the case of an emergency threatening imminent harm to persons or property, such shorter period as is reasonable under the circumstances), Tenant may, but shall not be obligated to, perform such obligation on behalf of Landlord at Tenant's expense. Tenant's self-help right is subject to the following conditions: (a) Tenant shall use qualified, licensed contractors; (b) Tenant's work shall comply with all Applicable Laws; (c) Tenant shall not void any warranty maintained by Landlord; (d) Tenant shall promptly notify Landlord of any self-help action taken; and (e) Tenant's self-help shall be limited to the minimum work reasonably necessary to remedy the condition. If Tenant exercises its self-help right in accordance with this Section 8.8, Landlord shall reimburse Tenant for the reasonable, documented cost of such work within thirty (30) days after Tenant's delivery of invoices and supporting documentation, or Tenant may offset such amounts against the next installment(s) of Rent.</w:t>
      </w:r>
    </w:p>
    <w:p>
      <w:pPr>
        <w:spacing w:after="120" w:before="240"/>
      </w:pPr>
      <w:r>
        <w:rPr>
          <w:rFonts w:ascii="Calibri" w:cs="Calibri" w:eastAsia="Calibri" w:hAnsi="Calibri"/>
          <w:b/>
          <w:bCs/>
          <w:sz w:val="22"/>
          <w:szCs w:val="22"/>
        </w:rPr>
        <w:t xml:space="preserve">Section 8.9. Service Interruption; Abatement</w:t>
      </w:r>
    </w:p>
    <w:p>
      <w:pPr>
        <w:spacing w:after="120"/>
        <w:jc w:val="both"/>
      </w:pPr>
      <w:r>
        <w:rPr>
          <w:rFonts w:ascii="Calibri" w:cs="Calibri" w:eastAsia="Calibri" w:hAnsi="Calibri"/>
          <w:sz w:val="22"/>
          <w:szCs w:val="22"/>
        </w:rPr>
        <w:t xml:space="preserve">If any Essential Service (defined below) to the Premises is interrupted due to Landlord's negligence, Landlord's failure to maintain the Building systems, or any cause within Landlord's reasonable control (excluding casualty, condemnation, and Force Majeure), and such interruption (a) renders all or a material portion of the Premises untenantable for the Permitted Use, (b) continues for more than [NUMBER, e.g., five (5)] consecutive Business Days after Tenant delivers written notice to Landlord, and (c) Tenant actually ceases to use the affected portion of the Premises, then Base Rent and Tenant's Pro Rata Share of Operating Expenses shall abate proportionately for the period commencing on the [NUMBER]th consecutive Business Day of such interruption and continuing until the Essential Service is restored. "Essential Services" means (i) HVAC, (ii) electrical power, (iii) elevator service, (iv) water and sewer service, and (v) access to the Premises. If the interruption continues for more than [NUMBER, e.g., one hundred twenty (120)] consecutive days, Tenant may terminate this Lease by delivering written notice to Landlord within thirty (30) days after the expiration of such period.</w:t>
      </w:r>
    </w:p>
    <w:p>
      <w:pPr>
        <w:pageBreakBefore/>
        <w:spacing w:after="200" w:before="120"/>
        <w:jc w:val="center"/>
      </w:pPr>
      <w:r>
        <w:rPr>
          <w:rFonts w:ascii="Calibri" w:cs="Calibri" w:eastAsia="Calibri" w:hAnsi="Calibri"/>
          <w:b/>
          <w:bCs/>
          <w:sz w:val="26"/>
          <w:szCs w:val="26"/>
        </w:rPr>
        <w:t xml:space="preserve">ARTICLE 9 — LAW, ACCESSIBILITY, ENVIRONMENTAL, AND SUSTAINABILITY</w:t>
      </w:r>
    </w:p>
    <w:p>
      <w:pPr>
        <w:spacing w:after="120" w:before="240"/>
      </w:pPr>
      <w:r>
        <w:rPr>
          <w:rFonts w:ascii="Calibri" w:cs="Calibri" w:eastAsia="Calibri" w:hAnsi="Calibri"/>
          <w:b/>
          <w:bCs/>
          <w:sz w:val="22"/>
          <w:szCs w:val="22"/>
        </w:rPr>
        <w:t xml:space="preserve">Section 9.1. Compliance with Applicable Laws</w:t>
      </w:r>
    </w:p>
    <w:p>
      <w:pPr>
        <w:spacing w:after="120"/>
        <w:jc w:val="both"/>
      </w:pPr>
      <w:r>
        <w:rPr>
          <w:rFonts w:ascii="Calibri" w:cs="Calibri" w:eastAsia="Calibri" w:hAnsi="Calibri"/>
          <w:sz w:val="22"/>
          <w:szCs w:val="22"/>
        </w:rPr>
        <w:t xml:space="preserve">Tenant shall comply with all Applicable Laws in connection with Tenant's use and occupancy of the Premises, the conduct of Tenant's business therein, and the construction, installation, maintenance, and removal of all Tenant Improvements, Alterations, trade fixtures, and personal property. Landlord shall comply with all Applicable Laws with respect to the ownership, operation, and maintenance of the Building, the Common Areas, and the Base Building systems. Responsibility for compliance with Applicable Laws as between Landlord and Tenant shall be allocated as set forth in Exhibit F (Services and Repair Responsibility Matrix). If compliance with any Applicable Law requires modifications to the Premises that are structural in nature or that affect Base Building systems, Landlord shall perform such modifications at Landlord's expense (subject to inclusion in Operating Expenses to the extent permitted by Article 7), unless the compliance obligation is triggered by Tenant's specific use of the Premises (as opposed to general office use), in which case Tenant shall bear the cost.</w:t>
      </w:r>
    </w:p>
    <w:p>
      <w:pPr>
        <w:spacing w:after="120" w:before="240"/>
      </w:pPr>
      <w:r>
        <w:rPr>
          <w:rFonts w:ascii="Calibri" w:cs="Calibri" w:eastAsia="Calibri" w:hAnsi="Calibri"/>
          <w:b/>
          <w:bCs/>
          <w:sz w:val="22"/>
          <w:szCs w:val="22"/>
        </w:rPr>
        <w:t xml:space="preserve">Section 9.2. ADA and Accessibility Compliance</w:t>
      </w:r>
    </w:p>
    <w:p>
      <w:pPr>
        <w:spacing w:after="120"/>
        <w:jc w:val="both"/>
      </w:pPr>
      <w:r>
        <w:rPr>
          <w:rFonts w:ascii="Calibri" w:cs="Calibri" w:eastAsia="Calibri" w:hAnsi="Calibri"/>
          <w:sz w:val="22"/>
          <w:szCs w:val="22"/>
        </w:rPr>
        <w:t xml:space="preserve">Landlord represents and warrants that, as of the Delivery Date, the Common Areas and the Base Building comply with the ADA and all other applicable accessibility requirements. Landlord shall maintain such compliance throughout the Lease Term. Tenant shall be responsible for ADA compliance within the Premises, including compliance triggered by Tenant Improvements and Alterations. If modifications to the Common Areas or the Base Building are required by the ADA or other accessibility requirements as a result of Tenant Improvements, Alterations, or Tenant's specific use of the Premises, Tenant shall bear the cost of such modifications (which cost may be included in TI Costs to the extent the TI Allowance has not been exhausted). The parties shall cooperate in good faith to address any ADA compliance issues that affect both the Premises and the Common Areas.</w:t>
      </w:r>
    </w:p>
    <w:p>
      <w:pPr>
        <w:spacing w:after="120" w:before="240"/>
      </w:pPr>
      <w:r>
        <w:rPr>
          <w:rFonts w:ascii="Calibri" w:cs="Calibri" w:eastAsia="Calibri" w:hAnsi="Calibri"/>
          <w:b/>
          <w:bCs/>
          <w:sz w:val="22"/>
          <w:szCs w:val="22"/>
        </w:rPr>
        <w:t xml:space="preserve">Section 9.3. Preexisting Contamination</w:t>
      </w:r>
    </w:p>
    <w:p>
      <w:pPr>
        <w:spacing w:after="120"/>
        <w:jc w:val="both"/>
      </w:pPr>
      <w:r>
        <w:rPr>
          <w:rFonts w:ascii="Calibri" w:cs="Calibri" w:eastAsia="Calibri" w:hAnsi="Calibri"/>
          <w:sz w:val="22"/>
          <w:szCs w:val="22"/>
        </w:rPr>
        <w:t xml:space="preserve">Landlord represents and warrants that, to Landlord's actual knowledge, as of the Lease Date, (a) there are no Hazardous Materials present in, on, under, or about the Premises, the Building, or the Project in violation of Environmental Laws, except as disclosed in Exhibit B; (b) Landlord has not received any written notice from any governmental authority regarding any violation of Environmental Laws affecting the Premises, the Building, or the Project, except as disclosed in Exhibit B; and (c) there are no pending or threatened environmental claims, actions, or proceedings affecting the Premises, the Building, or the Project. Landlord shall indemnify, defend, and hold harmless Tenant from and against any claims, damages, losses, costs, and expenses (including reasonable attorneys' fees) arising from Hazardous Materials present in, on, or under the Premises, the Building, or the Project as of the Lease Date or introduced thereafter by Landlord or any other tenant or occupant (other than Tenant), except to the extent caused by Tenant or its agents, employees, contractors, or invitees.</w:t>
      </w:r>
    </w:p>
    <w:p>
      <w:pPr>
        <w:spacing w:after="120" w:before="240"/>
      </w:pPr>
      <w:r>
        <w:rPr>
          <w:rFonts w:ascii="Calibri" w:cs="Calibri" w:eastAsia="Calibri" w:hAnsi="Calibri"/>
          <w:b/>
          <w:bCs/>
          <w:sz w:val="22"/>
          <w:szCs w:val="22"/>
        </w:rPr>
        <w:t xml:space="preserve">Section 9.4. Tenant's Environmental Obligations</w:t>
      </w:r>
    </w:p>
    <w:p>
      <w:pPr>
        <w:spacing w:after="120"/>
        <w:jc w:val="both"/>
      </w:pPr>
      <w:r>
        <w:rPr>
          <w:rFonts w:ascii="Calibri" w:cs="Calibri" w:eastAsia="Calibri" w:hAnsi="Calibri"/>
          <w:sz w:val="22"/>
          <w:szCs w:val="22"/>
        </w:rPr>
        <w:t xml:space="preserve">Tenant shall comply with all Environmental Laws in connection with Tenant's use and occupancy of the Premises. Without limiting the foregoing, Tenant shall (a) obtain and maintain all environmental permits required for Tenant's operations; (b) properly store, handle, and dispose of all Hazardous Materials used by Tenant in accordance with Environmental Laws and the provisions of Section 3.5; (c) promptly notify Landlord of any release, spill, or discharge of Hazardous Materials in, on, or about the Premises or the Building; (d) promptly notify Landlord of any environmental claim, enforcement action, or investigation by any governmental authority relating to the Premises; and (e) at Tenant's sole cost and expense, remediate any contamination of the Premises, the Building, or the Project caused by Tenant or its agents, employees, contractors, or invitees.</w:t>
      </w:r>
    </w:p>
    <w:p>
      <w:pPr>
        <w:spacing w:after="120" w:before="240"/>
      </w:pPr>
      <w:r>
        <w:rPr>
          <w:rFonts w:ascii="Calibri" w:cs="Calibri" w:eastAsia="Calibri" w:hAnsi="Calibri"/>
          <w:b/>
          <w:bCs/>
          <w:sz w:val="22"/>
          <w:szCs w:val="22"/>
        </w:rPr>
        <w:t xml:space="preserve">Section 9.5. Environmental Investigations</w:t>
      </w:r>
    </w:p>
    <w:p>
      <w:pPr>
        <w:spacing w:after="120"/>
        <w:jc w:val="both"/>
      </w:pPr>
      <w:r>
        <w:rPr>
          <w:rFonts w:ascii="Calibri" w:cs="Calibri" w:eastAsia="Calibri" w:hAnsi="Calibri"/>
          <w:sz w:val="22"/>
          <w:szCs w:val="22"/>
        </w:rPr>
        <w:t xml:space="preserve">Landlord shall have the right, upon reasonable advance notice to Tenant (except in cases of emergency), to conduct environmental assessments, investigations, and testing in, on, under, and about the Premises and the Building at any time during the Lease Term, provided that Landlord uses commercially reasonable efforts to minimize disruption to Tenant's business. The cost of such assessments shall be included in Operating Expenses only to the extent not attributable to contamination caused by Tenant. Tenant shall cooperate with Landlord in connection with any environmental investigation and shall provide access to the Premises as reasonably requested. If an environmental investigation reveals contamination caused by Tenant, Tenant shall promptly remediate such contamination at Tenant's sole cost and expense to the satisfaction of all applicable governmental authorities.</w:t>
      </w:r>
    </w:p>
    <w:p>
      <w:pPr>
        <w:spacing w:after="120" w:before="240"/>
      </w:pPr>
      <w:r>
        <w:rPr>
          <w:rFonts w:ascii="Calibri" w:cs="Calibri" w:eastAsia="Calibri" w:hAnsi="Calibri"/>
          <w:b/>
          <w:bCs/>
          <w:sz w:val="22"/>
          <w:szCs w:val="22"/>
        </w:rPr>
        <w:t xml:space="preserve">Section 9.6. Energy Performance and Benchmarking</w:t>
      </w:r>
    </w:p>
    <w:p>
      <w:pPr>
        <w:spacing w:after="120"/>
        <w:jc w:val="both"/>
      </w:pPr>
      <w:r>
        <w:rPr>
          <w:rFonts w:ascii="Calibri" w:cs="Calibri" w:eastAsia="Calibri" w:hAnsi="Calibri"/>
          <w:sz w:val="22"/>
          <w:szCs w:val="22"/>
        </w:rPr>
        <w:t xml:space="preserve">Tenant shall cooperate with Landlord in connection with Landlord's compliance with any applicable energy benchmarking, disclosure, or performance standards required by Applicable Laws, including without limitation providing Landlord with Tenant's energy consumption data (either directly or through authorization to Landlord to obtain such data from utility providers) within thirty (30) days after Landlord's request. Tenant acknowledges that the Building [HAS ACHIEVED / IS PURSUING] [ENERGY STAR / LEED / OTHER GREEN BUILDING] certification and agrees not to take any action that would jeopardize such certification. If Tenant's operations result in energy consumption that causes the Building to fail to meet applicable energy performance standards, Tenant shall cooperate with Landlord to implement reasonable energy conservation measures within the Premises.</w:t>
      </w:r>
    </w:p>
    <w:p>
      <w:pPr>
        <w:spacing w:after="120" w:before="240"/>
      </w:pPr>
      <w:r>
        <w:rPr>
          <w:rFonts w:ascii="Calibri" w:cs="Calibri" w:eastAsia="Calibri" w:hAnsi="Calibri"/>
          <w:b/>
          <w:bCs/>
          <w:sz w:val="22"/>
          <w:szCs w:val="22"/>
        </w:rPr>
        <w:t xml:space="preserve">Section 9.7. Sustainability Cooperation</w:t>
      </w:r>
    </w:p>
    <w:p>
      <w:pPr>
        <w:spacing w:after="120"/>
        <w:jc w:val="both"/>
      </w:pPr>
      <w:r>
        <w:rPr>
          <w:rFonts w:ascii="Calibri" w:cs="Calibri" w:eastAsia="Calibri" w:hAnsi="Calibri"/>
          <w:sz w:val="22"/>
          <w:szCs w:val="22"/>
        </w:rPr>
        <w:t xml:space="preserve">Landlord and Tenant shall cooperate in good faith to promote sustainable building operations and to minimize the environmental impact of the Building's operations. Such cooperation shall include, without limitation, (a) participation in Landlord's recycling and waste reduction programs; (b) use of environmentally preferable cleaning products within the Premises; (c) compliance with Landlord's sustainable operations guidelines (to the extent reasonable and not materially adverse to Tenant's business operations); (d) reasonable cooperation with Landlord's efforts to obtain or maintain green building certifications; and (e) implementation of reasonable energy and water conservation measures within the Premises. Landlord shall not impose sustainability requirements that materially increase Tenant's costs of occupancy or materially interfere with Tenant's business operations without Tenant's consent, which shall not be unreasonably withheld.</w:t>
      </w:r>
    </w:p>
    <w:p>
      <w:pPr>
        <w:pageBreakBefore/>
        <w:spacing w:after="200" w:before="120"/>
        <w:jc w:val="center"/>
      </w:pPr>
      <w:r>
        <w:rPr>
          <w:rFonts w:ascii="Calibri" w:cs="Calibri" w:eastAsia="Calibri" w:hAnsi="Calibri"/>
          <w:b/>
          <w:bCs/>
          <w:sz w:val="26"/>
          <w:szCs w:val="26"/>
        </w:rPr>
        <w:t xml:space="preserve">ARTICLE 10 — INSURANCE, INDEMNITY, WAIVER OF SUBROGATION, AND DAMAGE</w:t>
      </w:r>
    </w:p>
    <w:p>
      <w:pPr>
        <w:spacing w:after="120" w:before="240"/>
      </w:pPr>
      <w:r>
        <w:rPr>
          <w:rFonts w:ascii="Calibri" w:cs="Calibri" w:eastAsia="Calibri" w:hAnsi="Calibri"/>
          <w:b/>
          <w:bCs/>
          <w:sz w:val="22"/>
          <w:szCs w:val="22"/>
        </w:rPr>
        <w:t xml:space="preserve">Section 10.1. Tenant's Property Insurance</w:t>
      </w:r>
    </w:p>
    <w:p>
      <w:pPr>
        <w:spacing w:after="120"/>
        <w:jc w:val="both"/>
      </w:pPr>
      <w:r>
        <w:rPr>
          <w:rFonts w:ascii="Calibri" w:cs="Calibri" w:eastAsia="Calibri" w:hAnsi="Calibri"/>
          <w:sz w:val="22"/>
          <w:szCs w:val="22"/>
        </w:rPr>
        <w:t xml:space="preserve">Throughout the Lease Term, Tenant shall maintain "all risk" or "special form" property insurance covering Tenant's personal property, trade fixtures, inventory, and Tenant Improvements and Alterations within the Premises, in an amount equal to the full replacement cost thereof, with a deductible not to exceed $[DEDUCTIBLE AMOUNT]. Such insurance shall include coverage for fire, extended coverage perils, vandalism, malicious mischief, sprinkler leakage, and such other perils as are customarily covered under all-risk property insurance policies for comparable commercial office tenants. The proceeds of such insurance shall be used by Tenant to repair, restore, or replace the damaged or destroyed property.</w:t>
      </w:r>
    </w:p>
    <w:p>
      <w:pPr>
        <w:spacing w:after="120" w:before="240"/>
      </w:pPr>
      <w:r>
        <w:rPr>
          <w:rFonts w:ascii="Calibri" w:cs="Calibri" w:eastAsia="Calibri" w:hAnsi="Calibri"/>
          <w:b/>
          <w:bCs/>
          <w:sz w:val="22"/>
          <w:szCs w:val="22"/>
        </w:rPr>
        <w:t xml:space="preserve">Section 10.2. Commercial General Liability Insurance</w:t>
      </w:r>
    </w:p>
    <w:p>
      <w:pPr>
        <w:spacing w:after="120"/>
        <w:jc w:val="both"/>
      </w:pPr>
      <w:r>
        <w:rPr>
          <w:rFonts w:ascii="Calibri" w:cs="Calibri" w:eastAsia="Calibri" w:hAnsi="Calibri"/>
          <w:sz w:val="22"/>
          <w:szCs w:val="22"/>
        </w:rPr>
        <w:t xml:space="preserve">Throughout the Lease Term, Tenant shall maintain commercial general liability insurance (occurrence form) covering claims arising out of Tenant's use and occupancy of the Premises, with limits of not less than $[CGL PER OCCURRENCE, e.g., 2,000,000] per occurrence and $[CGL AGGREGATE, e.g., 5,000,000] in the aggregate, including coverage for bodily injury, property damage, personal and advertising injury, contractual liability, products and completed operations liability, and fire legal liability (with a sublimit of not less than $[FIRE LEGAL LIMIT, e.g., 1,000,000]). The policy shall name Landlord, Landlord's property manager, Landlord's Lender(s), and such other parties as Landlord may reasonably designate from time to time as additional insureds (on a primary and non-contributory basis).</w:t>
      </w:r>
    </w:p>
    <w:p>
      <w:pPr>
        <w:spacing w:after="120" w:before="240"/>
      </w:pPr>
      <w:r>
        <w:rPr>
          <w:rFonts w:ascii="Calibri" w:cs="Calibri" w:eastAsia="Calibri" w:hAnsi="Calibri"/>
          <w:b/>
          <w:bCs/>
          <w:sz w:val="22"/>
          <w:szCs w:val="22"/>
        </w:rPr>
        <w:t xml:space="preserve">Section 10.3. Business Interruption Insurance</w:t>
      </w:r>
    </w:p>
    <w:p>
      <w:pPr>
        <w:spacing w:after="120"/>
        <w:jc w:val="both"/>
      </w:pPr>
      <w:r>
        <w:rPr>
          <w:rFonts w:ascii="Calibri" w:cs="Calibri" w:eastAsia="Calibri" w:hAnsi="Calibri"/>
          <w:sz w:val="22"/>
          <w:szCs w:val="22"/>
        </w:rPr>
        <w:t xml:space="preserve">Throughout the Lease Term, Tenant shall maintain business interruption and extra expense insurance in an amount sufficient to cover Tenant's Rent obligations and continuing expenses for a period of not less than [NUMBER, e.g., twelve (12)] months following a covered loss. Such coverage shall include loss of income, continuing expenses, and the cost of temporary relocation.</w:t>
      </w:r>
    </w:p>
    <w:p>
      <w:pPr>
        <w:spacing w:after="120" w:before="240"/>
      </w:pPr>
      <w:r>
        <w:rPr>
          <w:rFonts w:ascii="Calibri" w:cs="Calibri" w:eastAsia="Calibri" w:hAnsi="Calibri"/>
          <w:b/>
          <w:bCs/>
          <w:sz w:val="22"/>
          <w:szCs w:val="22"/>
        </w:rPr>
        <w:t xml:space="preserve">Section 10.4. Workers' Compensation and Employer's Liability</w:t>
      </w:r>
    </w:p>
    <w:p>
      <w:pPr>
        <w:spacing w:after="120"/>
        <w:jc w:val="both"/>
      </w:pPr>
      <w:r>
        <w:rPr>
          <w:rFonts w:ascii="Calibri" w:cs="Calibri" w:eastAsia="Calibri" w:hAnsi="Calibri"/>
          <w:sz w:val="22"/>
          <w:szCs w:val="22"/>
        </w:rPr>
        <w:t xml:space="preserve">Throughout the Lease Term, Tenant shall maintain workers' compensation insurance as required by Applicable Laws, and employer's liability insurance with limits of not less than $[WC LIMIT, e.g., 1,000,000] per accident, $[WC DISEASE LIMIT] per employee (disease), and $[WC AGGREGATE] aggregate (disease).</w:t>
      </w:r>
    </w:p>
    <w:p>
      <w:pPr>
        <w:spacing w:after="120" w:before="240"/>
      </w:pPr>
      <w:r>
        <w:rPr>
          <w:rFonts w:ascii="Calibri" w:cs="Calibri" w:eastAsia="Calibri" w:hAnsi="Calibri"/>
          <w:b/>
          <w:bCs/>
          <w:sz w:val="22"/>
          <w:szCs w:val="22"/>
        </w:rPr>
        <w:t xml:space="preserve">Section 10.5. Umbrella/Excess Liability Insurance</w:t>
      </w:r>
    </w:p>
    <w:p>
      <w:pPr>
        <w:spacing w:after="120"/>
        <w:jc w:val="both"/>
      </w:pPr>
      <w:r>
        <w:rPr>
          <w:rFonts w:ascii="Calibri" w:cs="Calibri" w:eastAsia="Calibri" w:hAnsi="Calibri"/>
          <w:sz w:val="22"/>
          <w:szCs w:val="22"/>
        </w:rPr>
        <w:t xml:space="preserve">Throughout the Lease Term, Tenant shall maintain umbrella or excess liability insurance with limits of not less than $[UMBRELLA LIMIT, e.g., 5,000,000] per occurrence and in the aggregate, providing excess coverage over the commercial general liability, automobile liability, and employer's liability policies required hereunder. The umbrella policy shall follow the form of the underlying policies and shall name the additional insureds required under Section 10.2.</w:t>
      </w:r>
    </w:p>
    <w:p>
      <w:pPr>
        <w:spacing w:after="120" w:before="240"/>
      </w:pPr>
      <w:r>
        <w:rPr>
          <w:rFonts w:ascii="Calibri" w:cs="Calibri" w:eastAsia="Calibri" w:hAnsi="Calibri"/>
          <w:b/>
          <w:bCs/>
          <w:sz w:val="22"/>
          <w:szCs w:val="22"/>
        </w:rPr>
        <w:t xml:space="preserve">Section 10.6. Landlord's Insurance</w:t>
      </w:r>
    </w:p>
    <w:p>
      <w:pPr>
        <w:spacing w:after="120"/>
        <w:jc w:val="both"/>
      </w:pPr>
      <w:r>
        <w:rPr>
          <w:rFonts w:ascii="Calibri" w:cs="Calibri" w:eastAsia="Calibri" w:hAnsi="Calibri"/>
          <w:sz w:val="22"/>
          <w:szCs w:val="22"/>
        </w:rPr>
        <w:t xml:space="preserve">Throughout the Lease Term, Landlord shall maintain (a) "all risk" or "special form" property insurance covering the Building (excluding Tenant Improvements and Tenant's personal property) in an amount equal to the full replacement cost thereof; (b) commercial general liability insurance with limits of not less than $[LANDLORD CGL LIMIT] per occurrence and $[LANDLORD CGL AGGREGATE] in the aggregate; and (c) such other insurance as Landlord may elect to carry or as may be required by Landlord's Lender, including earthquake insurance, flood insurance, terrorism insurance, environmental liability insurance, and umbrella/excess liability insurance. The cost of Landlord's insurance shall be included in Operating Expenses. Landlord may self-insure any of the foregoing coverages, provided that Landlord maintains reserves consistent with prudent commercial real estate practice.</w:t>
      </w:r>
    </w:p>
    <w:p>
      <w:pPr>
        <w:spacing w:after="120" w:before="240"/>
      </w:pPr>
      <w:r>
        <w:rPr>
          <w:rFonts w:ascii="Calibri" w:cs="Calibri" w:eastAsia="Calibri" w:hAnsi="Calibri"/>
          <w:b/>
          <w:bCs/>
          <w:sz w:val="22"/>
          <w:szCs w:val="22"/>
        </w:rPr>
        <w:t xml:space="preserve">Section 10.7. Insurance Requirements and Certificates</w:t>
      </w:r>
    </w:p>
    <w:p>
      <w:pPr>
        <w:spacing w:after="120"/>
        <w:jc w:val="both"/>
      </w:pPr>
      <w:r>
        <w:rPr>
          <w:rFonts w:ascii="Calibri" w:cs="Calibri" w:eastAsia="Calibri" w:hAnsi="Calibri"/>
          <w:sz w:val="22"/>
          <w:szCs w:val="22"/>
        </w:rPr>
        <w:t xml:space="preserve">All insurance required to be maintained by Tenant under this Lease shall (a) be issued by insurance companies licensed to do business in [STATE] with an A.M. Best rating of not less than A-, VII (or equivalent); (b) provide that such insurance shall not be cancelled, materially modified, or non-renewed without at least thirty (30) days' prior written notice to Landlord (ten (10) days for non-payment of premium); (c) be primary and non-contributory with respect to any insurance maintained by Landlord; and (d) contain a waiver of subrogation as required by Section 10.9. Tenant shall deliver to Landlord certificates of insurance evidencing all required coverages on or before the Commencement Date (or such earlier date as Tenant accesses the Premises), and annually thereafter not less than thirty (30) days prior to the expiration of each policy. If Tenant fails to maintain the required insurance, Landlord may (but shall not be obligated to) procure such insurance at Tenant's expense, and Tenant shall reimburse Landlord for the cost thereof as Additional Rent within ten (10) days after demand.</w:t>
      </w:r>
    </w:p>
    <w:p>
      <w:pPr>
        <w:spacing w:after="120" w:before="240"/>
      </w:pPr>
      <w:r>
        <w:rPr>
          <w:rFonts w:ascii="Calibri" w:cs="Calibri" w:eastAsia="Calibri" w:hAnsi="Calibri"/>
          <w:b/>
          <w:bCs/>
          <w:sz w:val="22"/>
          <w:szCs w:val="22"/>
        </w:rPr>
        <w:t xml:space="preserve">Section 10.8. Mutual Indemnification</w:t>
      </w:r>
    </w:p>
    <w:p>
      <w:pPr>
        <w:spacing w:after="120"/>
        <w:jc w:val="both"/>
      </w:pPr>
      <w:r>
        <w:rPr>
          <w:rFonts w:ascii="Calibri" w:cs="Calibri" w:eastAsia="Calibri" w:hAnsi="Calibri"/>
          <w:sz w:val="22"/>
          <w:szCs w:val="22"/>
        </w:rPr>
        <w:t xml:space="preserve">(a) Tenant's Indemnity. Tenant shall indemnify, defend (with counsel reasonably acceptable to Landlord), and hold harmless Landlord and its agents, employees, officers, directors, partners, members, and shareholders (collectively, the "Landlord Indemnitees") from and against any and all claims, damages, losses, costs, expenses (including reasonable attorneys' fees), liabilities, fines, and penalties arising from or in connection with (i) Tenant's use and occupancy of the Premises, (ii) any act, omission, or negligence of Tenant or its agents, employees, contractors, or invitees in, on, or about the Premises, the Building, or the Project, (iii) any breach of Tenant's obligations under this Lease, or (iv) any Hazardous Materials brought onto or released from the Premises by Tenant or its agents, employees, contractors, or invitees; except to the extent caused by the negligence or willful misconduct of any Landlord Indemnitee.</w:t>
      </w:r>
    </w:p>
    <w:p>
      <w:pPr>
        <w:spacing w:after="120"/>
        <w:jc w:val="both"/>
      </w:pPr>
      <w:r>
        <w:rPr>
          <w:rFonts w:ascii="Calibri" w:cs="Calibri" w:eastAsia="Calibri" w:hAnsi="Calibri"/>
          <w:sz w:val="22"/>
          <w:szCs w:val="22"/>
        </w:rPr>
        <w:t xml:space="preserve">(b) Landlord's Indemnity. Landlord shall indemnify, defend (with counsel reasonably acceptable to Tenant), and hold harmless Tenant and its agents, employees, officers, directors, partners, members, and shareholders (collectively, the "Tenant Indemnitees") from and against any and all claims, damages, losses, costs, expenses (including reasonable attorneys' fees), liabilities, fines, and penalties arising from or in connection with (i) Landlord's operation, management, and maintenance of the Building and the Common Areas, (ii) any act, omission, or negligence of Landlord or its agents, employees, or contractors, (iii) any breach of Landlord's obligations under this Lease, or (iv) any Hazardous Materials present in, on, or under the Premises, the Building, or the Project as of the Lease Date or introduced by Landlord or parties other than Tenant; except to the extent caused by the negligence or willful misconduct of any Tenant Indemnitee.</w:t>
      </w:r>
    </w:p>
    <w:p>
      <w:pPr>
        <w:spacing w:after="120" w:before="240"/>
      </w:pPr>
      <w:r>
        <w:rPr>
          <w:rFonts w:ascii="Calibri" w:cs="Calibri" w:eastAsia="Calibri" w:hAnsi="Calibri"/>
          <w:b/>
          <w:bCs/>
          <w:sz w:val="22"/>
          <w:szCs w:val="22"/>
        </w:rPr>
        <w:t xml:space="preserve">Section 10.9. Waiver of Subrogation</w:t>
      </w:r>
    </w:p>
    <w:p>
      <w:pPr>
        <w:spacing w:after="120"/>
        <w:jc w:val="both"/>
      </w:pPr>
      <w:r>
        <w:rPr>
          <w:rFonts w:ascii="Calibri" w:cs="Calibri" w:eastAsia="Calibri" w:hAnsi="Calibri"/>
          <w:sz w:val="22"/>
          <w:szCs w:val="22"/>
        </w:rPr>
        <w:t xml:space="preserve">Landlord and Tenant each hereby waive any right of recovery against the other party, and against the officers, employees, agents, contractors, and invitees of the other party, for loss or damage to property to the extent covered by (or required to be covered by) the property insurance policies required under this Lease or otherwise maintained by the waiving party, regardless of the cause of such loss or damage, including the negligence of the other party. Each party shall obtain from its insurance carriers a waiver of all rights of subrogation against the other party and its agents. If the waiver of subrogation endorsement increases the premium for any required policy, the other party shall reimburse the waiving party for the additional premium cost, or the waiving party may elect not to obtain the endorsement and shall promptly notify the other party.</w:t>
      </w:r>
    </w:p>
    <w:p>
      <w:pPr>
        <w:spacing w:after="120" w:before="240"/>
      </w:pPr>
      <w:r>
        <w:rPr>
          <w:rFonts w:ascii="Calibri" w:cs="Calibri" w:eastAsia="Calibri" w:hAnsi="Calibri"/>
          <w:b/>
          <w:bCs/>
          <w:sz w:val="22"/>
          <w:szCs w:val="22"/>
        </w:rPr>
        <w:t xml:space="preserve">Section 10.10. Limitation of Liability</w:t>
      </w:r>
    </w:p>
    <w:p>
      <w:pPr>
        <w:spacing w:after="120"/>
        <w:jc w:val="both"/>
      </w:pPr>
      <w:r>
        <w:rPr>
          <w:rFonts w:ascii="Calibri" w:cs="Calibri" w:eastAsia="Calibri" w:hAnsi="Calibri"/>
          <w:sz w:val="22"/>
          <w:szCs w:val="22"/>
        </w:rPr>
        <w:t xml:space="preserve">In no event shall Landlord be liable to Tenant for any consequential, incidental, special, punitive, or indirect damages, including lost profits, loss of business opportunity, or business interruption damages, arising under or in connection with this Lease, regardless of the cause thereof and regardless of whether such damages are based on contract, tort, strict liability, or any other theory. Landlord's aggregate liability under this Lease shall not exceed [LANDLORD LIABILITY CAP, e.g., an amount equal to twelve (12) months of Base Rent then in effect]. Notwithstanding the foregoing, the limitations in this Section 10.10 shall not apply to (a) Landlord's obligation to return the Security Deposit, (b) Landlord's indemnification obligations under Section 10.8(b), or (c) claims arising from Landlord's gross negligence or willful misconduct.</w:t>
      </w:r>
    </w:p>
    <w:p>
      <w:pPr>
        <w:pageBreakBefore/>
        <w:spacing w:after="200" w:before="120"/>
        <w:jc w:val="center"/>
      </w:pPr>
      <w:r>
        <w:rPr>
          <w:rFonts w:ascii="Calibri" w:cs="Calibri" w:eastAsia="Calibri" w:hAnsi="Calibri"/>
          <w:b/>
          <w:bCs/>
          <w:sz w:val="26"/>
          <w:szCs w:val="26"/>
        </w:rPr>
        <w:t xml:space="preserve">ARTICLE 11 — CASUALTY AND CONDEMNATION</w:t>
      </w:r>
    </w:p>
    <w:p>
      <w:pPr>
        <w:spacing w:after="120" w:before="240"/>
      </w:pPr>
      <w:r>
        <w:rPr>
          <w:rFonts w:ascii="Calibri" w:cs="Calibri" w:eastAsia="Calibri" w:hAnsi="Calibri"/>
          <w:b/>
          <w:bCs/>
          <w:sz w:val="22"/>
          <w:szCs w:val="22"/>
        </w:rPr>
        <w:t xml:space="preserve">Section 11.1. Casualty Notice and Restoration Estimate</w:t>
      </w:r>
    </w:p>
    <w:p>
      <w:pPr>
        <w:spacing w:after="120"/>
        <w:jc w:val="both"/>
      </w:pPr>
      <w:r>
        <w:rPr>
          <w:rFonts w:ascii="Calibri" w:cs="Calibri" w:eastAsia="Calibri" w:hAnsi="Calibri"/>
          <w:sz w:val="22"/>
          <w:szCs w:val="22"/>
        </w:rPr>
        <w:t xml:space="preserve">If the Building or the Premises are damaged by a Casualty, Landlord shall promptly notify Tenant of the nature and extent of the damage. Within [NUMBER, e.g., sixty (60)] days after the Casualty, Landlord shall deliver to Tenant a written estimate from a qualified architect or contractor of the time required to restore the Building and the Premises to a condition reasonably suitable for Tenant's occupancy (the "Restoration Estimate"). The Restoration Estimate shall take into account the time needed to obtain permits, insurance adjustments, and construction materials, and shall assume that construction will be prosecuted with reasonable diligence.</w:t>
      </w:r>
    </w:p>
    <w:p>
      <w:pPr>
        <w:spacing w:after="120" w:before="240"/>
      </w:pPr>
      <w:r>
        <w:rPr>
          <w:rFonts w:ascii="Calibri" w:cs="Calibri" w:eastAsia="Calibri" w:hAnsi="Calibri"/>
          <w:b/>
          <w:bCs/>
          <w:sz w:val="22"/>
          <w:szCs w:val="22"/>
        </w:rPr>
        <w:t xml:space="preserve">Section 11.2. Landlord's Restoration Obligation</w:t>
      </w:r>
    </w:p>
    <w:p>
      <w:pPr>
        <w:spacing w:after="120"/>
        <w:jc w:val="both"/>
      </w:pPr>
      <w:r>
        <w:rPr>
          <w:rFonts w:ascii="Calibri" w:cs="Calibri" w:eastAsia="Calibri" w:hAnsi="Calibri"/>
          <w:sz w:val="22"/>
          <w:szCs w:val="22"/>
        </w:rPr>
        <w:t xml:space="preserve">If the Premises or the Building are damaged by a Casualty, and Landlord does not elect to terminate this Lease pursuant to Section 11.4, Landlord shall repair and restore the Building (including the Base Building components and the Common Areas) to substantially the same condition as existed immediately prior to the Casualty, with reasonable diligence and in compliance with all Applicable Laws. Landlord's restoration obligation shall not include the repair or replacement of Tenant's personal property, trade fixtures, equipment, or any Tenant Improvements or Alterations (unless covered by Landlord's property insurance). Tenant shall be responsible for restoring the Tenant Improvements and Alterations at Tenant's expense (using proceeds from Tenant's property insurance). Landlord shall not be required to spend more for restoration than the insurance proceeds received, plus any deductible amount, unless the shortfall is attributable to Landlord's failure to maintain the insurance required under Section 10.6.</w:t>
      </w:r>
    </w:p>
    <w:p>
      <w:pPr>
        <w:spacing w:after="120" w:before="240"/>
      </w:pPr>
      <w:r>
        <w:rPr>
          <w:rFonts w:ascii="Calibri" w:cs="Calibri" w:eastAsia="Calibri" w:hAnsi="Calibri"/>
          <w:b/>
          <w:bCs/>
          <w:sz w:val="22"/>
          <w:szCs w:val="22"/>
        </w:rPr>
        <w:t xml:space="preserve">Section 11.3. Rent Abatement During Restoration</w:t>
      </w:r>
    </w:p>
    <w:p>
      <w:pPr>
        <w:spacing w:after="120"/>
        <w:jc w:val="both"/>
      </w:pPr>
      <w:r>
        <w:rPr>
          <w:rFonts w:ascii="Calibri" w:cs="Calibri" w:eastAsia="Calibri" w:hAnsi="Calibri"/>
          <w:sz w:val="22"/>
          <w:szCs w:val="22"/>
        </w:rPr>
        <w:t xml:space="preserve">If the Premises are damaged by a Casualty and are rendered wholly or partially untenantable, Base Rent and Tenant's Pro Rata Share of Operating Expenses shall abate proportionately based on the ratio of the untenantable area to the total Rentable Area of the Premises, commencing on the date of the Casualty and continuing until the earlier of (a) the date on which Landlord's restoration of the Base Building is Substantially Complete and Tenant can reasonably commence restoration of the Tenant Improvements, or (b) the date on which Tenant resumes occupancy and use of the affected area. If the entire Premises are rendered untenantable, Rent shall abate in full during the restoration period. For purposes of this Section 11.3, "untenantable" means that the affected area cannot reasonably be used by Tenant for the Permitted Use due to the damage and restoration work.</w:t>
      </w:r>
    </w:p>
    <w:p>
      <w:pPr>
        <w:spacing w:after="120" w:before="240"/>
      </w:pPr>
      <w:r>
        <w:rPr>
          <w:rFonts w:ascii="Calibri" w:cs="Calibri" w:eastAsia="Calibri" w:hAnsi="Calibri"/>
          <w:b/>
          <w:bCs/>
          <w:sz w:val="22"/>
          <w:szCs w:val="22"/>
        </w:rPr>
        <w:t xml:space="preserve">Section 11.4. Termination Rights — Casualty</w:t>
      </w:r>
    </w:p>
    <w:p>
      <w:pPr>
        <w:spacing w:after="120"/>
        <w:jc w:val="both"/>
      </w:pPr>
      <w:r>
        <w:rPr>
          <w:rFonts w:ascii="Calibri" w:cs="Calibri" w:eastAsia="Calibri" w:hAnsi="Calibri"/>
          <w:sz w:val="22"/>
          <w:szCs w:val="22"/>
        </w:rPr>
        <w:t xml:space="preserve">(a) Landlord Termination. Landlord may terminate this Lease by delivering written notice to Tenant within [NUMBER, e.g., ninety (90)] days after the Casualty if (i) the Restoration Estimate indicates that restoration will require more than [NUMBER, e.g., twelve (12)] months from the date of the Casualty, (ii) the Casualty occurs during the last [NUMBER, e.g., twenty-four (24)] months of the Lease Term, (iii) the cost of restoration exceeds [PERCENTAGE, e.g., fifty percent (50%)] of the replacement cost of the Building, or (iv) Landlord's Lender requires that the insurance proceeds be applied to the indebtedness secured by the Mortgage rather than to restoration.</w:t>
      </w:r>
    </w:p>
    <w:p>
      <w:pPr>
        <w:spacing w:after="120"/>
        <w:jc w:val="both"/>
      </w:pPr>
      <w:r>
        <w:rPr>
          <w:rFonts w:ascii="Calibri" w:cs="Calibri" w:eastAsia="Calibri" w:hAnsi="Calibri"/>
          <w:sz w:val="22"/>
          <w:szCs w:val="22"/>
        </w:rPr>
        <w:t xml:space="preserve">(b) Tenant Termination. Tenant may terminate this Lease by delivering written notice to Landlord if (i) the Restoration Estimate indicates that restoration will require more than [NUMBER, e.g., twelve (12)] months from the date of the Casualty, (ii) the Casualty occurs during the last [NUMBER, e.g., twenty-four (24)] months of the Lease Term, (iii) more than [PERCENTAGE, e.g., thirty percent (30%)] of the Rentable Area of the Premises is damaged and the Restoration Estimate exceeds [NUMBER] months, or (iv) Landlord fails to Substantially Complete restoration within [NUMBER] days after the estimated completion date set forth in the Restoration Estimate (as extended by Force Majeure). If either party terminates this Lease under this Section, the termination shall be effective as of the date specified in the termination notice (not earlier than thirty (30) days after delivery of the notice), and Rent shall be prorated and adjusted as of the termination date.</w:t>
      </w:r>
    </w:p>
    <w:p>
      <w:pPr>
        <w:spacing w:after="120" w:before="240"/>
      </w:pPr>
      <w:r>
        <w:rPr>
          <w:rFonts w:ascii="Calibri" w:cs="Calibri" w:eastAsia="Calibri" w:hAnsi="Calibri"/>
          <w:b/>
          <w:bCs/>
          <w:sz w:val="22"/>
          <w:szCs w:val="22"/>
        </w:rPr>
        <w:t xml:space="preserve">Section 11.5. Condemnation</w:t>
      </w:r>
    </w:p>
    <w:p>
      <w:pPr>
        <w:spacing w:after="120"/>
        <w:jc w:val="both"/>
      </w:pPr>
      <w:r>
        <w:rPr>
          <w:rFonts w:ascii="Calibri" w:cs="Calibri" w:eastAsia="Calibri" w:hAnsi="Calibri"/>
          <w:sz w:val="22"/>
          <w:szCs w:val="22"/>
        </w:rPr>
        <w:t xml:space="preserve">If all or any material portion of the Premises is taken or condemned for any public or quasi-public use (including a negotiated purchase in lieu of condemnation) (a "Taking"), this Lease shall terminate as to the portion of the Premises so taken as of the date possession is required to be surrendered to the condemning authority. A "material portion" means (a) more than [PERCENTAGE, e.g., twenty percent (20%)] of the Rentable Area of the Premises, or (b) any portion that renders the remaining Premises unsuitable for Tenant's Permitted Use. If the Taking is of a material portion, either party may terminate this Lease by written notice within thirty (30) days after the Taking. If neither party elects to terminate, the Lease shall continue in effect as to the remainder of the Premises, Base Rent and Tenant's Pro Rata Share shall be proportionately reduced, and Landlord shall restore the remaining Premises to a tenantable condition with reasonable diligence. If the Taking is of the entire Building or the entire Premises, this Lease shall automatically terminate as of the date of the Taking.</w:t>
      </w:r>
    </w:p>
    <w:p>
      <w:pPr>
        <w:spacing w:after="120" w:before="240"/>
      </w:pPr>
      <w:r>
        <w:rPr>
          <w:rFonts w:ascii="Calibri" w:cs="Calibri" w:eastAsia="Calibri" w:hAnsi="Calibri"/>
          <w:b/>
          <w:bCs/>
          <w:sz w:val="22"/>
          <w:szCs w:val="22"/>
        </w:rPr>
        <w:t xml:space="preserve">Section 11.6. Award Allocation</w:t>
      </w:r>
    </w:p>
    <w:p>
      <w:pPr>
        <w:spacing w:after="120"/>
        <w:jc w:val="both"/>
      </w:pPr>
      <w:r>
        <w:rPr>
          <w:rFonts w:ascii="Calibri" w:cs="Calibri" w:eastAsia="Calibri" w:hAnsi="Calibri"/>
          <w:sz w:val="22"/>
          <w:szCs w:val="22"/>
        </w:rPr>
        <w:t xml:space="preserve">All compensation, damages, and awards payable in connection with any Taking (the "Award") shall belong to and be the property of Landlord, and Tenant hereby assigns to Landlord all of Tenant's right, title, and interest in and to any such Award. Notwithstanding the foregoing, Tenant shall have the right to make a separate claim against the condemning authority (but not against Landlord) for (a) the value of Tenant's personal property, trade fixtures, and equipment taken or damaged, (b) the unamortized cost of Tenant Improvements paid for by Tenant (excluding those funded by the TI Allowance), (c) Tenant's relocation and moving expenses, and (d) loss of goodwill, provided that such separate claim does not reduce the Award otherwise payable to Landlord.</w:t>
      </w:r>
    </w:p>
    <w:p>
      <w:pPr>
        <w:spacing w:after="120" w:before="240"/>
      </w:pPr>
      <w:r>
        <w:rPr>
          <w:rFonts w:ascii="Calibri" w:cs="Calibri" w:eastAsia="Calibri" w:hAnsi="Calibri"/>
          <w:b/>
          <w:bCs/>
          <w:sz w:val="22"/>
          <w:szCs w:val="22"/>
        </w:rPr>
        <w:t xml:space="preserve">Section 11.7. Temporary Taking</w:t>
      </w:r>
    </w:p>
    <w:p>
      <w:pPr>
        <w:spacing w:after="120"/>
        <w:jc w:val="both"/>
      </w:pPr>
      <w:r>
        <w:rPr>
          <w:rFonts w:ascii="Calibri" w:cs="Calibri" w:eastAsia="Calibri" w:hAnsi="Calibri"/>
          <w:sz w:val="22"/>
          <w:szCs w:val="22"/>
        </w:rPr>
        <w:t xml:space="preserve">If all or any portion of the Premises is temporarily taken for a period of [NUMBER, e.g., one hundred eighty (180)] days or less, this Lease shall remain in full force and effect, and Tenant shall be entitled to receive the Award allocable to the Premises for the period of the temporary Taking (except that if the temporary Taking extends beyond the Expiration Date, the Award allocable to the period after the Expiration Date shall belong to Landlord). If the temporary Taking renders the Premises or a material portion thereof untenantable, Rent shall abate proportionately for the duration of the Taking. If the temporary Taking exceeds [NUMBER] days, either party may treat the Taking as a permanent Taking under Section 11.5.</w:t>
      </w:r>
    </w:p>
    <w:p>
      <w:pPr>
        <w:pageBreakBefore/>
        <w:spacing w:after="200" w:before="120"/>
        <w:jc w:val="center"/>
      </w:pPr>
      <w:r>
        <w:rPr>
          <w:rFonts w:ascii="Calibri" w:cs="Calibri" w:eastAsia="Calibri" w:hAnsi="Calibri"/>
          <w:b/>
          <w:bCs/>
          <w:sz w:val="26"/>
          <w:szCs w:val="26"/>
        </w:rPr>
        <w:t xml:space="preserve">ARTICLE 12 — ASSIGNMENT, SUBLETTING, AND CHANGE OF CONTROL</w:t>
      </w:r>
    </w:p>
    <w:p>
      <w:pPr>
        <w:spacing w:after="120" w:before="240"/>
      </w:pPr>
      <w:r>
        <w:rPr>
          <w:rFonts w:ascii="Calibri" w:cs="Calibri" w:eastAsia="Calibri" w:hAnsi="Calibri"/>
          <w:b/>
          <w:bCs/>
          <w:sz w:val="22"/>
          <w:szCs w:val="22"/>
        </w:rPr>
        <w:t xml:space="preserve">Section 12.1. Restriction on Transfer</w:t>
      </w:r>
    </w:p>
    <w:p>
      <w:pPr>
        <w:spacing w:after="120"/>
        <w:jc w:val="both"/>
      </w:pPr>
      <w:r>
        <w:rPr>
          <w:rFonts w:ascii="Calibri" w:cs="Calibri" w:eastAsia="Calibri" w:hAnsi="Calibri"/>
          <w:sz w:val="22"/>
          <w:szCs w:val="22"/>
        </w:rPr>
        <w:t xml:space="preserve">Tenant shall not, directly or indirectly, voluntarily or by operation of law, make any Transfer of this Lease or any interest herein, or of all or any portion of the Premises, without the prior written consent of Landlord, which consent shall not be unreasonably withheld, conditioned, or delayed, subject to the provisions of this Article 12. Any attempted Transfer without Landlord's consent (where required) shall be void and of no force or effect and shall constitute a Default under this Lease. "Transfer" includes, without limitation, any assignment, sublease, license, concession, mortgage, pledge, encumbrance, or other transfer of all or any portion of Tenant's interest in this Lease or the Premises.</w:t>
      </w:r>
    </w:p>
    <w:p>
      <w:pPr>
        <w:spacing w:after="120" w:before="240"/>
      </w:pPr>
      <w:r>
        <w:rPr>
          <w:rFonts w:ascii="Calibri" w:cs="Calibri" w:eastAsia="Calibri" w:hAnsi="Calibri"/>
          <w:b/>
          <w:bCs/>
          <w:sz w:val="22"/>
          <w:szCs w:val="22"/>
        </w:rPr>
        <w:t xml:space="preserve">Section 12.2. Affiliate Transfers</w:t>
      </w:r>
    </w:p>
    <w:p>
      <w:pPr>
        <w:spacing w:after="120"/>
        <w:jc w:val="both"/>
      </w:pPr>
      <w:r>
        <w:rPr>
          <w:rFonts w:ascii="Calibri" w:cs="Calibri" w:eastAsia="Calibri" w:hAnsi="Calibri"/>
          <w:sz w:val="22"/>
          <w:szCs w:val="22"/>
        </w:rPr>
        <w:t xml:space="preserve">Notwithstanding Section 12.1, Tenant may, without Landlord's prior consent (but with prior written notice to Landlord), assign this Lease or sublease all or any portion of the Premises to an Affiliate of Tenant, provided that (a) the Affiliate assumes in writing all of Tenant's obligations under this Lease (in the case of an assignment) or agrees to be bound by the terms of this Lease (in the case of a sublease), (b) the Affiliate has a tangible net worth (determined in accordance with generally accepted accounting principles) equal to or greater than the tangible net worth of Tenant as of the Lease Date or as of the date of the Transfer, whichever is greater, and (c) the use of the Premises by the Affiliate is consistent with the Permitted Use. Tenant shall remain primarily liable under this Lease following any Affiliate Transfer unless Landlord expressly releases Tenant in writing.</w:t>
      </w:r>
    </w:p>
    <w:p>
      <w:pPr>
        <w:spacing w:after="120" w:before="240"/>
      </w:pPr>
      <w:r>
        <w:rPr>
          <w:rFonts w:ascii="Calibri" w:cs="Calibri" w:eastAsia="Calibri" w:hAnsi="Calibri"/>
          <w:b/>
          <w:bCs/>
          <w:sz w:val="22"/>
          <w:szCs w:val="22"/>
        </w:rPr>
        <w:t xml:space="preserve">Section 12.3. Corporate Reorganization</w:t>
      </w:r>
    </w:p>
    <w:p>
      <w:pPr>
        <w:spacing w:after="120"/>
        <w:jc w:val="both"/>
      </w:pPr>
      <w:r>
        <w:rPr>
          <w:rFonts w:ascii="Calibri" w:cs="Calibri" w:eastAsia="Calibri" w:hAnsi="Calibri"/>
          <w:sz w:val="22"/>
          <w:szCs w:val="22"/>
        </w:rPr>
        <w:t xml:space="preserve">Notwithstanding Section 12.1, Tenant may, without Landlord's prior consent (but with prior written notice to Landlord), assign this Lease in connection with (a) a merger, consolidation, or other corporate reorganization in which Tenant is not the surviving entity, provided that the surviving entity assumes all of Tenant's obligations under this Lease and has a tangible net worth equal to or greater than the tangible net worth of Tenant immediately prior to such transaction; (b) a sale of all or substantially all of Tenant's assets, provided that the acquiring entity assumes all of Tenant's obligations under this Lease and has a tangible net worth equal to or greater than the tangible net worth of Tenant immediately prior to such sale; or (c) an initial public offering of Tenant's equity securities.</w:t>
      </w:r>
    </w:p>
    <w:p>
      <w:pPr>
        <w:spacing w:after="120" w:before="240"/>
      </w:pPr>
      <w:r>
        <w:rPr>
          <w:rFonts w:ascii="Calibri" w:cs="Calibri" w:eastAsia="Calibri" w:hAnsi="Calibri"/>
          <w:b/>
          <w:bCs/>
          <w:sz w:val="22"/>
          <w:szCs w:val="22"/>
        </w:rPr>
        <w:t xml:space="preserve">Section 12.4. Financing Collateral Assignment</w:t>
      </w:r>
    </w:p>
    <w:p>
      <w:pPr>
        <w:spacing w:after="120"/>
        <w:jc w:val="both"/>
      </w:pPr>
      <w:r>
        <w:rPr>
          <w:rFonts w:ascii="Calibri" w:cs="Calibri" w:eastAsia="Calibri" w:hAnsi="Calibri"/>
          <w:sz w:val="22"/>
          <w:szCs w:val="22"/>
        </w:rPr>
        <w:t xml:space="preserve">Tenant may, without Landlord's prior consent, collaterally assign this Lease and Tenant's interest in the Tenant Improvements to a bona fide institutional lender providing financing to Tenant, provided that (a) Tenant delivers written notice to Landlord identifying the lender and the nature of the financing, (b) the lender agrees in writing that it will be bound by the terms of this Lease if it succeeds to Tenant's interest through foreclosure or deed in lieu thereof, and (c) such collateral assignment does not release Tenant from any of its obligations under this Lease. Upon request, Landlord shall enter into a recognition and consent agreement with Tenant's lender in form and substance reasonably acceptable to Landlord.</w:t>
      </w:r>
    </w:p>
    <w:p>
      <w:pPr>
        <w:spacing w:after="120" w:before="240"/>
      </w:pPr>
      <w:r>
        <w:rPr>
          <w:rFonts w:ascii="Calibri" w:cs="Calibri" w:eastAsia="Calibri" w:hAnsi="Calibri"/>
          <w:b/>
          <w:bCs/>
          <w:sz w:val="22"/>
          <w:szCs w:val="22"/>
        </w:rPr>
        <w:t xml:space="preserve">Section 12.5. Sublease Requirements</w:t>
      </w:r>
    </w:p>
    <w:p>
      <w:pPr>
        <w:spacing w:after="120"/>
        <w:jc w:val="both"/>
      </w:pPr>
      <w:r>
        <w:rPr>
          <w:rFonts w:ascii="Calibri" w:cs="Calibri" w:eastAsia="Calibri" w:hAnsi="Calibri"/>
          <w:sz w:val="22"/>
          <w:szCs w:val="22"/>
        </w:rPr>
        <w:t xml:space="preserve">If Landlord consents to a sublease, the sublease shall be subject to and subordinate to this Lease and shall contain the following provisions: (a) the subtenant's use of the Premises shall be limited to the Permitted Use; (b) the subtenant shall comply with all terms and conditions of this Lease applicable to the subleased space; (c) the sublease term shall not extend beyond the Expiration Date of this Lease (including any renewal periods for which Tenant has irrevocably exercised its renewal option); (d) the subtenant shall maintain the insurance required under Article 10 and shall name Landlord as an additional insured; (e) the subtenant shall not further assign or sublease without Landlord's consent; and (f) the sublease shall be expressly subject and subordinate to this Lease. Tenant shall deliver a fully executed copy of the sublease to Landlord within ten (10) days after execution.</w:t>
      </w:r>
    </w:p>
    <w:p>
      <w:pPr>
        <w:spacing w:after="120" w:before="240"/>
      </w:pPr>
      <w:r>
        <w:rPr>
          <w:rFonts w:ascii="Calibri" w:cs="Calibri" w:eastAsia="Calibri" w:hAnsi="Calibri"/>
          <w:b/>
          <w:bCs/>
          <w:sz w:val="22"/>
          <w:szCs w:val="22"/>
        </w:rPr>
        <w:t xml:space="preserve">Section 12.6. Landlord's Consent Process</w:t>
      </w:r>
    </w:p>
    <w:p>
      <w:pPr>
        <w:spacing w:after="120"/>
        <w:jc w:val="both"/>
      </w:pPr>
      <w:r>
        <w:rPr>
          <w:rFonts w:ascii="Calibri" w:cs="Calibri" w:eastAsia="Calibri" w:hAnsi="Calibri"/>
          <w:sz w:val="22"/>
          <w:szCs w:val="22"/>
        </w:rPr>
        <w:t xml:space="preserve">If Tenant desires to make a Transfer requiring Landlord's consent, Tenant shall deliver to Landlord written notice (the "Transfer Notice") at least thirty (30) days prior to the proposed effective date, together with the following information: (a) the name and address of the proposed transferee; (b) the nature of the proposed transferee's business; (c) the terms and conditions of the proposed Transfer, including a copy of the proposed assignment or sublease; (d) current financial statements of the proposed transferee (audited, if available); (e) such other information as Landlord may reasonably request regarding the proposed transferee's financial condition, business reputation, and experience. Landlord shall respond to the Transfer Notice within [NUMBER, e.g., twenty (20)] Business Days after receipt of all required information. If Landlord fails to respond within such period, Landlord shall be deemed to have consented to the proposed Transfer. Landlord may reasonably withhold consent based on, among other factors, the proposed transferee's financial strength, business reputation, intended use of the Premises, or the compatibility of the proposed transferee's business with the character of the Building.</w:t>
      </w:r>
    </w:p>
    <w:p>
      <w:pPr>
        <w:spacing w:after="120" w:before="240"/>
      </w:pPr>
      <w:r>
        <w:rPr>
          <w:rFonts w:ascii="Calibri" w:cs="Calibri" w:eastAsia="Calibri" w:hAnsi="Calibri"/>
          <w:b/>
          <w:bCs/>
          <w:sz w:val="22"/>
          <w:szCs w:val="22"/>
        </w:rPr>
        <w:t xml:space="preserve">Section 12.7. Recapture Right</w:t>
      </w:r>
    </w:p>
    <w:p>
      <w:pPr>
        <w:spacing w:after="120"/>
        <w:jc w:val="both"/>
      </w:pPr>
      <w:r>
        <w:rPr>
          <w:rFonts w:ascii="Calibri" w:cs="Calibri" w:eastAsia="Calibri" w:hAnsi="Calibri"/>
          <w:sz w:val="22"/>
          <w:szCs w:val="22"/>
        </w:rPr>
        <w:t xml:space="preserve">Upon receipt of a Transfer Notice for a sublease of more than [PERCENTAGE, e.g., fifty percent (50%)] of the Premises for the remainder of the Lease Term (or substantially all of the remainder), or for an assignment of this Lease, Landlord shall have the right, exercisable by written notice to Tenant within [NUMBER] Business Days after receipt of the Transfer Notice, to recapture the portion of the Premises that is the subject of the proposed Transfer. If Landlord exercises its recapture right, this Lease shall terminate (or, in the case of a partial sublease, be amended to exclude the recaptured space) as of the proposed effective date of the Transfer, and Rent shall be prorated and adjusted accordingly. If Landlord does not exercise its recapture right within such period, Landlord's recapture right with respect to such Transfer Notice shall lapse, and Landlord shall evaluate Tenant's Transfer request under the other provisions of this Article 12.</w:t>
      </w:r>
    </w:p>
    <w:p>
      <w:pPr>
        <w:spacing w:after="120" w:before="240"/>
      </w:pPr>
      <w:r>
        <w:rPr>
          <w:rFonts w:ascii="Calibri" w:cs="Calibri" w:eastAsia="Calibri" w:hAnsi="Calibri"/>
          <w:b/>
          <w:bCs/>
          <w:sz w:val="22"/>
          <w:szCs w:val="22"/>
        </w:rPr>
        <w:t xml:space="preserve">Section 12.8. Profit Sharing; Transfer Fee</w:t>
      </w:r>
    </w:p>
    <w:p>
      <w:pPr>
        <w:spacing w:after="120"/>
        <w:jc w:val="both"/>
      </w:pPr>
      <w:r>
        <w:rPr>
          <w:rFonts w:ascii="Calibri" w:cs="Calibri" w:eastAsia="Calibri" w:hAnsi="Calibri"/>
          <w:sz w:val="22"/>
          <w:szCs w:val="22"/>
        </w:rPr>
        <w:t xml:space="preserve">If Tenant assigns this Lease or subleases all or any portion of the Premises (other than to an Affiliate or in connection with a transaction described in Section 12.3) and receives rent or other consideration in excess of the Rent payable under this Lease (or, in the case of a sublease, the proportionate share of Rent allocable to the subleased space), Tenant shall pay to Landlord [PROFIT SHARE PERCENTAGE, e.g., fifty percent (50%)] of such excess (the "Transfer Premium") after deducting Tenant's reasonable costs incurred in connection with the Transfer, including brokerage commissions, legal fees, construction costs for the transferee's improvements, free rent, and tenant improvement allowances. The Transfer Premium shall be payable monthly as and when received by Tenant. In addition, Tenant shall pay Landlord a processing fee of $[PROCESSING FEE] in connection with each Transfer request to reimburse Landlord for its reasonable administrative and legal review costs.</w:t>
      </w:r>
    </w:p>
    <w:p>
      <w:pPr>
        <w:spacing w:after="120" w:before="240"/>
      </w:pPr>
      <w:r>
        <w:rPr>
          <w:rFonts w:ascii="Calibri" w:cs="Calibri" w:eastAsia="Calibri" w:hAnsi="Calibri"/>
          <w:b/>
          <w:bCs/>
          <w:sz w:val="22"/>
          <w:szCs w:val="22"/>
        </w:rPr>
        <w:t xml:space="preserve">Section 12.9. Assumption and Release</w:t>
      </w:r>
    </w:p>
    <w:p>
      <w:pPr>
        <w:spacing w:after="120"/>
        <w:jc w:val="both"/>
      </w:pPr>
      <w:r>
        <w:rPr>
          <w:rFonts w:ascii="Calibri" w:cs="Calibri" w:eastAsia="Calibri" w:hAnsi="Calibri"/>
          <w:sz w:val="22"/>
          <w:szCs w:val="22"/>
        </w:rPr>
        <w:t xml:space="preserve">In the case of an assignment, no assignment shall be effective unless and until the assignee executes and delivers to Landlord a written assumption agreement, in form reasonably satisfactory to Landlord, pursuant to which the assignee assumes all of Tenant's obligations under this Lease. Following an assignment with Landlord's consent, Tenant (as assignor) shall remain liable under this Lease for the performance of all obligations arising prior to and after the assignment, unless Landlord expressly releases Tenant in writing. Landlord's consent to a Transfer shall not be deemed a consent to any subsequent Transfer, and each subsequent Transfer shall require a separate consent.</w:t>
      </w:r>
    </w:p>
    <w:p>
      <w:pPr>
        <w:pageBreakBefore/>
        <w:spacing w:after="200" w:before="120"/>
        <w:jc w:val="center"/>
      </w:pPr>
      <w:r>
        <w:rPr>
          <w:rFonts w:ascii="Calibri" w:cs="Calibri" w:eastAsia="Calibri" w:hAnsi="Calibri"/>
          <w:b/>
          <w:bCs/>
          <w:sz w:val="26"/>
          <w:szCs w:val="26"/>
        </w:rPr>
        <w:t xml:space="preserve">ARTICLE 13 — DEFAULTS AND REMEDIES</w:t>
      </w:r>
    </w:p>
    <w:p>
      <w:pPr>
        <w:spacing w:after="120" w:before="240"/>
      </w:pPr>
      <w:r>
        <w:rPr>
          <w:rFonts w:ascii="Calibri" w:cs="Calibri" w:eastAsia="Calibri" w:hAnsi="Calibri"/>
          <w:b/>
          <w:bCs/>
          <w:sz w:val="22"/>
          <w:szCs w:val="22"/>
        </w:rPr>
        <w:t xml:space="preserve">Section 13.1. Tenant Events of Default</w:t>
      </w:r>
    </w:p>
    <w:p>
      <w:pPr>
        <w:spacing w:after="120"/>
        <w:jc w:val="both"/>
      </w:pPr>
      <w:r>
        <w:rPr>
          <w:rFonts w:ascii="Calibri" w:cs="Calibri" w:eastAsia="Calibri" w:hAnsi="Calibri"/>
          <w:sz w:val="22"/>
          <w:szCs w:val="22"/>
        </w:rPr>
        <w:t xml:space="preserve">Each of the following shall constitute a "Default" by Tenant under this Lease:</w:t>
      </w:r>
    </w:p>
    <w:p>
      <w:pPr>
        <w:spacing w:after="100"/>
        <w:ind w:left="720"/>
        <w:jc w:val="both"/>
      </w:pPr>
      <w:r>
        <w:rPr>
          <w:rFonts w:ascii="Calibri" w:cs="Calibri" w:eastAsia="Calibri" w:hAnsi="Calibri"/>
          <w:sz w:val="22"/>
          <w:szCs w:val="22"/>
        </w:rPr>
        <w:t xml:space="preserve">(a) Monetary Default. Tenant's failure to pay Base Rent, Additional Rent, or any other monetary obligation under this Lease when due, and such failure continues for five (5) Business Days after Landlord delivers written notice to Tenant.</w:t>
      </w:r>
    </w:p>
    <w:p>
      <w:pPr>
        <w:spacing w:after="100"/>
        <w:ind w:left="720"/>
        <w:jc w:val="both"/>
      </w:pPr>
      <w:r>
        <w:rPr>
          <w:rFonts w:ascii="Calibri" w:cs="Calibri" w:eastAsia="Calibri" w:hAnsi="Calibri"/>
          <w:sz w:val="22"/>
          <w:szCs w:val="22"/>
        </w:rPr>
        <w:t xml:space="preserve">(b) Non-Monetary Default. Tenant's failure to observe or perform any non-monetary obligation under this Lease, and such failure continues for thirty (30) days after Landlord delivers written notice specifying the nature of the default; provided, however, that if the default is of a nature that cannot reasonably be cured within thirty (30) days, Tenant shall not be in Default if Tenant commences the cure within such thirty (30) day period and diligently prosecutes the cure to completion within a reasonable time thereafter, not to exceed ninety (90) days.</w:t>
      </w:r>
    </w:p>
    <w:p>
      <w:pPr>
        <w:spacing w:after="100"/>
        <w:ind w:left="720"/>
        <w:jc w:val="both"/>
      </w:pPr>
      <w:r>
        <w:rPr>
          <w:rFonts w:ascii="Calibri" w:cs="Calibri" w:eastAsia="Calibri" w:hAnsi="Calibri"/>
          <w:sz w:val="22"/>
          <w:szCs w:val="22"/>
        </w:rPr>
        <w:t xml:space="preserve">(c) Bankruptcy. (i) Tenant files a voluntary petition in bankruptcy or under any insolvency law; (ii) an involuntary petition is filed against Tenant and is not dismissed within sixty (60) days; (iii) Tenant makes a general assignment for the benefit of creditors; (iv) a receiver, trustee, or custodian is appointed for Tenant or Tenant's property and is not discharged within sixty (60) days; or (v) Tenant admits in writing its inability to pay its debts as they become due.</w:t>
      </w:r>
    </w:p>
    <w:p>
      <w:pPr>
        <w:spacing w:after="100"/>
        <w:ind w:left="720"/>
        <w:jc w:val="both"/>
      </w:pPr>
      <w:r>
        <w:rPr>
          <w:rFonts w:ascii="Calibri" w:cs="Calibri" w:eastAsia="Calibri" w:hAnsi="Calibri"/>
          <w:sz w:val="22"/>
          <w:szCs w:val="22"/>
        </w:rPr>
        <w:t xml:space="preserve">(d) Abandonment. Tenant vacates or abandons the Premises for a period of [NUMBER, e.g., thirty (30)] consecutive days without maintaining the Premises in good order and condition and without paying Rent (unless such vacancy is due to casualty, condemnation, or Force Majeure).</w:t>
      </w:r>
    </w:p>
    <w:p>
      <w:pPr>
        <w:spacing w:after="100"/>
        <w:ind w:left="720"/>
        <w:jc w:val="both"/>
      </w:pPr>
      <w:r>
        <w:rPr>
          <w:rFonts w:ascii="Calibri" w:cs="Calibri" w:eastAsia="Calibri" w:hAnsi="Calibri"/>
          <w:sz w:val="22"/>
          <w:szCs w:val="22"/>
        </w:rPr>
        <w:t xml:space="preserve">(e) Insurance Lapse. Tenant fails to maintain the insurance required under Article 10, and such failure continues for ten (10) days after Landlord delivers written notice.</w:t>
      </w:r>
    </w:p>
    <w:p>
      <w:pPr>
        <w:spacing w:after="100"/>
        <w:ind w:left="720"/>
        <w:jc w:val="both"/>
      </w:pPr>
      <w:r>
        <w:rPr>
          <w:rFonts w:ascii="Calibri" w:cs="Calibri" w:eastAsia="Calibri" w:hAnsi="Calibri"/>
          <w:sz w:val="22"/>
          <w:szCs w:val="22"/>
        </w:rPr>
        <w:t xml:space="preserve">(f) Transfer Default. Tenant makes a Transfer in violation of Article 12.</w:t>
      </w:r>
    </w:p>
    <w:p>
      <w:pPr>
        <w:spacing w:after="100"/>
        <w:ind w:left="720"/>
        <w:jc w:val="both"/>
      </w:pPr>
      <w:r>
        <w:rPr>
          <w:rFonts w:ascii="Calibri" w:cs="Calibri" w:eastAsia="Calibri" w:hAnsi="Calibri"/>
          <w:sz w:val="22"/>
          <w:szCs w:val="22"/>
        </w:rPr>
        <w:t xml:space="preserve">(g) Guaranty Default. If a Guaranty is required, (i) Guarantor defaults under the Guaranty, (ii) Guarantor revokes or attempts to revoke the Guaranty, (iii) Guarantor becomes subject to any bankruptcy or insolvency proceeding, or (iv) the Guaranty is determined to be unenforceable.</w:t>
      </w:r>
    </w:p>
    <w:p>
      <w:pPr>
        <w:spacing w:after="120" w:before="240"/>
      </w:pPr>
      <w:r>
        <w:rPr>
          <w:rFonts w:ascii="Calibri" w:cs="Calibri" w:eastAsia="Calibri" w:hAnsi="Calibri"/>
          <w:b/>
          <w:bCs/>
          <w:sz w:val="22"/>
          <w:szCs w:val="22"/>
        </w:rPr>
        <w:t xml:space="preserve">Section 13.2. Notice and Cure Periods</w:t>
      </w:r>
    </w:p>
    <w:p>
      <w:pPr>
        <w:spacing w:after="120"/>
        <w:jc w:val="both"/>
      </w:pPr>
      <w:r>
        <w:rPr>
          <w:rFonts w:ascii="Calibri" w:cs="Calibri" w:eastAsia="Calibri" w:hAnsi="Calibri"/>
          <w:sz w:val="22"/>
          <w:szCs w:val="22"/>
        </w:rPr>
        <w:t xml:space="preserve">Notwithstanding anything to the contrary in Section 13.1, Landlord shall not exercise any remedy under this Lease on account of a Default unless Landlord has first delivered written notice to Tenant specifying the nature of the Default and the applicable cure period has expired without cure. The notice and cure periods are as follows: (a) for monetary Defaults, five (5) Business Days after written notice; (b) for non-monetary Defaults, thirty (30) days after written notice (subject to extension for defaults that cannot be cured within thirty (30) days as provided in Section 13.1(b)); (c) for insurance lapses, ten (10) days after written notice; and (d) for Emergency Defaults (as defined in Section 13.4), such shorter period as is specified in Section 13.4. Landlord shall not be required to provide more than two (2) notices of monetary Default in any twelve (12) month period; after two (2) such notices, any subsequent monetary Default in such twelve (12) month period shall be an immediate Default without further notice.</w:t>
      </w:r>
    </w:p>
    <w:p>
      <w:pPr>
        <w:spacing w:after="120" w:before="240"/>
      </w:pPr>
      <w:r>
        <w:rPr>
          <w:rFonts w:ascii="Calibri" w:cs="Calibri" w:eastAsia="Calibri" w:hAnsi="Calibri"/>
          <w:b/>
          <w:bCs/>
          <w:sz w:val="22"/>
          <w:szCs w:val="22"/>
        </w:rPr>
        <w:t xml:space="preserve">Section 13.3. Chronic Default</w:t>
      </w:r>
    </w:p>
    <w:p>
      <w:pPr>
        <w:spacing w:after="120"/>
        <w:jc w:val="both"/>
      </w:pPr>
      <w:r>
        <w:rPr>
          <w:rFonts w:ascii="Calibri" w:cs="Calibri" w:eastAsia="Calibri" w:hAnsi="Calibri"/>
          <w:sz w:val="22"/>
          <w:szCs w:val="22"/>
        </w:rPr>
        <w:t xml:space="preserve">If Tenant commits the same type of Default three (3) or more times during any twelve (12) month period (regardless of whether each individual Default is cured within the applicable cure period), such pattern of Defaults shall constitute a "Chronic Default." Upon a Chronic Default, Landlord may, at its option, (a) declare the Security Deposit to be non-refundable and apply it against future Rent obligations, (b) require Tenant to increase the Security Deposit to an amount equal to [NUMBER, e.g., six (6)] months' Base Rent, (c) require Tenant to pay Rent quarterly in advance rather than monthly, or (d) exercise any other remedy available under this Lease or at law or in equity. Landlord's exercise of any remedy under this Section 13.3 shall be in addition to, and not in lieu of, Landlord's other remedies.</w:t>
      </w:r>
    </w:p>
    <w:p>
      <w:pPr>
        <w:spacing w:after="120" w:before="240"/>
      </w:pPr>
      <w:r>
        <w:rPr>
          <w:rFonts w:ascii="Calibri" w:cs="Calibri" w:eastAsia="Calibri" w:hAnsi="Calibri"/>
          <w:b/>
          <w:bCs/>
          <w:sz w:val="22"/>
          <w:szCs w:val="22"/>
        </w:rPr>
        <w:t xml:space="preserve">Section 13.4. Emergency Default</w:t>
      </w:r>
    </w:p>
    <w:p>
      <w:pPr>
        <w:spacing w:after="120"/>
        <w:jc w:val="both"/>
      </w:pPr>
      <w:r>
        <w:rPr>
          <w:rFonts w:ascii="Calibri" w:cs="Calibri" w:eastAsia="Calibri" w:hAnsi="Calibri"/>
          <w:sz w:val="22"/>
          <w:szCs w:val="22"/>
        </w:rPr>
        <w:t xml:space="preserve">If Tenant's Default creates an imminent risk of (a) physical harm to persons, (b) material damage to the Building or to the property of other tenants, (c) a violation of Applicable Laws that could result in fines, penalties, or closure of the Building, or (d) a material adverse effect on the insurance coverage for the Building (an "Emergency Default"), Landlord may exercise its self-help rights under Section 13.8 immediately upon oral or written notice to Tenant, without waiting for the expiration of any cure period. Landlord shall use commercially reasonable efforts to notify Tenant prior to exercising self-help remedies for an Emergency Default, but the absence of prior notice shall not affect Landlord's right to act.</w:t>
      </w:r>
    </w:p>
    <w:p>
      <w:pPr>
        <w:spacing w:after="120" w:before="240"/>
      </w:pPr>
      <w:r>
        <w:rPr>
          <w:rFonts w:ascii="Calibri" w:cs="Calibri" w:eastAsia="Calibri" w:hAnsi="Calibri"/>
          <w:b/>
          <w:bCs/>
          <w:sz w:val="22"/>
          <w:szCs w:val="22"/>
        </w:rPr>
        <w:t xml:space="preserve">Section 13.5. Landlord's Remedies</w:t>
      </w:r>
    </w:p>
    <w:p>
      <w:pPr>
        <w:spacing w:after="120"/>
        <w:jc w:val="both"/>
      </w:pPr>
      <w:r>
        <w:rPr>
          <w:rFonts w:ascii="Calibri" w:cs="Calibri" w:eastAsia="Calibri" w:hAnsi="Calibri"/>
          <w:sz w:val="22"/>
          <w:szCs w:val="22"/>
        </w:rPr>
        <w:t xml:space="preserve">Upon the occurrence of a Default that is not cured within the applicable notice and cure period, Landlord shall have the following remedies, which shall be cumulative and non-exclusive:</w:t>
      </w:r>
    </w:p>
    <w:p>
      <w:pPr>
        <w:spacing w:after="100"/>
        <w:ind w:left="720"/>
        <w:jc w:val="both"/>
      </w:pPr>
      <w:r>
        <w:rPr>
          <w:rFonts w:ascii="Calibri" w:cs="Calibri" w:eastAsia="Calibri" w:hAnsi="Calibri"/>
          <w:sz w:val="22"/>
          <w:szCs w:val="22"/>
        </w:rPr>
        <w:t xml:space="preserve">(a) Termination. Landlord may terminate this Lease by delivering written notice to Tenant, specifying the date of termination (not earlier than five (5) days after delivery of the notice). Upon termination, Tenant shall immediately surrender the Premises, and Landlord shall be entitled to recover from Tenant: (i) unpaid Rent accrued through the termination date; (ii) the cost of recovering the Premises, including reasonable attorneys' fees, brokerage commissions, and costs of reletting; (iii) the unamortized cost of any free rent, tenant improvement allowance, or other concessions provided by Landlord; and (iv) damages equal to the present value (discounted at the Federal Reserve Bank of [CITY] discount rate plus one percent (1%)) of the excess, if any, of the Rent that would have been payable for the remainder of the Lease Term over the fair market rental value of the Premises for such period.</w:t>
      </w:r>
    </w:p>
    <w:p>
      <w:pPr>
        <w:spacing w:after="100"/>
        <w:ind w:left="720"/>
        <w:jc w:val="both"/>
      </w:pPr>
      <w:r>
        <w:rPr>
          <w:rFonts w:ascii="Calibri" w:cs="Calibri" w:eastAsia="Calibri" w:hAnsi="Calibri"/>
          <w:sz w:val="22"/>
          <w:szCs w:val="22"/>
        </w:rPr>
        <w:t xml:space="preserve">(b) Re-Entry Without Termination. To the extent permitted by Applicable Laws, Landlord may re-enter and repossess the Premises without terminating this Lease, remove Tenant and all other occupants and their property, and relet the Premises for Tenant's account. Landlord shall use commercially reasonable efforts to relet the Premises at a fair market rent, but Landlord shall not be obligated to give preference to the Premises over other available space in the Building. Tenant shall remain liable for all Rent and other obligations as they accrue, less the net proceeds of reletting (after deducting Landlord's reasonable costs of reletting, including renovation, brokerage commissions, and legal fees).</w:t>
      </w:r>
    </w:p>
    <w:p>
      <w:pPr>
        <w:spacing w:after="100"/>
        <w:ind w:left="720"/>
        <w:jc w:val="both"/>
      </w:pPr>
      <w:r>
        <w:rPr>
          <w:rFonts w:ascii="Calibri" w:cs="Calibri" w:eastAsia="Calibri" w:hAnsi="Calibri"/>
          <w:sz w:val="22"/>
          <w:szCs w:val="22"/>
        </w:rPr>
        <w:t xml:space="preserve">(c) Injunctive Relief. Landlord may obtain injunctive relief, specific performance, or other equitable remedies to enforce Tenant's obligations under this Lease.</w:t>
      </w:r>
    </w:p>
    <w:p>
      <w:pPr>
        <w:spacing w:after="120" w:before="240"/>
      </w:pPr>
      <w:r>
        <w:rPr>
          <w:rFonts w:ascii="Calibri" w:cs="Calibri" w:eastAsia="Calibri" w:hAnsi="Calibri"/>
          <w:b/>
          <w:bCs/>
          <w:sz w:val="22"/>
          <w:szCs w:val="22"/>
        </w:rPr>
        <w:t xml:space="preserve">Section 13.6. Duty to Mitigate</w:t>
      </w:r>
    </w:p>
    <w:p>
      <w:pPr>
        <w:spacing w:after="120"/>
        <w:jc w:val="both"/>
      </w:pPr>
      <w:r>
        <w:rPr>
          <w:rFonts w:ascii="Calibri" w:cs="Calibri" w:eastAsia="Calibri" w:hAnsi="Calibri"/>
          <w:sz w:val="22"/>
          <w:szCs w:val="22"/>
        </w:rPr>
        <w:t xml:space="preserve">Following a Default, Landlord shall use commercially reasonable efforts to mitigate its damages, including making reasonable efforts to relet the Premises at a fair market rent. Landlord's duty to mitigate shall not require Landlord to (a) accept a tenant whose use would not be consistent with a first-class office building, (b) accept a tenant whose financial condition is not reasonably satisfactory, (c) offer the Premises at below-market rates, (d) prioritize the Premises over other vacant space in the Building, or (e) expend extraordinary costs to make the Premises suitable for a replacement tenant.</w:t>
      </w:r>
    </w:p>
    <w:p>
      <w:pPr>
        <w:spacing w:after="120" w:before="240"/>
      </w:pPr>
      <w:r>
        <w:rPr>
          <w:rFonts w:ascii="Calibri" w:cs="Calibri" w:eastAsia="Calibri" w:hAnsi="Calibri"/>
          <w:b/>
          <w:bCs/>
          <w:sz w:val="22"/>
          <w:szCs w:val="22"/>
        </w:rPr>
        <w:t xml:space="preserve">Section 13.7. Acceleration</w:t>
      </w:r>
    </w:p>
    <w:p>
      <w:pPr>
        <w:spacing w:after="120"/>
        <w:jc w:val="both"/>
      </w:pPr>
      <w:r>
        <w:rPr>
          <w:rFonts w:ascii="Calibri" w:cs="Calibri" w:eastAsia="Calibri" w:hAnsi="Calibri"/>
          <w:sz w:val="22"/>
          <w:szCs w:val="22"/>
        </w:rPr>
        <w:t xml:space="preserve">In the event of a termination under Section 13.5(a), Landlord may, at its election, accelerate all Rent that would have been payable for the remainder of the Lease Term and recover such accelerated amount (discounted to present value at the discount rate specified in Section 13.5(a)) as liquidated damages, in lieu of periodic recovery of Rent as it accrues. Such accelerated amount shall be reduced by the fair market rental value of the Premises for the unexpired portion of the Lease Term (also discounted to present value). If Landlord relets the Premises after acceleration, Landlord shall credit the net reletting proceeds against the accelerated amount.</w:t>
      </w:r>
    </w:p>
    <w:p>
      <w:pPr>
        <w:spacing w:after="120" w:before="240"/>
      </w:pPr>
      <w:r>
        <w:rPr>
          <w:rFonts w:ascii="Calibri" w:cs="Calibri" w:eastAsia="Calibri" w:hAnsi="Calibri"/>
          <w:b/>
          <w:bCs/>
          <w:sz w:val="22"/>
          <w:szCs w:val="22"/>
        </w:rPr>
        <w:t xml:space="preserve">Section 13.8. Landlord's Self-Help</w:t>
      </w:r>
    </w:p>
    <w:p>
      <w:pPr>
        <w:spacing w:after="120"/>
        <w:jc w:val="both"/>
      </w:pPr>
      <w:r>
        <w:rPr>
          <w:rFonts w:ascii="Calibri" w:cs="Calibri" w:eastAsia="Calibri" w:hAnsi="Calibri"/>
          <w:sz w:val="22"/>
          <w:szCs w:val="22"/>
        </w:rPr>
        <w:t xml:space="preserve">If Tenant fails to perform any obligation under this Lease, and such failure continues beyond the applicable notice and cure period (or, in the case of an Emergency Default, immediately), Landlord may (but shall not be obligated to) perform such obligation on behalf of Tenant at Tenant's expense. All costs and expenses incurred by Landlord in connection with such self-help (including reasonable attorneys' fees, contractor fees, and a reasonable administrative charge of [PERCENTAGE, e.g., fifteen percent (15%)] of hard costs) shall be payable by Tenant as Additional Rent within ten (10) days after Landlord's demand. Landlord's exercise of self-help remedies shall not be deemed a waiver of Tenant's Default or of Landlord's right to exercise other remedies.</w:t>
      </w:r>
    </w:p>
    <w:p>
      <w:pPr>
        <w:spacing w:after="120" w:before="240"/>
      </w:pPr>
      <w:r>
        <w:rPr>
          <w:rFonts w:ascii="Calibri" w:cs="Calibri" w:eastAsia="Calibri" w:hAnsi="Calibri"/>
          <w:b/>
          <w:bCs/>
          <w:sz w:val="22"/>
          <w:szCs w:val="22"/>
        </w:rPr>
        <w:t xml:space="preserve">Section 13.9. Landlord Default</w:t>
      </w:r>
    </w:p>
    <w:p>
      <w:pPr>
        <w:spacing w:after="120"/>
        <w:jc w:val="both"/>
      </w:pPr>
      <w:r>
        <w:rPr>
          <w:rFonts w:ascii="Calibri" w:cs="Calibri" w:eastAsia="Calibri" w:hAnsi="Calibri"/>
          <w:sz w:val="22"/>
          <w:szCs w:val="22"/>
        </w:rPr>
        <w:t xml:space="preserve">Landlord shall be in default under this Lease ("Landlord Default") if Landlord fails to perform any obligation required to be performed by Landlord under this Lease and such failure continues for thirty (30) days after Tenant delivers written notice specifying the nature of the default (or such longer period as may be reasonably necessary to cure the default, provided that Landlord commences the cure within such thirty (30) day period and diligently prosecutes it to completion). Before exercising any remedies for a Landlord Default, Tenant shall also deliver written notice of the default to any Lender whose address has been provided to Tenant, and such Lender shall have an additional thirty (30) days to cure the default (or such longer period as may be reasonably necessary).</w:t>
      </w:r>
    </w:p>
    <w:p>
      <w:pPr>
        <w:spacing w:after="120" w:before="240"/>
      </w:pPr>
      <w:r>
        <w:rPr>
          <w:rFonts w:ascii="Calibri" w:cs="Calibri" w:eastAsia="Calibri" w:hAnsi="Calibri"/>
          <w:b/>
          <w:bCs/>
          <w:sz w:val="22"/>
          <w:szCs w:val="22"/>
        </w:rPr>
        <w:t xml:space="preserve">Section 13.10. Tenant's Remedies; Abatement</w:t>
      </w:r>
    </w:p>
    <w:p>
      <w:pPr>
        <w:spacing w:after="120"/>
        <w:jc w:val="both"/>
      </w:pPr>
      <w:r>
        <w:rPr>
          <w:rFonts w:ascii="Calibri" w:cs="Calibri" w:eastAsia="Calibri" w:hAnsi="Calibri"/>
          <w:sz w:val="22"/>
          <w:szCs w:val="22"/>
        </w:rPr>
        <w:t xml:space="preserve">Upon a Landlord Default, Tenant shall have the following remedies: (a) self-help as provided in Section 8.8; (b) rent abatement as provided in Sections 8.9 and 11.3; (c) an action for damages (subject to the limitation of liability provisions of Section 10.10); (d) injunctive relief or specific performance to enforce Landlord's obligations; and (e) termination of this Lease, but only in the event of a material Landlord Default that renders the Premises substantially untenantable for a period of [NUMBER, e.g., one hundred twenty (120)] consecutive days after Tenant's notice, and only after Tenant delivers a second notice at the end of such period and Landlord fails to cure within an additional thirty (30) days. Tenant shall not have the right to withhold, offset, or deduct Rent except as expressly permitted by Sections 8.8 and 8.9.</w:t>
      </w:r>
    </w:p>
    <w:p>
      <w:pPr>
        <w:pageBreakBefore/>
        <w:spacing w:after="200" w:before="120"/>
        <w:jc w:val="center"/>
      </w:pPr>
      <w:r>
        <w:rPr>
          <w:rFonts w:ascii="Calibri" w:cs="Calibri" w:eastAsia="Calibri" w:hAnsi="Calibri"/>
          <w:b/>
          <w:bCs/>
          <w:sz w:val="26"/>
          <w:szCs w:val="26"/>
        </w:rPr>
        <w:t xml:space="preserve">ARTICLE 14 — OPTIONS AND FLEXIBILITY</w:t>
      </w:r>
    </w:p>
    <w:p>
      <w:pPr>
        <w:spacing w:after="120" w:before="240"/>
      </w:pPr>
      <w:r>
        <w:rPr>
          <w:rFonts w:ascii="Calibri" w:cs="Calibri" w:eastAsia="Calibri" w:hAnsi="Calibri"/>
          <w:b/>
          <w:bCs/>
          <w:sz w:val="22"/>
          <w:szCs w:val="22"/>
        </w:rPr>
        <w:t xml:space="preserve">Section 14.1. Renewal Option</w:t>
      </w:r>
    </w:p>
    <w:p>
      <w:pPr>
        <w:spacing w:after="120"/>
        <w:jc w:val="both"/>
      </w:pPr>
      <w:r>
        <w:rPr>
          <w:rFonts w:ascii="Calibri" w:cs="Calibri" w:eastAsia="Calibri" w:hAnsi="Calibri"/>
          <w:sz w:val="22"/>
          <w:szCs w:val="22"/>
        </w:rPr>
        <w:t xml:space="preserve">Provided that (a) this Lease is in full force and effect, (b) Tenant is not in Default beyond any applicable cure period at the time of exercise or at the commencement of the Renewal Term, and (c) Tenant (or its Affiliate or permitted assignee) is occupying at least [PERCENTAGE, e.g., seventy-five percent (75%)] of the Premises at the time of exercise, Tenant shall have the option to extend the Lease Term for [NUMBER] additional period(s) of [RENEWAL TERM LENGTH] years each (each, a "Renewal Term"), on the same terms and conditions as this Lease, except that (i) Base Rent during the Renewal Term shall be the Fair Market Rent (as defined below) determined as of the commencement of the Renewal Term, (ii) the TI Allowance shall not apply to the Renewal Term (unless otherwise negotiated), and (iii) the number of remaining Renewal Terms shall be reduced by one.</w:t>
      </w:r>
    </w:p>
    <w:p>
      <w:pPr>
        <w:spacing w:after="120"/>
        <w:jc w:val="both"/>
      </w:pPr>
      <w:r>
        <w:rPr>
          <w:rFonts w:ascii="Calibri" w:cs="Calibri" w:eastAsia="Calibri" w:hAnsi="Calibri"/>
          <w:sz w:val="22"/>
          <w:szCs w:val="22"/>
        </w:rPr>
        <w:t xml:space="preserve">Tenant shall exercise its renewal option by delivering irrevocable written notice to Landlord not later than [NUMBER, e.g., twelve (12)] months and not earlier than [NUMBER, e.g., eighteen (18)] months prior to the then-current Expiration Date. If Tenant fails to deliver timely notice, the renewal option shall lapse and be of no further force or effect.</w:t>
      </w:r>
    </w:p>
    <w:p>
      <w:pPr>
        <w:spacing w:after="120"/>
        <w:jc w:val="both"/>
      </w:pPr>
      <w:r>
        <w:rPr>
          <w:rFonts w:ascii="Calibri" w:cs="Calibri" w:eastAsia="Calibri" w:hAnsi="Calibri"/>
          <w:sz w:val="22"/>
          <w:szCs w:val="22"/>
        </w:rPr>
        <w:t xml:space="preserve">"Fair Market Rent" means the annual base rent per rentable square foot that a willing, non-equity tenant would pay, and a willing landlord of a comparable first-class office building in the [MARKET AREA] would accept, for comparable space, for a comparable term, taking into account all relevant factors, including (a) the condition and location of the Premises and the Building, (b) prevailing market concessions (including free rent, tenant improvement allowances, and moving allowances), (c) escalation provisions, and (d) the creditworthiness of Tenant. Within thirty (30) days after Tenant's exercise of the renewal option, Landlord shall deliver to Tenant Landlord's determination of Fair Market Rent. If Tenant disagrees with Landlord's determination, the parties shall negotiate in good faith for thirty (30) days. If the parties are unable to agree on Fair Market Rent within such thirty (30) day period, Fair Market Rent shall be determined by arbitration using [NUMBER, e.g., three (3)] independent MAI-certified commercial real estate appraisers in accordance with the following procedure: each party shall select one appraiser within fifteen (15) days, and the two selected appraisers shall select a third appraiser within fifteen (15) days. Each appraiser shall independently determine Fair Market Rent within thirty (30) days. Fair Market Rent shall be the average of the two closest determinations (or, if all three are equidistant, the average of all three).</w:t>
      </w:r>
    </w:p>
    <w:p>
      <w:pPr>
        <w:spacing w:after="120" w:before="240"/>
      </w:pPr>
      <w:r>
        <w:rPr>
          <w:rFonts w:ascii="Calibri" w:cs="Calibri" w:eastAsia="Calibri" w:hAnsi="Calibri"/>
          <w:b/>
          <w:bCs/>
          <w:sz w:val="22"/>
          <w:szCs w:val="22"/>
        </w:rPr>
        <w:t xml:space="preserve">Section 14.2. Expansion Option</w:t>
      </w:r>
    </w:p>
    <w:p>
      <w:pPr>
        <w:spacing w:after="120"/>
        <w:jc w:val="both"/>
      </w:pPr>
      <w:r>
        <w:rPr>
          <w:rFonts w:ascii="Calibri" w:cs="Calibri" w:eastAsia="Calibri" w:hAnsi="Calibri"/>
          <w:sz w:val="22"/>
          <w:szCs w:val="22"/>
        </w:rPr>
        <w:t xml:space="preserve">Provided that (a) this Lease is in full force and effect, (b) Tenant is not in Default beyond any applicable cure period, and (c) Tenant (or its Affiliate) is occupying all of the Premises, Tenant shall have the one-time option to expand into the Expansion Space identified in the Cover Sheet and depicted on Exhibit H (the "Expansion Space"), on the following terms: (i) Tenant shall exercise its expansion option by delivering written notice to Landlord not later than [NUMBER, e.g., twelve (12)] months prior to the date Tenant desires to commence occupancy of the Expansion Space; (ii) the Expansion Space shall be delivered in its then "as-is" condition; (iii) Landlord shall provide a tenant improvement allowance for the Expansion Space of $[EXPANSION TI ALLOWANCE] per RSF; (iv) Base Rent for the Expansion Space shall be the Fair Market Rent determined as of the date of occupancy; and (v) the Expansion Space shall be added to the Premises, Tenant's Pro Rata Share shall be recalculated, and the parties shall execute an amendment confirming the expanded Premises.</w:t>
      </w:r>
    </w:p>
    <w:p>
      <w:pPr>
        <w:spacing w:after="120" w:before="240"/>
      </w:pPr>
      <w:r>
        <w:rPr>
          <w:rFonts w:ascii="Calibri" w:cs="Calibri" w:eastAsia="Calibri" w:hAnsi="Calibri"/>
          <w:b/>
          <w:bCs/>
          <w:sz w:val="22"/>
          <w:szCs w:val="22"/>
        </w:rPr>
        <w:t xml:space="preserve">Section 14.3. Right of First Offer</w:t>
      </w:r>
    </w:p>
    <w:p>
      <w:pPr>
        <w:spacing w:after="120"/>
        <w:jc w:val="both"/>
      </w:pPr>
      <w:r>
        <w:rPr>
          <w:rFonts w:ascii="Calibri" w:cs="Calibri" w:eastAsia="Calibri" w:hAnsi="Calibri"/>
          <w:sz w:val="22"/>
          <w:szCs w:val="22"/>
        </w:rPr>
        <w:t xml:space="preserve">If any space on [FLOOR(S)] of the Building (other than the Expansion Space) becomes available for lease during the Lease Term (the "ROFO Space"), Landlord shall, before offering such space to third parties, deliver written notice to Tenant (the "ROFO Notice") identifying the ROFO Space and the material terms on which Landlord is willing to lease such space (including rent, term, tenant improvement allowance, and other concessions). Tenant shall have [NUMBER, e.g., ten (10)] Business Days after receipt of the ROFO Notice to elect to lease the ROFO Space on the terms specified in the ROFO Notice by delivering written notice to Landlord. If Tenant elects to lease the ROFO Space, the parties shall execute an amendment to this Lease within thirty (30) days. If Tenant declines or fails to respond within the response period, Landlord may lease the ROFO Space to a third party on terms no more favorable to the third party than those offered to Tenant (with a tolerance of [PERCENTAGE, e.g., five percent (5%)]). Tenant's right of first offer shall be subordinate to any existing expansion rights, renewal rights, or rights of first offer or refusal held by other tenants as of the Lease Date, as disclosed in Exhibit H.</w:t>
      </w:r>
    </w:p>
    <w:p>
      <w:pPr>
        <w:spacing w:after="120" w:before="240"/>
      </w:pPr>
      <w:r>
        <w:rPr>
          <w:rFonts w:ascii="Calibri" w:cs="Calibri" w:eastAsia="Calibri" w:hAnsi="Calibri"/>
          <w:b/>
          <w:bCs/>
          <w:sz w:val="22"/>
          <w:szCs w:val="22"/>
        </w:rPr>
        <w:t xml:space="preserve">Section 14.4. Contraction Option</w:t>
      </w:r>
    </w:p>
    <w:p>
      <w:pPr>
        <w:spacing w:after="120"/>
        <w:jc w:val="both"/>
      </w:pPr>
      <w:r>
        <w:rPr>
          <w:rFonts w:ascii="Calibri" w:cs="Calibri" w:eastAsia="Calibri" w:hAnsi="Calibri"/>
          <w:sz w:val="22"/>
          <w:szCs w:val="22"/>
        </w:rPr>
        <w:t xml:space="preserve">Provided that (a) this Lease is in full force and effect and (b) Tenant is not in Default beyond any applicable cure period, Tenant shall have the one-time option to reduce the Premises by surrendering [CONTRACTION SPACE DESCRIPTION] (the "Contraction Space"), effective no earlier than the [NUMBER]th month of the Lease Term, upon the following conditions: (i) Tenant shall deliver irrevocable written notice to Landlord at least [NUMBER, e.g., twelve (12)] months prior to the effective date of the contraction; (ii) on or before the contraction effective date, Tenant shall pay to Landlord a contraction fee equal to [CONTRACTION FEE FORMULA, e.g., the unamortized portion of the leasing commissions, TI Allowance, and free rent allocable to the Contraction Space, plus [NUMBER] months of Base Rent for the Contraction Space]; (iii) Tenant shall surrender the Contraction Space in the condition required by Section 16.1; and (iv) the parties shall execute an amendment to this Lease adjusting the Premises, Rentable Area, Base Rent, and Tenant's Pro Rata Share.</w:t>
      </w:r>
    </w:p>
    <w:p>
      <w:pPr>
        <w:spacing w:after="120" w:before="240"/>
      </w:pPr>
      <w:r>
        <w:rPr>
          <w:rFonts w:ascii="Calibri" w:cs="Calibri" w:eastAsia="Calibri" w:hAnsi="Calibri"/>
          <w:b/>
          <w:bCs/>
          <w:sz w:val="22"/>
          <w:szCs w:val="22"/>
        </w:rPr>
        <w:t xml:space="preserve">Section 14.5. Early Termination Option</w:t>
      </w:r>
    </w:p>
    <w:p>
      <w:pPr>
        <w:spacing w:after="120"/>
        <w:jc w:val="both"/>
      </w:pPr>
      <w:r>
        <w:rPr>
          <w:rFonts w:ascii="Calibri" w:cs="Calibri" w:eastAsia="Calibri" w:hAnsi="Calibri"/>
          <w:sz w:val="22"/>
          <w:szCs w:val="22"/>
        </w:rPr>
        <w:t xml:space="preserve">Provided that (a) this Lease is in full force and effect and (b) Tenant is not in Default beyond any applicable cure period, Tenant shall have the one-time option to terminate this Lease, effective no earlier than the [NUMBER]th month of the Lease Term, upon the following conditions: (i) Tenant shall deliver irrevocable written notice to Landlord at least [NUMBER, e.g., twelve (12)] months prior to the termination date; (ii) on or before the termination date, Tenant shall pay to Landlord a termination fee equal to [TERMINATION FEE FORMULA, e.g., the unamortized portion of leasing commissions, TI Allowance, and free rent, plus [NUMBER] months of Base Rent] (the "Termination Fee"); and (iii) Tenant shall surrender the Premises in the condition required by Section 16.1. If Tenant fails to pay the Termination Fee when due, the termination notice shall be null and void and this Lease shall continue in full force and effect.</w:t>
      </w:r>
    </w:p>
    <w:p>
      <w:pPr>
        <w:spacing w:after="120" w:before="240"/>
      </w:pPr>
      <w:r>
        <w:rPr>
          <w:rFonts w:ascii="Calibri" w:cs="Calibri" w:eastAsia="Calibri" w:hAnsi="Calibri"/>
          <w:b/>
          <w:bCs/>
          <w:sz w:val="22"/>
          <w:szCs w:val="22"/>
        </w:rPr>
        <w:t xml:space="preserve">Section 14.6. Purchase Option</w:t>
      </w:r>
    </w:p>
    <w:p>
      <w:pPr>
        <w:spacing w:after="120"/>
        <w:jc w:val="both"/>
      </w:pPr>
      <w:r>
        <w:rPr>
          <w:rFonts w:ascii="Calibri" w:cs="Calibri" w:eastAsia="Calibri" w:hAnsi="Calibri"/>
          <w:sz w:val="22"/>
          <w:szCs w:val="22"/>
        </w:rPr>
        <w:t xml:space="preserve">[IF APPLICABLE: Provided that (a) this Lease is in full force and effect, (b) Tenant is not in Default beyond any applicable cure period, and (c) no Mortgage prohibits or restricts such sale, Tenant shall have the option to purchase the Building (or Tenant's proportionate interest in the condominium unit comprising the Premises, if the Building has been condominiumized) at Fair Market Value, exercisable during the [NUMBER]th Lease Year. "Fair Market Value" shall be determined by mutual agreement of the parties, or, if the parties cannot agree within thirty (30) days, by appraisal using the same procedure as described in Section 14.1 for Fair Market Rent. The purchase shall close within [NUMBER] days after determination of Fair Market Value, on terms customary for commercial real estate transactions in [STATE].]</w:t>
      </w:r>
    </w:p>
    <w:p>
      <w:pPr>
        <w:spacing w:after="120"/>
        <w:jc w:val="both"/>
      </w:pPr>
      <w:r>
        <w:rPr>
          <w:rFonts w:ascii="Calibri" w:cs="Calibri" w:eastAsia="Calibri" w:hAnsi="Calibri"/>
          <w:sz w:val="22"/>
          <w:szCs w:val="22"/>
        </w:rPr>
        <w:t xml:space="preserve">[IF NOT APPLICABLE: Intentionally Omitted.]</w:t>
      </w:r>
    </w:p>
    <w:p>
      <w:pPr>
        <w:spacing w:after="120" w:before="240"/>
      </w:pPr>
      <w:r>
        <w:rPr>
          <w:rFonts w:ascii="Calibri" w:cs="Calibri" w:eastAsia="Calibri" w:hAnsi="Calibri"/>
          <w:b/>
          <w:bCs/>
          <w:sz w:val="22"/>
          <w:szCs w:val="22"/>
        </w:rPr>
        <w:t xml:space="preserve">Section 14.7. Signage Upgrade Rights</w:t>
      </w:r>
    </w:p>
    <w:p>
      <w:pPr>
        <w:spacing w:after="120"/>
        <w:jc w:val="both"/>
      </w:pPr>
      <w:r>
        <w:rPr>
          <w:rFonts w:ascii="Calibri" w:cs="Calibri" w:eastAsia="Calibri" w:hAnsi="Calibri"/>
          <w:sz w:val="22"/>
          <w:szCs w:val="22"/>
        </w:rPr>
        <w:t xml:space="preserve">Tenant's signage rights may be upgraded during the Lease Term as follows: (a) if Tenant leases one (1) or more full floors of the Building, Tenant shall be entitled to elevator lobby identification signage on each such full floor; (b) if Tenant becomes the largest tenant in the Building by Rentable Area, Tenant shall be entitled to prominent lobby identification signage and, subject to availability and governmental approvals, exterior building signage, on terms to be negotiated in good faith. Signage upgrades shall be at Tenant's sole cost and expense, subject to Landlord's approval of design, materials, and placement (which approval shall not be unreasonably withheld).</w:t>
      </w:r>
    </w:p>
    <w:p>
      <w:pPr>
        <w:spacing w:after="120" w:before="240"/>
      </w:pPr>
      <w:r>
        <w:rPr>
          <w:rFonts w:ascii="Calibri" w:cs="Calibri" w:eastAsia="Calibri" w:hAnsi="Calibri"/>
          <w:b/>
          <w:bCs/>
          <w:sz w:val="22"/>
          <w:szCs w:val="22"/>
        </w:rPr>
        <w:t xml:space="preserve">Section 14.8. Additional Parking</w:t>
      </w:r>
    </w:p>
    <w:p>
      <w:pPr>
        <w:spacing w:after="120"/>
        <w:jc w:val="both"/>
      </w:pPr>
      <w:r>
        <w:rPr>
          <w:rFonts w:ascii="Calibri" w:cs="Calibri" w:eastAsia="Calibri" w:hAnsi="Calibri"/>
          <w:sz w:val="22"/>
          <w:szCs w:val="22"/>
        </w:rPr>
        <w:t xml:space="preserve">Subject to availability, Tenant may request additional parking spaces beyond those allocated in the Cover Sheet, at Landlord's then-current published parking rates. Landlord shall use commercially reasonable efforts to accommodate Tenant's request but shall have no obligation to displace other tenants' parking allocations. If Tenant leases additional space in the Building, Tenant's parking allocation shall be proportionately increased at the same ratio specified in the Cover Sheet.</w:t>
      </w:r>
    </w:p>
    <w:p>
      <w:pPr>
        <w:pageBreakBefore/>
        <w:spacing w:after="200" w:before="120"/>
        <w:jc w:val="center"/>
      </w:pPr>
      <w:r>
        <w:rPr>
          <w:rFonts w:ascii="Calibri" w:cs="Calibri" w:eastAsia="Calibri" w:hAnsi="Calibri"/>
          <w:b/>
          <w:bCs/>
          <w:sz w:val="26"/>
          <w:szCs w:val="26"/>
        </w:rPr>
        <w:t xml:space="preserve">ARTICLE 15 — LENDER AND TITLE MATTERS</w:t>
      </w:r>
    </w:p>
    <w:p>
      <w:pPr>
        <w:spacing w:after="120" w:before="240"/>
      </w:pPr>
      <w:r>
        <w:rPr>
          <w:rFonts w:ascii="Calibri" w:cs="Calibri" w:eastAsia="Calibri" w:hAnsi="Calibri"/>
          <w:b/>
          <w:bCs/>
          <w:sz w:val="22"/>
          <w:szCs w:val="22"/>
        </w:rPr>
        <w:t xml:space="preserve">Section 15.1. Quiet Enjoyment</w:t>
      </w:r>
    </w:p>
    <w:p>
      <w:pPr>
        <w:spacing w:after="120"/>
        <w:jc w:val="both"/>
      </w:pPr>
      <w:r>
        <w:rPr>
          <w:rFonts w:ascii="Calibri" w:cs="Calibri" w:eastAsia="Calibri" w:hAnsi="Calibri"/>
          <w:sz w:val="22"/>
          <w:szCs w:val="22"/>
        </w:rPr>
        <w:t xml:space="preserve">Subject to the terms and conditions of this Lease, Landlord covenants that Tenant shall peaceably and quietly hold, occupy, and enjoy the Premises during the Lease Term without hindrance or molestation by Landlord or any person claiming by, through, or under Landlord, provided that Tenant is not in Default beyond any applicable cure period. This covenant of quiet enjoyment is in lieu of any implied covenant of quiet enjoyment, and Landlord's liability for breach of this covenant shall be limited as provided in Section 10.10.</w:t>
      </w:r>
    </w:p>
    <w:p>
      <w:pPr>
        <w:spacing w:after="120" w:before="240"/>
      </w:pPr>
      <w:r>
        <w:rPr>
          <w:rFonts w:ascii="Calibri" w:cs="Calibri" w:eastAsia="Calibri" w:hAnsi="Calibri"/>
          <w:b/>
          <w:bCs/>
          <w:sz w:val="22"/>
          <w:szCs w:val="22"/>
        </w:rPr>
        <w:t xml:space="preserve">Section 15.2. Subordination</w:t>
      </w:r>
    </w:p>
    <w:p>
      <w:pPr>
        <w:spacing w:after="120"/>
        <w:jc w:val="both"/>
      </w:pPr>
      <w:r>
        <w:rPr>
          <w:rFonts w:ascii="Calibri" w:cs="Calibri" w:eastAsia="Calibri" w:hAnsi="Calibri"/>
          <w:sz w:val="22"/>
          <w:szCs w:val="22"/>
        </w:rPr>
        <w:t xml:space="preserve">This Lease is and shall be subject and subordinate to any and all Mortgages and ground leases now existing or hereafter placed upon the Building, the Project, or the land thereunder, and to all renewals, modifications, consolidations, replacements, and extensions thereof, without the necessity of any further instrument or act on the part of Tenant. Tenant agrees to execute and deliver, within [NUMBER, e.g., ten (10)] Business Days after request, any commercially reasonable instrument evidencing such subordination. Notwithstanding the foregoing, Tenant's obligation to subordinate this Lease to any future Mortgage or ground lease is conditioned upon Tenant's receipt of an SNDA from the Lender or ground lessor in the form attached as Exhibit I (or such other commercially reasonable form as may be required by the Lender, provided that such form includes nondisturbance protections substantially similar to those in Exhibit I).</w:t>
      </w:r>
    </w:p>
    <w:p>
      <w:pPr>
        <w:spacing w:after="120" w:before="240"/>
      </w:pPr>
      <w:r>
        <w:rPr>
          <w:rFonts w:ascii="Calibri" w:cs="Calibri" w:eastAsia="Calibri" w:hAnsi="Calibri"/>
          <w:b/>
          <w:bCs/>
          <w:sz w:val="22"/>
          <w:szCs w:val="22"/>
        </w:rPr>
        <w:t xml:space="preserve">Section 15.3. Nondisturbance</w:t>
      </w:r>
    </w:p>
    <w:p>
      <w:pPr>
        <w:spacing w:after="120"/>
        <w:jc w:val="both"/>
      </w:pPr>
      <w:r>
        <w:rPr>
          <w:rFonts w:ascii="Calibri" w:cs="Calibri" w:eastAsia="Calibri" w:hAnsi="Calibri"/>
          <w:sz w:val="22"/>
          <w:szCs w:val="22"/>
        </w:rPr>
        <w:t xml:space="preserve">As a condition to Tenant's subordination under Section 15.2, each Lender shall agree that, so long as Tenant is not in Default beyond any applicable cure period, (a) Tenant's possession of the Premises shall not be disturbed, (b) this Lease shall not be terminated or modified, and (c) Tenant's rights under this Lease (including renewal options, expansion options, and other rights) shall be recognized and honored, in each case notwithstanding any foreclosure, deed in lieu of foreclosure, or other enforcement of the Mortgage. Landlord represents that, as of the Lease Date, the current Lender(s) are as follows: [CURRENT LENDER(S)], and Landlord shall use commercially reasonable efforts to deliver an SNDA from each current Lender within [NUMBER] days after the Lease Date. Landlord's failure to deliver such SNDA within such period shall not constitute a default, but Tenant may elect to terminate this Lease if an SNDA is not delivered within [NUMBER] days after the Lease Date.</w:t>
      </w:r>
    </w:p>
    <w:p>
      <w:pPr>
        <w:spacing w:after="120" w:before="240"/>
      </w:pPr>
      <w:r>
        <w:rPr>
          <w:rFonts w:ascii="Calibri" w:cs="Calibri" w:eastAsia="Calibri" w:hAnsi="Calibri"/>
          <w:b/>
          <w:bCs/>
          <w:sz w:val="22"/>
          <w:szCs w:val="22"/>
        </w:rPr>
        <w:t xml:space="preserve">Section 15.4. Attornment</w:t>
      </w:r>
    </w:p>
    <w:p>
      <w:pPr>
        <w:spacing w:after="120"/>
        <w:jc w:val="both"/>
      </w:pPr>
      <w:r>
        <w:rPr>
          <w:rFonts w:ascii="Calibri" w:cs="Calibri" w:eastAsia="Calibri" w:hAnsi="Calibri"/>
          <w:sz w:val="22"/>
          <w:szCs w:val="22"/>
        </w:rPr>
        <w:t xml:space="preserve">If any Lender or purchaser at a foreclosure sale (a "Successor Landlord") succeeds to the interest of Landlord under this Lease, Tenant shall attorn to the Successor Landlord and recognize the Successor Landlord as Tenant's landlord under this Lease, provided that the Successor Landlord agrees to be bound by the terms of this Lease and to recognize Tenant's rights hereunder (including all options and rights that have been properly exercised). The Successor Landlord shall not be (a) liable for any act, omission, or default of any prior landlord, (b) subject to any offset, claim, or defense that Tenant may have against any prior landlord, (c) bound by any prepayment of Rent for more than one (1) month in advance, or (d) bound by any amendment or modification of this Lease made without the Successor Landlord's written consent.</w:t>
      </w:r>
    </w:p>
    <w:p>
      <w:pPr>
        <w:spacing w:after="120" w:before="240"/>
      </w:pPr>
      <w:r>
        <w:rPr>
          <w:rFonts w:ascii="Calibri" w:cs="Calibri" w:eastAsia="Calibri" w:hAnsi="Calibri"/>
          <w:b/>
          <w:bCs/>
          <w:sz w:val="22"/>
          <w:szCs w:val="22"/>
        </w:rPr>
        <w:t xml:space="preserve">Section 15.5. SNDA</w:t>
      </w:r>
    </w:p>
    <w:p>
      <w:pPr>
        <w:spacing w:after="120"/>
        <w:jc w:val="both"/>
      </w:pPr>
      <w:r>
        <w:rPr>
          <w:rFonts w:ascii="Calibri" w:cs="Calibri" w:eastAsia="Calibri" w:hAnsi="Calibri"/>
          <w:sz w:val="22"/>
          <w:szCs w:val="22"/>
        </w:rPr>
        <w:t xml:space="preserve">Simultaneously with the execution of this Lease (or as soon thereafter as reasonably practicable), Landlord shall deliver to Tenant a subordination, nondisturbance, and attornment agreement ("SNDA") from each existing Lender, in substantially the form attached as Exhibit I. The SNDA shall be a recordable instrument binding upon the Lender, any Successor Landlord, and their respective successors and assigns. If Landlord refinances the Building or places a new Mortgage on the Building during the Lease Term, Landlord shall obtain and deliver to Tenant an SNDA from the new Lender within thirty (30) days after the closing of such financing. Tenant shall cooperate with Landlord and the Lender in executing and delivering the SNDA and any other documents reasonably required by the Lender, provided that such documents do not materially modify Tenant's rights or increase Tenant's obligations under this Lease.</w:t>
      </w:r>
    </w:p>
    <w:p>
      <w:pPr>
        <w:spacing w:after="120" w:before="240"/>
      </w:pPr>
      <w:r>
        <w:rPr>
          <w:rFonts w:ascii="Calibri" w:cs="Calibri" w:eastAsia="Calibri" w:hAnsi="Calibri"/>
          <w:b/>
          <w:bCs/>
          <w:sz w:val="22"/>
          <w:szCs w:val="22"/>
        </w:rPr>
        <w:t xml:space="preserve">Section 15.6. Estoppel Certificates</w:t>
      </w:r>
    </w:p>
    <w:p>
      <w:pPr>
        <w:spacing w:after="120"/>
        <w:jc w:val="both"/>
      </w:pPr>
      <w:r>
        <w:rPr>
          <w:rFonts w:ascii="Calibri" w:cs="Calibri" w:eastAsia="Calibri" w:hAnsi="Calibri"/>
          <w:sz w:val="22"/>
          <w:szCs w:val="22"/>
        </w:rPr>
        <w:t xml:space="preserve">Within [NUMBER, e.g., fifteen (15)] Business Days after request by either party (or by any Lender or prospective purchaser of the Building), the other party shall execute and deliver to the requesting party a written estoppel certificate (the "Estoppel Certificate") confirming, to the extent true and accurate: (a) this Lease is in full force and effect and has not been amended or modified (or, if amended, identifying the amendments); (b) the dates of the Commencement Date, Rent Commencement Date, and Expiration Date; (c) the amount of current monthly Base Rent and any Additional Rent; (d) the amount of the Security Deposit held by Landlord; (e) Tenant is in occupancy of the Premises; (f) no Default exists by either party (or, if a Default exists, specifying the nature of the Default); (g) the date through which Rent has been paid; and (h) such other matters as may be reasonably requested. The Estoppel Certificate shall be in a form reasonably satisfactory to the requesting party and the intended recipient. Failure to deliver an Estoppel Certificate within the required period shall constitute an admission that the statements contained in the proposed certificate are true and correct.</w:t>
      </w:r>
    </w:p>
    <w:p>
      <w:pPr>
        <w:spacing w:after="120" w:before="240"/>
      </w:pPr>
      <w:r>
        <w:rPr>
          <w:rFonts w:ascii="Calibri" w:cs="Calibri" w:eastAsia="Calibri" w:hAnsi="Calibri"/>
          <w:b/>
          <w:bCs/>
          <w:sz w:val="22"/>
          <w:szCs w:val="22"/>
        </w:rPr>
        <w:t xml:space="preserve">Section 15.7. Mortgage Notice Requirements</w:t>
      </w:r>
    </w:p>
    <w:p>
      <w:pPr>
        <w:spacing w:after="120"/>
        <w:jc w:val="both"/>
      </w:pPr>
      <w:r>
        <w:rPr>
          <w:rFonts w:ascii="Calibri" w:cs="Calibri" w:eastAsia="Calibri" w:hAnsi="Calibri"/>
          <w:sz w:val="22"/>
          <w:szCs w:val="22"/>
        </w:rPr>
        <w:t xml:space="preserve">Tenant shall deliver to any Lender whose address has been provided to Tenant (by Landlord or by the Lender directly) a copy of any notice of default or termination delivered by Tenant to Landlord under this Lease, simultaneously with delivery to Landlord. No notice of default or termination shall be effective against the Lender unless the Lender has received such notice. The Lender shall have the right (but not the obligation) to cure any default by Landlord within the cure period available to Landlord, plus an additional [NUMBER, e.g., thirty (30)] days (or, if the Lender must obtain possession to cure, such additional time as is reasonably necessary for the Lender to obtain possession through foreclosure or otherwise).</w:t>
      </w:r>
    </w:p>
    <w:p>
      <w:pPr>
        <w:pageBreakBefore/>
        <w:spacing w:after="200" w:before="120"/>
        <w:jc w:val="center"/>
      </w:pPr>
      <w:r>
        <w:rPr>
          <w:rFonts w:ascii="Calibri" w:cs="Calibri" w:eastAsia="Calibri" w:hAnsi="Calibri"/>
          <w:b/>
          <w:bCs/>
          <w:sz w:val="26"/>
          <w:szCs w:val="26"/>
        </w:rPr>
        <w:t xml:space="preserve">ARTICLE 16 — SURRENDER AND GENERAL PROVISIONS</w:t>
      </w:r>
    </w:p>
    <w:p>
      <w:pPr>
        <w:spacing w:after="120" w:before="240"/>
      </w:pPr>
      <w:r>
        <w:rPr>
          <w:rFonts w:ascii="Calibri" w:cs="Calibri" w:eastAsia="Calibri" w:hAnsi="Calibri"/>
          <w:b/>
          <w:bCs/>
          <w:sz w:val="22"/>
          <w:szCs w:val="22"/>
        </w:rPr>
        <w:t xml:space="preserve">Section 16.1. Condition Upon Surrender</w:t>
      </w:r>
    </w:p>
    <w:p>
      <w:pPr>
        <w:spacing w:after="120"/>
        <w:jc w:val="both"/>
      </w:pPr>
      <w:r>
        <w:rPr>
          <w:rFonts w:ascii="Calibri" w:cs="Calibri" w:eastAsia="Calibri" w:hAnsi="Calibri"/>
          <w:sz w:val="22"/>
          <w:szCs w:val="22"/>
        </w:rPr>
        <w:t xml:space="preserve">Upon the expiration or earlier termination of this Lease, Tenant shall surrender the Premises to Landlord in broom-clean condition, free of all of Tenant's personal property, trade fixtures, and equipment, and in the same condition as received on the Commencement Date, subject to (a) reasonable wear and tear, (b) casualty and condemnation, (c) alterations that Landlord has agreed in writing may remain, and (d) the provisions of Section 16.2. Tenant shall also surrender all keys, access cards, and security codes for the Premises to Landlord. The Surrender Checklist attached as Exhibit J sets forth the parties' agreed-upon standards for the condition of the Premises upon surrender.</w:t>
      </w:r>
    </w:p>
    <w:p>
      <w:pPr>
        <w:spacing w:after="120" w:before="240"/>
      </w:pPr>
      <w:r>
        <w:rPr>
          <w:rFonts w:ascii="Calibri" w:cs="Calibri" w:eastAsia="Calibri" w:hAnsi="Calibri"/>
          <w:b/>
          <w:bCs/>
          <w:sz w:val="22"/>
          <w:szCs w:val="22"/>
        </w:rPr>
        <w:t xml:space="preserve">Section 16.2. Removal and Restoration</w:t>
      </w:r>
    </w:p>
    <w:p>
      <w:pPr>
        <w:spacing w:after="120"/>
        <w:jc w:val="both"/>
      </w:pPr>
      <w:r>
        <w:rPr>
          <w:rFonts w:ascii="Calibri" w:cs="Calibri" w:eastAsia="Calibri" w:hAnsi="Calibri"/>
          <w:sz w:val="22"/>
          <w:szCs w:val="22"/>
        </w:rPr>
        <w:t xml:space="preserve">Prior to the Expiration Date (or promptly upon earlier termination), Tenant shall remove from the Premises (a) all of Tenant's personal property, trade fixtures, furniture, and equipment; (b) all telecommunications cabling, wiring, and equipment installed by or for Tenant (unless Landlord elects to retain such cabling, in which case Tenant shall leave it in place in good condition); (c) all Alterations that Landlord designated for removal at the time Landlord approved such Alterations; and (d) all signage installed by Tenant. Tenant shall repair all damage caused by such removal and restore the affected areas to their condition prior to installation, in a good and workmanlike manner. If Tenant fails to remove any items required to be removed within [NUMBER, e.g., ten (10)] days after the Expiration Date or termination date, Landlord may remove and dispose of such items at Tenant's expense, and Tenant shall reimburse Landlord for the cost of removal, disposal, and restoration within thirty (30) days after demand. Any personal property remaining in the Premises after such period shall be deemed abandoned and may be retained or disposed of by Landlord without liability to Tenant.</w:t>
      </w:r>
    </w:p>
    <w:p>
      <w:pPr>
        <w:spacing w:after="120" w:before="240"/>
      </w:pPr>
      <w:r>
        <w:rPr>
          <w:rFonts w:ascii="Calibri" w:cs="Calibri" w:eastAsia="Calibri" w:hAnsi="Calibri"/>
          <w:b/>
          <w:bCs/>
          <w:sz w:val="22"/>
          <w:szCs w:val="22"/>
        </w:rPr>
        <w:t xml:space="preserve">Section 16.3. Holdover</w:t>
      </w:r>
    </w:p>
    <w:p>
      <w:pPr>
        <w:spacing w:after="120"/>
        <w:jc w:val="both"/>
      </w:pPr>
      <w:r>
        <w:rPr>
          <w:rFonts w:ascii="Calibri" w:cs="Calibri" w:eastAsia="Calibri" w:hAnsi="Calibri"/>
          <w:sz w:val="22"/>
          <w:szCs w:val="22"/>
        </w:rPr>
        <w:t xml:space="preserve">If Tenant remains in possession of the Premises after the expiration or earlier termination of this Lease without Landlord's prior written consent, Tenant shall be deemed a holdover tenant and shall pay holdover rent at a rate equal to [HOLDOVER RATE, e.g., one hundred fifty percent (150%)] of the Base Rent in effect during the last month of the Lease Term, plus all applicable Additional Rent, for each month (or partial month) of holdover. In addition, Tenant shall indemnify, defend, and hold harmless Landlord from and against any and all claims, damages, losses, costs, and expenses (including consequential damages such as lost rental income from prospective tenants) arising from or in connection with Tenant's holdover. Acceptance of holdover rent by Landlord shall not constitute a waiver of Landlord's right to recover possession of the Premises or to exercise any other remedy. No holdover shall be deemed to create a month-to-month or other periodic tenancy without Landlord's express written consent. If Tenant provides Landlord with at least [NUMBER, e.g., six (6)] months' prior written notice of its intent to holdover for a specified period not to exceed [NUMBER, e.g., six (6)] months, the holdover rate during such noticed period shall be [NOTICED HOLDOVER RATE, e.g., one hundred twenty-five percent (125%)] of the Base Rent in effect during the last month of the Lease Term.</w:t>
      </w:r>
    </w:p>
    <w:p>
      <w:pPr>
        <w:spacing w:after="120" w:before="240"/>
      </w:pPr>
      <w:r>
        <w:rPr>
          <w:rFonts w:ascii="Calibri" w:cs="Calibri" w:eastAsia="Calibri" w:hAnsi="Calibri"/>
          <w:b/>
          <w:bCs/>
          <w:sz w:val="22"/>
          <w:szCs w:val="22"/>
        </w:rPr>
        <w:t xml:space="preserve">Section 16.4. Notices</w:t>
      </w:r>
    </w:p>
    <w:p>
      <w:pPr>
        <w:spacing w:after="120"/>
        <w:jc w:val="both"/>
      </w:pPr>
      <w:r>
        <w:rPr>
          <w:rFonts w:ascii="Calibri" w:cs="Calibri" w:eastAsia="Calibri" w:hAnsi="Calibri"/>
          <w:sz w:val="22"/>
          <w:szCs w:val="22"/>
        </w:rPr>
        <w:t xml:space="preserve">All notices, demands, consents, approvals, and other communications required or permitted under this Lease shall be in writing and shall be deemed duly given (a) when delivered personally, (b) one (1) Business Day after being sent by nationally recognized overnight courier (with tracking confirmation), (c) three (3) Business Days after being sent by certified or registered United States mail, postage prepaid, return receipt requested, or (d) when sent by email to the email address specified below (with delivery confirmation and a copy sent by one of the methods specified in clauses (a), (b), or (c)). Notices shall be addressed to the parties at the addresses specified in the Cover Sheet, or at such other addresses as either party may designate by notice to the other party. Notices to Tenant shall be sent to Tenant's pre-occupancy address (as specified in the Cover Sheet) prior to the Commencement Date, and to the Premises after the Commencement Date. A copy of all notices to Landlord shall also be sent to [LANDLORD'S COUNSEL NAME AND ADDRESS]. A copy of all notices to Tenant shall also be sent to [TENANT'S COUNSEL NAME AND ADDRESS].</w:t>
      </w:r>
    </w:p>
    <w:p>
      <w:pPr>
        <w:spacing w:after="120" w:before="240"/>
      </w:pPr>
      <w:r>
        <w:rPr>
          <w:rFonts w:ascii="Calibri" w:cs="Calibri" w:eastAsia="Calibri" w:hAnsi="Calibri"/>
          <w:b/>
          <w:bCs/>
          <w:sz w:val="22"/>
          <w:szCs w:val="22"/>
        </w:rPr>
        <w:t xml:space="preserve">Section 16.5. Brokers</w:t>
      </w:r>
    </w:p>
    <w:p>
      <w:pPr>
        <w:spacing w:after="120"/>
        <w:jc w:val="both"/>
      </w:pPr>
      <w:r>
        <w:rPr>
          <w:rFonts w:ascii="Calibri" w:cs="Calibri" w:eastAsia="Calibri" w:hAnsi="Calibri"/>
          <w:sz w:val="22"/>
          <w:szCs w:val="22"/>
        </w:rPr>
        <w:t xml:space="preserve">Each party represents and warrants to the other that it has not dealt with any real estate broker or finder in connection with this Lease other than the Broker(s) identified in the Cover Sheet. Landlord shall pay the commission(s) due to the Broker(s) pursuant to a separate agreement between Landlord and the Broker(s). Each party shall indemnify, defend, and hold harmless the other party from and against any claims for brokerage commissions, finder's fees, or similar compensation asserted by any broker, finder, or intermediary claiming to have dealt with the indemnifying party in connection with this Lease (other than the Broker(s) identified in the Cover Sheet).</w:t>
      </w:r>
    </w:p>
    <w:p>
      <w:pPr>
        <w:spacing w:after="120" w:before="240"/>
      </w:pPr>
      <w:r>
        <w:rPr>
          <w:rFonts w:ascii="Calibri" w:cs="Calibri" w:eastAsia="Calibri" w:hAnsi="Calibri"/>
          <w:b/>
          <w:bCs/>
          <w:sz w:val="22"/>
          <w:szCs w:val="22"/>
        </w:rPr>
        <w:t xml:space="preserve">Section 16.6. Force Majeure</w:t>
      </w:r>
    </w:p>
    <w:p>
      <w:pPr>
        <w:spacing w:after="120"/>
        <w:jc w:val="both"/>
      </w:pPr>
      <w:r>
        <w:rPr>
          <w:rFonts w:ascii="Calibri" w:cs="Calibri" w:eastAsia="Calibri" w:hAnsi="Calibri"/>
          <w:sz w:val="22"/>
          <w:szCs w:val="22"/>
        </w:rPr>
        <w:t xml:space="preserve">Neither party shall be liable for any delay or failure to perform any obligation under this Lease (other than the obligation to pay Rent or other monetary obligations) to the extent such delay or failure is caused by a Force Majeure event. The party affected by a Force Majeure event shall give prompt written notice to the other party of the nature and expected duration of the Force Majeure event, and shall use commercially reasonable efforts to mitigate the effects thereof and to resume performance as soon as reasonably practicable. The time for performance of any obligation affected by a Force Majeure event shall be extended by the duration of the Force Majeure delay. In no event shall a Force Majeure event extend any cure period for a monetary Default or excuse Tenant's obligation to pay Rent.</w:t>
      </w:r>
    </w:p>
    <w:p>
      <w:pPr>
        <w:spacing w:after="120" w:before="240"/>
      </w:pPr>
      <w:r>
        <w:rPr>
          <w:rFonts w:ascii="Calibri" w:cs="Calibri" w:eastAsia="Calibri" w:hAnsi="Calibri"/>
          <w:b/>
          <w:bCs/>
          <w:sz w:val="22"/>
          <w:szCs w:val="22"/>
        </w:rPr>
        <w:t xml:space="preserve">Section 16.7. Governing Law; Venue</w:t>
      </w:r>
    </w:p>
    <w:p>
      <w:pPr>
        <w:spacing w:after="120"/>
        <w:jc w:val="both"/>
      </w:pPr>
      <w:r>
        <w:rPr>
          <w:rFonts w:ascii="Calibri" w:cs="Calibri" w:eastAsia="Calibri" w:hAnsi="Calibri"/>
          <w:sz w:val="22"/>
          <w:szCs w:val="22"/>
        </w:rPr>
        <w:t xml:space="preserve">This Lease shall be governed by and construed in accordance with the laws of the State of [STATE], without regard to its conflicts of law principles. Any action or proceeding arising out of or relating to this Lease shall be brought exclusively in the state or federal courts located in [COUNTY], [STATE], and each party hereby consents to the jurisdiction and venue of such courts and waives any objection to the laying of venue in such courts.</w:t>
      </w:r>
    </w:p>
    <w:p>
      <w:pPr>
        <w:spacing w:after="120" w:before="240"/>
      </w:pPr>
      <w:r>
        <w:rPr>
          <w:rFonts w:ascii="Calibri" w:cs="Calibri" w:eastAsia="Calibri" w:hAnsi="Calibri"/>
          <w:b/>
          <w:bCs/>
          <w:sz w:val="22"/>
          <w:szCs w:val="22"/>
        </w:rPr>
        <w:t xml:space="preserve">Section 16.8. Waiver of Jury Trial</w:t>
      </w:r>
    </w:p>
    <w:p>
      <w:pPr>
        <w:spacing w:after="120"/>
        <w:jc w:val="both"/>
      </w:pPr>
      <w:r>
        <w:rPr>
          <w:rFonts w:ascii="Calibri" w:cs="Calibri" w:eastAsia="Calibri" w:hAnsi="Calibri"/>
          <w:sz w:val="22"/>
          <w:szCs w:val="22"/>
        </w:rPr>
        <w:t xml:space="preserve">TO THE FULLEST EXTENT PERMITTED BY APPLICABLE LAW, LANDLORD AND TENANT EACH HEREBY IRREVOCABLY WAIVE ANY AND ALL RIGHT TO TRIAL BY JURY IN ANY ACTION, PROCEEDING, OR COUNTERCLAIM ARISING OUT OF OR RELATING TO THIS LEASE, THE RELATIONSHIP OF LANDLORD AND TENANT, OR TENANT'S USE OR OCCUPANCY OF THE PREMISES. THIS WAIVER IS KNOWINGLY, VOLUNTARILY, AND INTENTIONALLY MADE BY EACH PARTY AFTER CONSULTATION WITH LEGAL COUNSEL.</w:t>
      </w:r>
    </w:p>
    <w:p>
      <w:pPr>
        <w:spacing w:after="120" w:before="240"/>
      </w:pPr>
      <w:r>
        <w:rPr>
          <w:rFonts w:ascii="Calibri" w:cs="Calibri" w:eastAsia="Calibri" w:hAnsi="Calibri"/>
          <w:b/>
          <w:bCs/>
          <w:sz w:val="22"/>
          <w:szCs w:val="22"/>
        </w:rPr>
        <w:t xml:space="preserve">Section 16.9. Entire Agreement</w:t>
      </w:r>
    </w:p>
    <w:p>
      <w:pPr>
        <w:spacing w:after="120"/>
        <w:jc w:val="both"/>
      </w:pPr>
      <w:r>
        <w:rPr>
          <w:rFonts w:ascii="Calibri" w:cs="Calibri" w:eastAsia="Calibri" w:hAnsi="Calibri"/>
          <w:sz w:val="22"/>
          <w:szCs w:val="22"/>
        </w:rPr>
        <w:t xml:space="preserve">This Lease (including the Cover Sheet, Exhibits, and any addenda and riders attached hereto) constitutes the entire agreement between the parties with respect to the subject matter hereof and supersedes all prior and contemporaneous agreements, negotiations, representations, warranties, and understandings between the parties, whether written or oral. No representation, warranty, inducement, promise, or agreement not expressly set forth in this Lease shall be binding on either party.</w:t>
      </w:r>
    </w:p>
    <w:p>
      <w:pPr>
        <w:spacing w:after="120" w:before="240"/>
      </w:pPr>
      <w:r>
        <w:rPr>
          <w:rFonts w:ascii="Calibri" w:cs="Calibri" w:eastAsia="Calibri" w:hAnsi="Calibri"/>
          <w:b/>
          <w:bCs/>
          <w:sz w:val="22"/>
          <w:szCs w:val="22"/>
        </w:rPr>
        <w:t xml:space="preserve">Section 16.10. Amendments; Waivers</w:t>
      </w:r>
    </w:p>
    <w:p>
      <w:pPr>
        <w:spacing w:after="120"/>
        <w:jc w:val="both"/>
      </w:pPr>
      <w:r>
        <w:rPr>
          <w:rFonts w:ascii="Calibri" w:cs="Calibri" w:eastAsia="Calibri" w:hAnsi="Calibri"/>
          <w:sz w:val="22"/>
          <w:szCs w:val="22"/>
        </w:rPr>
        <w:t xml:space="preserve">This Lease may not be amended, modified, or supplemented except by a written instrument executed by both Landlord and Tenant. No waiver of any provision of this Lease shall be effective unless in writing and signed by the waiving party. The failure of either party to enforce any provision of this Lease shall not constitute a waiver of such provision or the right to enforce it at a later time. A waiver of any breach shall not constitute a waiver of any other or subsequent breach.</w:t>
      </w:r>
    </w:p>
    <w:p>
      <w:pPr>
        <w:spacing w:after="120" w:before="240"/>
      </w:pPr>
      <w:r>
        <w:rPr>
          <w:rFonts w:ascii="Calibri" w:cs="Calibri" w:eastAsia="Calibri" w:hAnsi="Calibri"/>
          <w:b/>
          <w:bCs/>
          <w:sz w:val="22"/>
          <w:szCs w:val="22"/>
        </w:rPr>
        <w:t xml:space="preserve">Section 16.11. Severability</w:t>
      </w:r>
    </w:p>
    <w:p>
      <w:pPr>
        <w:spacing w:after="120"/>
        <w:jc w:val="both"/>
      </w:pPr>
      <w:r>
        <w:rPr>
          <w:rFonts w:ascii="Calibri" w:cs="Calibri" w:eastAsia="Calibri" w:hAnsi="Calibri"/>
          <w:sz w:val="22"/>
          <w:szCs w:val="22"/>
        </w:rPr>
        <w:t xml:space="preserve">If any provision of this Lease is held to be invalid, illegal, or unenforceable by a court of competent jurisdiction, such provision shall be modified to the minimum extent necessary to make it valid, legal, and enforceable while preserving the parties' original intent, or, if such modification is not possible, such provision shall be severed from this Lease, and the remaining provisions shall continue in full force and effect.</w:t>
      </w:r>
    </w:p>
    <w:p>
      <w:pPr>
        <w:spacing w:after="120" w:before="240"/>
      </w:pPr>
      <w:r>
        <w:rPr>
          <w:rFonts w:ascii="Calibri" w:cs="Calibri" w:eastAsia="Calibri" w:hAnsi="Calibri"/>
          <w:b/>
          <w:bCs/>
          <w:sz w:val="22"/>
          <w:szCs w:val="22"/>
        </w:rPr>
        <w:t xml:space="preserve">Section 16.12. Successors and Assigns</w:t>
      </w:r>
    </w:p>
    <w:p>
      <w:pPr>
        <w:spacing w:after="120"/>
        <w:jc w:val="both"/>
      </w:pPr>
      <w:r>
        <w:rPr>
          <w:rFonts w:ascii="Calibri" w:cs="Calibri" w:eastAsia="Calibri" w:hAnsi="Calibri"/>
          <w:sz w:val="22"/>
          <w:szCs w:val="22"/>
        </w:rPr>
        <w:t xml:space="preserve">This Lease shall be binding upon and inure to the benefit of the parties hereto and their respective successors, assigns, heirs, and legal representatives, subject to the provisions of Article 12 restricting Transfers by Tenant. References to "Landlord" in this Lease shall mean the then-current owner of the Building. Upon any transfer of the Building by Landlord, the transferor shall be released from all obligations arising under this Lease from and after the date of transfer, provided that the transferee assumes in writing all of Landlord's obligations under this Lease arising from and after the date of transfer and the Security Deposit (or the Letter of Credit) is transferred to the transferee.</w:t>
      </w:r>
    </w:p>
    <w:p>
      <w:pPr>
        <w:spacing w:after="120" w:before="240"/>
      </w:pPr>
      <w:r>
        <w:rPr>
          <w:rFonts w:ascii="Calibri" w:cs="Calibri" w:eastAsia="Calibri" w:hAnsi="Calibri"/>
          <w:b/>
          <w:bCs/>
          <w:sz w:val="22"/>
          <w:szCs w:val="22"/>
        </w:rPr>
        <w:t xml:space="preserve">Section 16.13. Authority</w:t>
      </w:r>
    </w:p>
    <w:p>
      <w:pPr>
        <w:spacing w:after="120"/>
        <w:jc w:val="both"/>
      </w:pPr>
      <w:r>
        <w:rPr>
          <w:rFonts w:ascii="Calibri" w:cs="Calibri" w:eastAsia="Calibri" w:hAnsi="Calibri"/>
          <w:sz w:val="22"/>
          <w:szCs w:val="22"/>
        </w:rPr>
        <w:t xml:space="preserve">Each party represents and warrants that (a) it has full power and authority to execute and deliver this Lease and to perform its obligations hereunder; (b) the execution, delivery, and performance of this Lease have been duly authorized by all necessary action; (c) this Lease constitutes the legal, valid, and binding obligation of such party, enforceable against such party in accordance with its terms; and (d) the execution and performance of this Lease do not conflict with any other agreement to which such party is a party or by which it is bound.</w:t>
      </w:r>
    </w:p>
    <w:p>
      <w:pPr>
        <w:spacing w:after="120" w:before="240"/>
      </w:pPr>
      <w:r>
        <w:rPr>
          <w:rFonts w:ascii="Calibri" w:cs="Calibri" w:eastAsia="Calibri" w:hAnsi="Calibri"/>
          <w:b/>
          <w:bCs/>
          <w:sz w:val="22"/>
          <w:szCs w:val="22"/>
        </w:rPr>
        <w:t xml:space="preserve">Section 16.14. Confidentiality</w:t>
      </w:r>
    </w:p>
    <w:p>
      <w:pPr>
        <w:spacing w:after="120"/>
        <w:jc w:val="both"/>
      </w:pPr>
      <w:r>
        <w:rPr>
          <w:rFonts w:ascii="Calibri" w:cs="Calibri" w:eastAsia="Calibri" w:hAnsi="Calibri"/>
          <w:sz w:val="22"/>
          <w:szCs w:val="22"/>
        </w:rPr>
        <w:t xml:space="preserve">The terms and conditions of this Lease, including all financial terms, shall be treated as confidential by both parties and shall not be disclosed to any third party except (a) to the parties' respective attorneys, accountants, financial advisors, investors, and lenders on a need-to-know basis; (b) as required by Applicable Laws, court order, or regulatory requirement (including securities law disclosure obligations); (c) in connection with the enforcement of this Lease; (d) to prospective assignees or subtenants of Tenant (subject to reasonable confidentiality obligations); or (e) to prospective purchasers or lenders of Landlord (subject to reasonable confidentiality obligations).</w:t>
      </w:r>
    </w:p>
    <w:p>
      <w:pPr>
        <w:spacing w:after="120" w:before="240"/>
      </w:pPr>
      <w:r>
        <w:rPr>
          <w:rFonts w:ascii="Calibri" w:cs="Calibri" w:eastAsia="Calibri" w:hAnsi="Calibri"/>
          <w:b/>
          <w:bCs/>
          <w:sz w:val="22"/>
          <w:szCs w:val="22"/>
        </w:rPr>
        <w:t xml:space="preserve">Section 16.15. Time of the Essence</w:t>
      </w:r>
    </w:p>
    <w:p>
      <w:pPr>
        <w:spacing w:after="120"/>
        <w:jc w:val="both"/>
      </w:pPr>
      <w:r>
        <w:rPr>
          <w:rFonts w:ascii="Calibri" w:cs="Calibri" w:eastAsia="Calibri" w:hAnsi="Calibri"/>
          <w:sz w:val="22"/>
          <w:szCs w:val="22"/>
        </w:rPr>
        <w:t xml:space="preserve">Time is of the essence with respect to each and every provision of this Lease in which time is an element.</w:t>
      </w:r>
    </w:p>
    <w:p>
      <w:pPr>
        <w:spacing w:after="120" w:before="240"/>
      </w:pPr>
      <w:r>
        <w:rPr>
          <w:rFonts w:ascii="Calibri" w:cs="Calibri" w:eastAsia="Calibri" w:hAnsi="Calibri"/>
          <w:b/>
          <w:bCs/>
          <w:sz w:val="22"/>
          <w:szCs w:val="22"/>
        </w:rPr>
        <w:t xml:space="preserve">Section 16.16. Counterparts; Electronic Signatures</w:t>
      </w:r>
    </w:p>
    <w:p>
      <w:pPr>
        <w:spacing w:after="120"/>
        <w:jc w:val="both"/>
      </w:pPr>
      <w:r>
        <w:rPr>
          <w:rFonts w:ascii="Calibri" w:cs="Calibri" w:eastAsia="Calibri" w:hAnsi="Calibri"/>
          <w:sz w:val="22"/>
          <w:szCs w:val="22"/>
        </w:rPr>
        <w:t xml:space="preserve">This Lease may be executed in one or more counterparts, each of which shall be deemed an original and all of which together shall constitute one and the same instrument. Facsimile signatures, scanned and emailed signatures, and electronic signatures (including DocuSign, Adobe Sign, or similar platforms) shall be deemed original signatures for all purposes.</w:t>
      </w:r>
    </w:p>
    <w:p>
      <w:pPr>
        <w:pageBreakBefore/>
      </w:pPr>
    </w:p>
    <w:p>
      <w:pPr>
        <w:spacing w:after="400"/>
        <w:jc w:val="center"/>
      </w:pPr>
      <w:r>
        <w:rPr>
          <w:rFonts w:ascii="Calibri" w:cs="Calibri" w:eastAsia="Calibri" w:hAnsi="Calibri"/>
          <w:b w:val="false"/>
          <w:bCs w:val="false"/>
          <w:i w:val="false"/>
          <w:iCs w:val="false"/>
          <w:sz w:val="22"/>
          <w:szCs w:val="22"/>
        </w:rPr>
        <w:t xml:space="preserve">IN WITNESS WHEREOF, the parties have executed this Lease as of the Lease Date.</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80"/>
        <w:gridCol w:w="4680"/>
      </w:tblGrid>
      <w:tr>
        <w:tc>
          <w:tcPr>
            <w:tcW w:type="dxa" w:w="4680"/>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LANDLORD:</w:t>
            </w:r>
          </w:p>
        </w:tc>
        <w:tc>
          <w:tcPr>
            <w:tcW w:type="dxa" w:w="4680"/>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TENANT:</w:t>
            </w:r>
          </w:p>
        </w:tc>
      </w:tr>
      <w:tr>
        <w:tc>
          <w:tcPr>
            <w:tcW w:type="dxa" w:w="468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
            </w:r>
          </w:p>
        </w:tc>
        <w:tc>
          <w:tcPr>
            <w:tcW w:type="dxa" w:w="468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
            </w:r>
          </w:p>
        </w:tc>
      </w:tr>
      <w:tr>
        <w:tc>
          <w:tcPr>
            <w:tcW w:type="dxa" w:w="4680"/>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[LANDLORD ENTITY NAME]</w:t>
            </w:r>
          </w:p>
        </w:tc>
        <w:tc>
          <w:tcPr>
            <w:tcW w:type="dxa" w:w="4680"/>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[TENANT ENTITY NAME]</w:t>
            </w:r>
          </w:p>
        </w:tc>
      </w:tr>
      <w:tr>
        <w:tc>
          <w:tcPr>
            <w:tcW w:type="dxa" w:w="468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
            </w:r>
          </w:p>
        </w:tc>
        <w:tc>
          <w:tcPr>
            <w:tcW w:type="dxa" w:w="468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
            </w:r>
          </w:p>
        </w:tc>
      </w:tr>
      <w:tr>
        <w:tc>
          <w:tcPr>
            <w:tcW w:type="dxa" w:w="468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By: ________________________________</w:t>
            </w:r>
          </w:p>
        </w:tc>
        <w:tc>
          <w:tcPr>
            <w:tcW w:type="dxa" w:w="468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By: ________________________________</w:t>
            </w:r>
          </w:p>
        </w:tc>
      </w:tr>
      <w:tr>
        <w:tc>
          <w:tcPr>
            <w:tcW w:type="dxa" w:w="468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Name: [AUTHORIZED SIGNATORY]</w:t>
            </w:r>
          </w:p>
        </w:tc>
        <w:tc>
          <w:tcPr>
            <w:tcW w:type="dxa" w:w="468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Name: [AUTHORIZED SIGNATORY]</w:t>
            </w:r>
          </w:p>
        </w:tc>
      </w:tr>
      <w:tr>
        <w:tc>
          <w:tcPr>
            <w:tcW w:type="dxa" w:w="468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Title: [TITLE]</w:t>
            </w:r>
          </w:p>
        </w:tc>
        <w:tc>
          <w:tcPr>
            <w:tcW w:type="dxa" w:w="468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Title: [TITLE]</w:t>
            </w:r>
          </w:p>
        </w:tc>
      </w:tr>
      <w:tr>
        <w:tc>
          <w:tcPr>
            <w:tcW w:type="dxa" w:w="468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Date: ______________________________</w:t>
            </w:r>
          </w:p>
        </w:tc>
        <w:tc>
          <w:tcPr>
            <w:tcW w:type="dxa" w:w="468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Date: ______________________________</w:t>
            </w:r>
          </w:p>
        </w:tc>
      </w:tr>
    </w:tbl>
    <w:p>
      <w:pPr>
        <w:spacing w:after="60"/>
      </w:pPr>
    </w:p>
    <w:p>
      <w:pPr>
        <w:spacing w:after="60"/>
      </w:pPr>
    </w:p>
    <w:p>
      <w:pPr>
        <w:spacing w:after="120"/>
        <w:jc w:val="both"/>
      </w:pPr>
      <w:r>
        <w:rPr>
          <w:rFonts w:ascii="Calibri" w:cs="Calibri" w:eastAsia="Calibri" w:hAnsi="Calibri"/>
          <w:sz w:val="22"/>
          <w:szCs w:val="22"/>
        </w:rPr>
        <w:t xml:space="preserve">GUARANTOR (if applicable):</w:t>
      </w:r>
    </w:p>
    <w:p>
      <w:pPr>
        <w:spacing w:after="60"/>
      </w:pPr>
    </w:p>
    <w:p>
      <w:pPr>
        <w:spacing w:after="120"/>
        <w:jc w:val="both"/>
      </w:pPr>
      <w:r>
        <w:rPr>
          <w:rFonts w:ascii="Calibri" w:cs="Calibri" w:eastAsia="Calibri" w:hAnsi="Calibri"/>
          <w:sz w:val="22"/>
          <w:szCs w:val="22"/>
        </w:rPr>
        <w:t xml:space="preserve">[GUARANTOR NAME]</w:t>
      </w:r>
    </w:p>
    <w:p>
      <w:pPr>
        <w:spacing w:after="60"/>
      </w:pPr>
    </w:p>
    <w:p>
      <w:pPr>
        <w:spacing w:after="120"/>
        <w:jc w:val="both"/>
      </w:pPr>
      <w:r>
        <w:rPr>
          <w:rFonts w:ascii="Calibri" w:cs="Calibri" w:eastAsia="Calibri" w:hAnsi="Calibri"/>
          <w:sz w:val="22"/>
          <w:szCs w:val="22"/>
        </w:rPr>
        <w:t xml:space="preserve">By: ________________________________</w:t>
      </w:r>
    </w:p>
    <w:p>
      <w:pPr>
        <w:spacing w:after="120"/>
        <w:jc w:val="both"/>
      </w:pPr>
      <w:r>
        <w:rPr>
          <w:rFonts w:ascii="Calibri" w:cs="Calibri" w:eastAsia="Calibri" w:hAnsi="Calibri"/>
          <w:sz w:val="22"/>
          <w:szCs w:val="22"/>
        </w:rPr>
        <w:t xml:space="preserve">Name: [AUTHORIZED SIGNATORY]</w:t>
      </w:r>
    </w:p>
    <w:p>
      <w:pPr>
        <w:spacing w:after="120"/>
        <w:jc w:val="both"/>
      </w:pPr>
      <w:r>
        <w:rPr>
          <w:rFonts w:ascii="Calibri" w:cs="Calibri" w:eastAsia="Calibri" w:hAnsi="Calibri"/>
          <w:sz w:val="22"/>
          <w:szCs w:val="22"/>
        </w:rPr>
        <w:t xml:space="preserve">Title: [TITLE]</w:t>
      </w:r>
    </w:p>
    <w:p>
      <w:pPr>
        <w:spacing w:after="120"/>
        <w:jc w:val="both"/>
      </w:pPr>
      <w:r>
        <w:rPr>
          <w:rFonts w:ascii="Calibri" w:cs="Calibri" w:eastAsia="Calibri" w:hAnsi="Calibri"/>
          <w:sz w:val="22"/>
          <w:szCs w:val="22"/>
        </w:rPr>
        <w:t xml:space="preserve">Date: ______________________________</w:t>
      </w:r>
    </w:p>
    <w:p>
      <w:pPr>
        <w:pageBreakBefore/>
        <w:spacing w:after="120"/>
        <w:jc w:val="center"/>
      </w:pPr>
      <w:r>
        <w:rPr>
          <w:rFonts w:ascii="Calibri" w:cs="Calibri" w:eastAsia="Calibri" w:hAnsi="Calibri"/>
          <w:b/>
          <w:bCs/>
          <w:sz w:val="26"/>
          <w:szCs w:val="26"/>
        </w:rPr>
        <w:t xml:space="preserve">EXHIBIT A</w:t>
      </w:r>
    </w:p>
    <w:p>
      <w:pPr>
        <w:spacing w:after="200"/>
        <w:jc w:val="center"/>
      </w:pPr>
      <w:r>
        <w:rPr>
          <w:rFonts w:ascii="Calibri" w:cs="Calibri" w:eastAsia="Calibri" w:hAnsi="Calibri"/>
          <w:b w:val="false"/>
          <w:bCs w:val="false"/>
          <w:i/>
          <w:iCs/>
          <w:sz w:val="22"/>
          <w:szCs w:val="22"/>
        </w:rPr>
        <w:t xml:space="preserve">Legal Description, Site Plan, and Floor Plan</w:t>
      </w:r>
    </w:p>
    <w:p>
      <w:pPr>
        <w:spacing w:after="120" w:before="240"/>
      </w:pPr>
      <w:r>
        <w:rPr>
          <w:rFonts w:ascii="Calibri" w:cs="Calibri" w:eastAsia="Calibri" w:hAnsi="Calibri"/>
          <w:b/>
          <w:bCs/>
          <w:sz w:val="22"/>
          <w:szCs w:val="22"/>
        </w:rPr>
        <w:t xml:space="preserve">Section A.1. Legal Description</w:t>
      </w:r>
    </w:p>
    <w:p>
      <w:pPr>
        <w:spacing w:after="120"/>
        <w:jc w:val="both"/>
      </w:pPr>
      <w:r>
        <w:rPr>
          <w:rFonts w:ascii="Calibri" w:cs="Calibri" w:eastAsia="Calibri" w:hAnsi="Calibri"/>
          <w:sz w:val="22"/>
          <w:szCs w:val="22"/>
        </w:rPr>
        <w:t xml:space="preserve">[INSERT FULL LEGAL DESCRIPTION OF THE PROPERTY FROM THE TITLE COMMITMENT OR SURVEY, INCLUDING LOT, BLOCK, SUBDIVISION, COUNTY, AND STATE REFERENCES.]</w:t>
      </w:r>
    </w:p>
    <w:p>
      <w:pPr>
        <w:spacing w:after="60"/>
      </w:pPr>
    </w:p>
    <w:p>
      <w:pPr>
        <w:spacing w:after="120" w:before="240"/>
      </w:pPr>
      <w:r>
        <w:rPr>
          <w:rFonts w:ascii="Calibri" w:cs="Calibri" w:eastAsia="Calibri" w:hAnsi="Calibri"/>
          <w:b/>
          <w:bCs/>
          <w:sz w:val="22"/>
          <w:szCs w:val="22"/>
        </w:rPr>
        <w:t xml:space="preserve">Section A.2. Site Plan</w:t>
      </w:r>
    </w:p>
    <w:p>
      <w:pPr>
        <w:spacing w:after="120"/>
        <w:jc w:val="both"/>
      </w:pPr>
      <w:r>
        <w:rPr>
          <w:rFonts w:ascii="Calibri" w:cs="Calibri" w:eastAsia="Calibri" w:hAnsi="Calibri"/>
          <w:sz w:val="22"/>
          <w:szCs w:val="22"/>
        </w:rPr>
        <w:t xml:space="preserve">[INSERT OR ATTACH SITE PLAN SHOWING THE BUILDING FOOTPRINT, PARKING AREAS, DRIVEWAYS, LANDSCAPING, ADJACENT STREETS, AND PROJECT BOUNDARIES. IDENTIFY THE BUILDING ADDRESS AND PARCEL NUMBER.]</w:t>
      </w:r>
    </w:p>
    <w:p>
      <w:pPr>
        <w:spacing w:after="60"/>
      </w:pPr>
    </w:p>
    <w:p>
      <w:pPr>
        <w:spacing w:after="120" w:before="240"/>
      </w:pPr>
      <w:r>
        <w:rPr>
          <w:rFonts w:ascii="Calibri" w:cs="Calibri" w:eastAsia="Calibri" w:hAnsi="Calibri"/>
          <w:b/>
          <w:bCs/>
          <w:sz w:val="22"/>
          <w:szCs w:val="22"/>
        </w:rPr>
        <w:t xml:space="preserve">Section A.3. Floor Plan</w:t>
      </w:r>
    </w:p>
    <w:p>
      <w:pPr>
        <w:spacing w:after="120"/>
        <w:jc w:val="both"/>
      </w:pPr>
      <w:r>
        <w:rPr>
          <w:rFonts w:ascii="Calibri" w:cs="Calibri" w:eastAsia="Calibri" w:hAnsi="Calibri"/>
          <w:sz w:val="22"/>
          <w:szCs w:val="22"/>
        </w:rPr>
        <w:t xml:space="preserve">[INSERT OR ATTACH FLOOR PLAN(S) FOR EACH FLOOR ON WHICH THE PREMISES ARE LOCATED, CLEARLY IDENTIFYING AND OUTLINING THE PREMISES IN BOLD OR COLOR, SHOWING THE SUITE NUMBER, APPROXIMATE DIMENSIONS, COMMON AREAS, ELEVATOR LOBBIES, RESTROOMS, AND STAIRWELLS.]</w:t>
      </w:r>
    </w:p>
    <w:p>
      <w:pPr>
        <w:spacing w:after="60"/>
      </w:pPr>
    </w:p>
    <w:p>
      <w:pPr>
        <w:spacing w:after="120" w:before="240"/>
      </w:pPr>
      <w:r>
        <w:rPr>
          <w:rFonts w:ascii="Calibri" w:cs="Calibri" w:eastAsia="Calibri" w:hAnsi="Calibri"/>
          <w:b/>
          <w:bCs/>
          <w:sz w:val="22"/>
          <w:szCs w:val="22"/>
        </w:rPr>
        <w:t xml:space="preserve">Section A.4. Measurement Methodology</w:t>
      </w:r>
    </w:p>
    <w:p>
      <w:pPr>
        <w:spacing w:after="120"/>
        <w:jc w:val="both"/>
      </w:pPr>
      <w:r>
        <w:rPr>
          <w:rFonts w:ascii="Calibri" w:cs="Calibri" w:eastAsia="Calibri" w:hAnsi="Calibri"/>
          <w:sz w:val="22"/>
          <w:szCs w:val="22"/>
        </w:rPr>
        <w:t xml:space="preserve">The Rentable Area of the Premises and the Building has been measured in accordance with the BOMA Standard Method of Measurement (ANSI/BOMA Z65.1-2017). The measurement includes the usable area of the Premises plus Tenant's proportionate share of the Building's common areas (calculated using a load factor of [LOAD FACTOR]%). The floor plan(s) attached hereto depict the usable area boundaries of the Premises.</w:t>
      </w:r>
    </w:p>
    <w:p>
      <w:pPr>
        <w:spacing w:after="60"/>
      </w:pPr>
    </w:p>
    <w:p>
      <w:pPr>
        <w:spacing w:after="120" w:before="240"/>
      </w:pPr>
      <w:r>
        <w:rPr>
          <w:rFonts w:ascii="Calibri" w:cs="Calibri" w:eastAsia="Calibri" w:hAnsi="Calibri"/>
          <w:b/>
          <w:bCs/>
          <w:sz w:val="22"/>
          <w:szCs w:val="22"/>
        </w:rPr>
        <w:t xml:space="preserve">Section A.5. Expansion Space Depiction</w:t>
      </w:r>
    </w:p>
    <w:p>
      <w:pPr>
        <w:spacing w:after="120"/>
        <w:jc w:val="both"/>
      </w:pPr>
      <w:r>
        <w:rPr>
          <w:rFonts w:ascii="Calibri" w:cs="Calibri" w:eastAsia="Calibri" w:hAnsi="Calibri"/>
          <w:sz w:val="22"/>
          <w:szCs w:val="22"/>
        </w:rPr>
        <w:t xml:space="preserve">[INSERT OR ATTACH FLOOR PLAN SHOWING THE EXPANSION SPACE REFERENCED IN SECTION 14.2, IF APPLICABLE, WITH APPROXIMATE SQUARE FOOTAGE AND LOCATION WITHIN THE BUILDING.]</w:t>
      </w:r>
    </w:p>
    <w:p>
      <w:pPr>
        <w:pageBreakBefore/>
        <w:spacing w:after="120"/>
        <w:jc w:val="center"/>
      </w:pPr>
      <w:r>
        <w:rPr>
          <w:rFonts w:ascii="Calibri" w:cs="Calibri" w:eastAsia="Calibri" w:hAnsi="Calibri"/>
          <w:b/>
          <w:bCs/>
          <w:sz w:val="26"/>
          <w:szCs w:val="26"/>
        </w:rPr>
        <w:t xml:space="preserve">EXHIBIT B</w:t>
      </w:r>
    </w:p>
    <w:p>
      <w:pPr>
        <w:spacing w:after="200"/>
        <w:jc w:val="center"/>
      </w:pPr>
      <w:r>
        <w:rPr>
          <w:rFonts w:ascii="Calibri" w:cs="Calibri" w:eastAsia="Calibri" w:hAnsi="Calibri"/>
          <w:b w:val="false"/>
          <w:bCs w:val="false"/>
          <w:i/>
          <w:iCs/>
          <w:sz w:val="22"/>
          <w:szCs w:val="22"/>
        </w:rPr>
        <w:t xml:space="preserve">Title, Zoning, and Environmental Disclosures</w:t>
      </w:r>
    </w:p>
    <w:p>
      <w:pPr>
        <w:spacing w:after="120" w:before="240"/>
      </w:pPr>
      <w:r>
        <w:rPr>
          <w:rFonts w:ascii="Calibri" w:cs="Calibri" w:eastAsia="Calibri" w:hAnsi="Calibri"/>
          <w:b/>
          <w:bCs/>
          <w:sz w:val="22"/>
          <w:szCs w:val="22"/>
        </w:rPr>
        <w:t xml:space="preserve">Section B.1. Title Matters</w:t>
      </w:r>
    </w:p>
    <w:p>
      <w:pPr>
        <w:spacing w:after="120"/>
        <w:jc w:val="both"/>
      </w:pPr>
      <w:r>
        <w:rPr>
          <w:rFonts w:ascii="Calibri" w:cs="Calibri" w:eastAsia="Calibri" w:hAnsi="Calibri"/>
          <w:sz w:val="22"/>
          <w:szCs w:val="22"/>
        </w:rPr>
        <w:t xml:space="preserve">The following encumbrances, easements, restrictions, and other matters of record affect the Building and/or the Project as of the Lease Date (collectively, the "Permitted Exceptions"):</w:t>
      </w:r>
    </w:p>
    <w:p>
      <w:pPr>
        <w:spacing w:after="100"/>
        <w:ind w:left="720"/>
        <w:jc w:val="both"/>
      </w:pPr>
      <w:r>
        <w:rPr>
          <w:rFonts w:ascii="Calibri" w:cs="Calibri" w:eastAsia="Calibri" w:hAnsi="Calibri"/>
          <w:sz w:val="22"/>
          <w:szCs w:val="22"/>
        </w:rPr>
        <w:t xml:space="preserve">[LIST EACH RECORDED INSTRUMENT, INCLUDING RECORDING DATE, BOOK/PAGE OR INSTRUMENT NUMBER, AND A BRIEF DESCRIPTION.]</w:t>
      </w:r>
    </w:p>
    <w:p>
      <w:pPr>
        <w:spacing w:after="100"/>
        <w:ind w:left="720"/>
        <w:jc w:val="both"/>
      </w:pPr>
      <w:r>
        <w:rPr>
          <w:rFonts w:ascii="Calibri" w:cs="Calibri" w:eastAsia="Calibri" w:hAnsi="Calibri"/>
          <w:sz w:val="22"/>
          <w:szCs w:val="22"/>
        </w:rPr>
        <w:t xml:space="preserve">1. [INSTRUMENT DESCRIPTION, e.g., Declaration of Covenants, Conditions, and Restrictions recorded [DATE] in Book [X], Page [Y] of the Official Records of [COUNTY] County, [STATE].]</w:t>
      </w:r>
    </w:p>
    <w:p>
      <w:pPr>
        <w:spacing w:after="100"/>
        <w:ind w:left="720"/>
        <w:jc w:val="both"/>
      </w:pPr>
      <w:r>
        <w:rPr>
          <w:rFonts w:ascii="Calibri" w:cs="Calibri" w:eastAsia="Calibri" w:hAnsi="Calibri"/>
          <w:sz w:val="22"/>
          <w:szCs w:val="22"/>
        </w:rPr>
        <w:t xml:space="preserve">2. [EASEMENT DESCRIPTION]</w:t>
      </w:r>
    </w:p>
    <w:p>
      <w:pPr>
        <w:spacing w:after="100"/>
        <w:ind w:left="720"/>
        <w:jc w:val="both"/>
      </w:pPr>
      <w:r>
        <w:rPr>
          <w:rFonts w:ascii="Calibri" w:cs="Calibri" w:eastAsia="Calibri" w:hAnsi="Calibri"/>
          <w:sz w:val="22"/>
          <w:szCs w:val="22"/>
        </w:rPr>
        <w:t xml:space="preserve">3. [RESTRICTIONS/COVENANTS]</w:t>
      </w:r>
    </w:p>
    <w:p>
      <w:pPr>
        <w:spacing w:after="100"/>
        <w:ind w:left="720"/>
        <w:jc w:val="both"/>
      </w:pPr>
      <w:r>
        <w:rPr>
          <w:rFonts w:ascii="Calibri" w:cs="Calibri" w:eastAsia="Calibri" w:hAnsi="Calibri"/>
          <w:sz w:val="22"/>
          <w:szCs w:val="22"/>
        </w:rPr>
        <w:t xml:space="preserve">4. [MORTGAGE/DEED OF TRUST INFORMATION]</w:t>
      </w:r>
    </w:p>
    <w:p>
      <w:pPr>
        <w:spacing w:after="60"/>
      </w:pPr>
    </w:p>
    <w:p>
      <w:pPr>
        <w:spacing w:after="120" w:before="240"/>
      </w:pPr>
      <w:r>
        <w:rPr>
          <w:rFonts w:ascii="Calibri" w:cs="Calibri" w:eastAsia="Calibri" w:hAnsi="Calibri"/>
          <w:b/>
          <w:bCs/>
          <w:sz w:val="22"/>
          <w:szCs w:val="22"/>
        </w:rPr>
        <w:t xml:space="preserve">Section B.2. Zoning Information</w:t>
      </w:r>
    </w:p>
    <w:p>
      <w:pPr>
        <w:spacing w:after="120"/>
        <w:jc w:val="both"/>
      </w:pPr>
      <w:r>
        <w:rPr>
          <w:rFonts w:ascii="Calibri" w:cs="Calibri" w:eastAsia="Calibri" w:hAnsi="Calibri"/>
          <w:sz w:val="22"/>
          <w:szCs w:val="22"/>
        </w:rPr>
        <w:t xml:space="preserve">Current Zoning Classification: [ZONING DESIGNATION]</w:t>
      </w:r>
    </w:p>
    <w:p>
      <w:pPr>
        <w:spacing w:after="120"/>
        <w:jc w:val="both"/>
      </w:pPr>
      <w:r>
        <w:rPr>
          <w:rFonts w:ascii="Calibri" w:cs="Calibri" w:eastAsia="Calibri" w:hAnsi="Calibri"/>
          <w:sz w:val="22"/>
          <w:szCs w:val="22"/>
        </w:rPr>
        <w:t xml:space="preserve">Permitted Uses Under Zoning: [LIST PERMITTED USES]</w:t>
      </w:r>
    </w:p>
    <w:p>
      <w:pPr>
        <w:spacing w:after="120"/>
        <w:jc w:val="both"/>
      </w:pPr>
      <w:r>
        <w:rPr>
          <w:rFonts w:ascii="Calibri" w:cs="Calibri" w:eastAsia="Calibri" w:hAnsi="Calibri"/>
          <w:sz w:val="22"/>
          <w:szCs w:val="22"/>
        </w:rPr>
        <w:t xml:space="preserve">Special Exceptions or Variances: [DESCRIBE ANY APPLICABLE VARIANCES OR SPECIAL USE PERMITS]</w:t>
      </w:r>
    </w:p>
    <w:p>
      <w:pPr>
        <w:spacing w:after="120"/>
        <w:jc w:val="both"/>
      </w:pPr>
      <w:r>
        <w:rPr>
          <w:rFonts w:ascii="Calibri" w:cs="Calibri" w:eastAsia="Calibri" w:hAnsi="Calibri"/>
          <w:sz w:val="22"/>
          <w:szCs w:val="22"/>
        </w:rPr>
        <w:t xml:space="preserve">Overlay Districts: [IDENTIFY ANY OVERLAY DISTRICTS, e.g., HISTORIC PRESERVATION, TRANSIT-ORIENTED DEVELOPMENT]</w:t>
      </w:r>
    </w:p>
    <w:p>
      <w:pPr>
        <w:spacing w:after="120"/>
        <w:jc w:val="both"/>
      </w:pPr>
      <w:r>
        <w:rPr>
          <w:rFonts w:ascii="Calibri" w:cs="Calibri" w:eastAsia="Calibri" w:hAnsi="Calibri"/>
          <w:sz w:val="22"/>
          <w:szCs w:val="22"/>
        </w:rPr>
        <w:t xml:space="preserve">Zoning Compliance: Landlord represents that the Building and the Permitted Use comply with the applicable zoning ordinance as of the Lease Date, subject to the exceptions noted above.</w:t>
      </w:r>
    </w:p>
    <w:p>
      <w:pPr>
        <w:spacing w:after="60"/>
      </w:pPr>
    </w:p>
    <w:p>
      <w:pPr>
        <w:spacing w:after="120" w:before="240"/>
      </w:pPr>
      <w:r>
        <w:rPr>
          <w:rFonts w:ascii="Calibri" w:cs="Calibri" w:eastAsia="Calibri" w:hAnsi="Calibri"/>
          <w:b/>
          <w:bCs/>
          <w:sz w:val="22"/>
          <w:szCs w:val="22"/>
        </w:rPr>
        <w:t xml:space="preserve">Section B.3. Environmental Disclosures</w:t>
      </w:r>
    </w:p>
    <w:p>
      <w:pPr>
        <w:spacing w:after="120"/>
        <w:jc w:val="both"/>
      </w:pPr>
      <w:r>
        <w:rPr>
          <w:rFonts w:ascii="Calibri" w:cs="Calibri" w:eastAsia="Calibri" w:hAnsi="Calibri"/>
          <w:sz w:val="22"/>
          <w:szCs w:val="22"/>
        </w:rPr>
        <w:t xml:space="preserve">Landlord discloses the following environmental matters affecting the Building, the Project, or the surrounding area:</w:t>
      </w:r>
    </w:p>
    <w:p>
      <w:pPr>
        <w:spacing w:after="100"/>
        <w:ind w:left="720"/>
        <w:jc w:val="both"/>
      </w:pPr>
      <w:r>
        <w:rPr>
          <w:rFonts w:ascii="Calibri" w:cs="Calibri" w:eastAsia="Calibri" w:hAnsi="Calibri"/>
          <w:sz w:val="22"/>
          <w:szCs w:val="22"/>
        </w:rPr>
        <w:t xml:space="preserve">[DESCRIBE ANY KNOWN ENVIRONMENTAL CONDITIONS, PRIOR INVESTIGATIONS, REMEDIATION ACTIVITIES, OR REGULATORY ACTIONS. IF NONE, STATE: "To Landlord's actual knowledge, there are no known environmental conditions affecting the Building, the Project, or the surrounding area that have not been fully remediated or that require disclosure under applicable Environmental Laws."]</w:t>
      </w:r>
    </w:p>
    <w:p>
      <w:pPr>
        <w:spacing w:after="120"/>
        <w:jc w:val="both"/>
      </w:pPr>
      <w:r>
        <w:rPr>
          <w:rFonts w:ascii="Calibri" w:cs="Calibri" w:eastAsia="Calibri" w:hAnsi="Calibri"/>
          <w:sz w:val="22"/>
          <w:szCs w:val="22"/>
        </w:rPr>
        <w:t xml:space="preserve">Phase I Environmental Site Assessment: [DATE OF MOST RECENT PHASE I ESA; FINDINGS SUMMARY]</w:t>
      </w:r>
    </w:p>
    <w:p>
      <w:pPr>
        <w:spacing w:after="120"/>
        <w:jc w:val="both"/>
      </w:pPr>
      <w:r>
        <w:rPr>
          <w:rFonts w:ascii="Calibri" w:cs="Calibri" w:eastAsia="Calibri" w:hAnsi="Calibri"/>
          <w:sz w:val="22"/>
          <w:szCs w:val="22"/>
        </w:rPr>
        <w:t xml:space="preserve">Phase II Investigation (if applicable): [DATE AND FINDINGS SUMMARY]</w:t>
      </w:r>
    </w:p>
    <w:p>
      <w:pPr>
        <w:spacing w:after="120"/>
        <w:jc w:val="both"/>
      </w:pPr>
      <w:r>
        <w:rPr>
          <w:rFonts w:ascii="Calibri" w:cs="Calibri" w:eastAsia="Calibri" w:hAnsi="Calibri"/>
          <w:sz w:val="22"/>
          <w:szCs w:val="22"/>
        </w:rPr>
        <w:t xml:space="preserve">Asbestos Survey: [DATE AND FINDINGS]</w:t>
      </w:r>
    </w:p>
    <w:p>
      <w:pPr>
        <w:spacing w:after="120"/>
        <w:jc w:val="both"/>
      </w:pPr>
      <w:r>
        <w:rPr>
          <w:rFonts w:ascii="Calibri" w:cs="Calibri" w:eastAsia="Calibri" w:hAnsi="Calibri"/>
          <w:sz w:val="22"/>
          <w:szCs w:val="22"/>
        </w:rPr>
        <w:t xml:space="preserve">Lead-Based Paint: [APPLICABLE IF BUILDING WAS BUILT BEFORE 1978]</w:t>
      </w:r>
    </w:p>
    <w:p>
      <w:pPr>
        <w:spacing w:after="120"/>
        <w:jc w:val="both"/>
      </w:pPr>
      <w:r>
        <w:rPr>
          <w:rFonts w:ascii="Calibri" w:cs="Calibri" w:eastAsia="Calibri" w:hAnsi="Calibri"/>
          <w:sz w:val="22"/>
          <w:szCs w:val="22"/>
        </w:rPr>
        <w:t xml:space="preserve">Underground Storage Tanks: [STATUS]</w:t>
      </w:r>
    </w:p>
    <w:p>
      <w:pPr>
        <w:spacing w:after="120"/>
        <w:jc w:val="both"/>
      </w:pPr>
      <w:r>
        <w:rPr>
          <w:rFonts w:ascii="Calibri" w:cs="Calibri" w:eastAsia="Calibri" w:hAnsi="Calibri"/>
          <w:sz w:val="22"/>
          <w:szCs w:val="22"/>
        </w:rPr>
        <w:t xml:space="preserve">Nearby Contaminated Sites: [DISCLOSE ANY KNOWN SUPERFUND SITES, BROWNFIELDS, OR CONTAMINATED PROPERTIES WITHIN [DISTANCE] OF THE BUILDING]</w:t>
      </w:r>
    </w:p>
    <w:p>
      <w:pPr>
        <w:pageBreakBefore/>
        <w:spacing w:after="120"/>
        <w:jc w:val="center"/>
      </w:pPr>
      <w:r>
        <w:rPr>
          <w:rFonts w:ascii="Calibri" w:cs="Calibri" w:eastAsia="Calibri" w:hAnsi="Calibri"/>
          <w:b/>
          <w:bCs/>
          <w:sz w:val="26"/>
          <w:szCs w:val="26"/>
        </w:rPr>
        <w:t xml:space="preserve">EXHIBIT C</w:t>
      </w:r>
    </w:p>
    <w:p>
      <w:pPr>
        <w:spacing w:after="200"/>
        <w:jc w:val="center"/>
      </w:pPr>
      <w:r>
        <w:rPr>
          <w:rFonts w:ascii="Calibri" w:cs="Calibri" w:eastAsia="Calibri" w:hAnsi="Calibri"/>
          <w:b w:val="false"/>
          <w:bCs w:val="false"/>
          <w:i/>
          <w:iCs/>
          <w:sz w:val="22"/>
          <w:szCs w:val="22"/>
        </w:rPr>
        <w:t xml:space="preserve">Delivery Condition Specification</w:t>
      </w:r>
    </w:p>
    <w:p>
      <w:pPr>
        <w:spacing w:after="120"/>
        <w:jc w:val="both"/>
      </w:pPr>
      <w:r>
        <w:rPr>
          <w:rFonts w:ascii="Calibri" w:cs="Calibri" w:eastAsia="Calibri" w:hAnsi="Calibri"/>
          <w:sz w:val="22"/>
          <w:szCs w:val="22"/>
        </w:rPr>
        <w:t xml:space="preserve">Landlord shall deliver the Premises in the following condition:</w:t>
      </w:r>
    </w:p>
    <w:p>
      <w:pPr>
        <w:spacing w:after="60"/>
      </w:pPr>
    </w:p>
    <w:p>
      <w:pPr>
        <w:spacing w:after="120" w:before="240"/>
      </w:pPr>
      <w:r>
        <w:rPr>
          <w:rFonts w:ascii="Calibri" w:cs="Calibri" w:eastAsia="Calibri" w:hAnsi="Calibri"/>
          <w:b/>
          <w:bCs/>
          <w:sz w:val="22"/>
          <w:szCs w:val="22"/>
        </w:rPr>
        <w:t xml:space="preserve">Section C.1. Structural and Shell</w:t>
      </w:r>
    </w:p>
    <w:p>
      <w:pPr>
        <w:spacing w:after="100"/>
        <w:ind w:left="720"/>
        <w:jc w:val="both"/>
      </w:pPr>
      <w:r>
        <w:rPr>
          <w:rFonts w:ascii="Calibri" w:cs="Calibri" w:eastAsia="Calibri" w:hAnsi="Calibri"/>
          <w:sz w:val="22"/>
          <w:szCs w:val="22"/>
        </w:rPr>
        <w:t xml:space="preserve">(a) Floor slabs: level, clean, and free of material cracks or defects; capable of supporting a live load of [FLOOR LOAD] pounds per square foot.</w:t>
      </w:r>
    </w:p>
    <w:p>
      <w:pPr>
        <w:spacing w:after="100"/>
        <w:ind w:left="720"/>
        <w:jc w:val="both"/>
      </w:pPr>
      <w:r>
        <w:rPr>
          <w:rFonts w:ascii="Calibri" w:cs="Calibri" w:eastAsia="Calibri" w:hAnsi="Calibri"/>
          <w:sz w:val="22"/>
          <w:szCs w:val="22"/>
        </w:rPr>
        <w:t xml:space="preserve">(b) Exterior walls and windows: watertight, with operable window coverings (if applicable); all curtain wall seals and gaskets in good condition.</w:t>
      </w:r>
    </w:p>
    <w:p>
      <w:pPr>
        <w:spacing w:after="100"/>
        <w:ind w:left="720"/>
        <w:jc w:val="both"/>
      </w:pPr>
      <w:r>
        <w:rPr>
          <w:rFonts w:ascii="Calibri" w:cs="Calibri" w:eastAsia="Calibri" w:hAnsi="Calibri"/>
          <w:sz w:val="22"/>
          <w:szCs w:val="22"/>
        </w:rPr>
        <w:t xml:space="preserve">(c) Roof: watertight, with a remaining useful life of not less than [NUMBER] years, as certified by a licensed roofing contractor.</w:t>
      </w:r>
    </w:p>
    <w:p>
      <w:pPr>
        <w:spacing w:after="100"/>
        <w:ind w:left="720"/>
        <w:jc w:val="both"/>
      </w:pPr>
      <w:r>
        <w:rPr>
          <w:rFonts w:ascii="Calibri" w:cs="Calibri" w:eastAsia="Calibri" w:hAnsi="Calibri"/>
          <w:sz w:val="22"/>
          <w:szCs w:val="22"/>
        </w:rPr>
        <w:t xml:space="preserve">(d) Column spacing and clear height: as depicted on the floor plans attached as Exhibit A; minimum clear ceiling height of [HEIGHT] feet from finished floor to underside of structure.</w:t>
      </w:r>
    </w:p>
    <w:p>
      <w:pPr>
        <w:spacing w:after="60"/>
      </w:pPr>
    </w:p>
    <w:p>
      <w:pPr>
        <w:spacing w:after="120" w:before="240"/>
      </w:pPr>
      <w:r>
        <w:rPr>
          <w:rFonts w:ascii="Calibri" w:cs="Calibri" w:eastAsia="Calibri" w:hAnsi="Calibri"/>
          <w:b/>
          <w:bCs/>
          <w:sz w:val="22"/>
          <w:szCs w:val="22"/>
        </w:rPr>
        <w:t xml:space="preserve">Section C.2. Mechanical, Electrical, and Plumbing</w:t>
      </w:r>
    </w:p>
    <w:p>
      <w:pPr>
        <w:spacing w:after="100"/>
        <w:ind w:left="720"/>
        <w:jc w:val="both"/>
      </w:pPr>
      <w:r>
        <w:rPr>
          <w:rFonts w:ascii="Calibri" w:cs="Calibri" w:eastAsia="Calibri" w:hAnsi="Calibri"/>
          <w:sz w:val="22"/>
          <w:szCs w:val="22"/>
        </w:rPr>
        <w:t xml:space="preserve">(a) HVAC: central system operational, capable of delivering [TONNAGE] tons per [NUMBER] RSF; distribution ductwork stubbed to the Premises demising wall or ceiling plenum; thermostat zones as shown on Base Building plans.</w:t>
      </w:r>
    </w:p>
    <w:p>
      <w:pPr>
        <w:spacing w:after="100"/>
        <w:ind w:left="720"/>
        <w:jc w:val="both"/>
      </w:pPr>
      <w:r>
        <w:rPr>
          <w:rFonts w:ascii="Calibri" w:cs="Calibri" w:eastAsia="Calibri" w:hAnsi="Calibri"/>
          <w:sz w:val="22"/>
          <w:szCs w:val="22"/>
        </w:rPr>
        <w:t xml:space="preserve">(b) Electrical: [NUMBER] amp, [VOLTAGE] volt, [PHASE]-phase service to the Premises electrical panel(s); [NUMBER] watts per RSF of connected load capacity (exclusive of HVAC); emergency power connections to life safety systems.</w:t>
      </w:r>
    </w:p>
    <w:p>
      <w:pPr>
        <w:spacing w:after="100"/>
        <w:ind w:left="720"/>
        <w:jc w:val="both"/>
      </w:pPr>
      <w:r>
        <w:rPr>
          <w:rFonts w:ascii="Calibri" w:cs="Calibri" w:eastAsia="Calibri" w:hAnsi="Calibri"/>
          <w:sz w:val="22"/>
          <w:szCs w:val="22"/>
        </w:rPr>
        <w:t xml:space="preserve">(c) Plumbing: domestic water, waste, and vent lines stubbed to the Premises or available in the Building core; restroom facilities per code for the floor.</w:t>
      </w:r>
    </w:p>
    <w:p>
      <w:pPr>
        <w:spacing w:after="100"/>
        <w:ind w:left="720"/>
        <w:jc w:val="both"/>
      </w:pPr>
      <w:r>
        <w:rPr>
          <w:rFonts w:ascii="Calibri" w:cs="Calibri" w:eastAsia="Calibri" w:hAnsi="Calibri"/>
          <w:sz w:val="22"/>
          <w:szCs w:val="22"/>
        </w:rPr>
        <w:t xml:space="preserve">(d) Fire protection: wet sprinkler system with heads installed at Building Standard spacing (one head per [NUMBER] SF); fire alarm and notification devices per code.</w:t>
      </w:r>
    </w:p>
    <w:p>
      <w:pPr>
        <w:spacing w:after="100"/>
        <w:ind w:left="720"/>
        <w:jc w:val="both"/>
      </w:pPr>
      <w:r>
        <w:rPr>
          <w:rFonts w:ascii="Calibri" w:cs="Calibri" w:eastAsia="Calibri" w:hAnsi="Calibri"/>
          <w:sz w:val="22"/>
          <w:szCs w:val="22"/>
        </w:rPr>
        <w:t xml:space="preserve">(e) Life safety: smoke detectors, exit signs, emergency lighting, and stairwell pressurization in compliance with Applicable Laws and current fire code.</w:t>
      </w:r>
    </w:p>
    <w:p>
      <w:pPr>
        <w:spacing w:after="60"/>
      </w:pPr>
    </w:p>
    <w:p>
      <w:pPr>
        <w:spacing w:after="120" w:before="240"/>
      </w:pPr>
      <w:r>
        <w:rPr>
          <w:rFonts w:ascii="Calibri" w:cs="Calibri" w:eastAsia="Calibri" w:hAnsi="Calibri"/>
          <w:b/>
          <w:bCs/>
          <w:sz w:val="22"/>
          <w:szCs w:val="22"/>
        </w:rPr>
        <w:t xml:space="preserve">Section C.3. Common Areas and Building Services</w:t>
      </w:r>
    </w:p>
    <w:p>
      <w:pPr>
        <w:spacing w:after="100"/>
        <w:ind w:left="720"/>
        <w:jc w:val="both"/>
      </w:pPr>
      <w:r>
        <w:rPr>
          <w:rFonts w:ascii="Calibri" w:cs="Calibri" w:eastAsia="Calibri" w:hAnsi="Calibri"/>
          <w:sz w:val="22"/>
          <w:szCs w:val="22"/>
        </w:rPr>
        <w:t xml:space="preserve">(a) Lobby: finished to Building Standard, including reception desk, directory, and wayfinding signage.</w:t>
      </w:r>
    </w:p>
    <w:p>
      <w:pPr>
        <w:spacing w:after="100"/>
        <w:ind w:left="720"/>
        <w:jc w:val="both"/>
      </w:pPr>
      <w:r>
        <w:rPr>
          <w:rFonts w:ascii="Calibri" w:cs="Calibri" w:eastAsia="Calibri" w:hAnsi="Calibri"/>
          <w:sz w:val="22"/>
          <w:szCs w:val="22"/>
        </w:rPr>
        <w:t xml:space="preserve">(b) Elevators: [NUMBER] passenger elevators and [NUMBER] freight/service elevator(s), all in good working order with current certificates of inspection.</w:t>
      </w:r>
    </w:p>
    <w:p>
      <w:pPr>
        <w:spacing w:after="100"/>
        <w:ind w:left="720"/>
        <w:jc w:val="both"/>
      </w:pPr>
      <w:r>
        <w:rPr>
          <w:rFonts w:ascii="Calibri" w:cs="Calibri" w:eastAsia="Calibri" w:hAnsi="Calibri"/>
          <w:sz w:val="22"/>
          <w:szCs w:val="22"/>
        </w:rPr>
        <w:t xml:space="preserve">(c) Parking: [TOTAL PARKING SPACES] total spaces, with [NUMBER] spaces allocated to Tenant; all parking areas striped, lit, and in good repair.</w:t>
      </w:r>
    </w:p>
    <w:p>
      <w:pPr>
        <w:spacing w:after="100"/>
        <w:ind w:left="720"/>
        <w:jc w:val="both"/>
      </w:pPr>
      <w:r>
        <w:rPr>
          <w:rFonts w:ascii="Calibri" w:cs="Calibri" w:eastAsia="Calibri" w:hAnsi="Calibri"/>
          <w:sz w:val="22"/>
          <w:szCs w:val="22"/>
        </w:rPr>
        <w:t xml:space="preserve">(d) Loading dock: [NUMBER] loading bays, accessible by vehicles up to [SIZE]; dock levelers and bumpers in good working order.</w:t>
      </w:r>
    </w:p>
    <w:p>
      <w:pPr>
        <w:spacing w:after="100"/>
        <w:ind w:left="720"/>
        <w:jc w:val="both"/>
      </w:pPr>
      <w:r>
        <w:rPr>
          <w:rFonts w:ascii="Calibri" w:cs="Calibri" w:eastAsia="Calibri" w:hAnsi="Calibri"/>
          <w:sz w:val="22"/>
          <w:szCs w:val="22"/>
        </w:rPr>
        <w:t xml:space="preserve">(e) Restrooms: finished to Building Standard, ADA-compliant, in good repair and working order.</w:t>
      </w:r>
    </w:p>
    <w:p>
      <w:pPr>
        <w:spacing w:after="60"/>
      </w:pPr>
    </w:p>
    <w:p>
      <w:pPr>
        <w:spacing w:after="120" w:before="240"/>
      </w:pPr>
      <w:r>
        <w:rPr>
          <w:rFonts w:ascii="Calibri" w:cs="Calibri" w:eastAsia="Calibri" w:hAnsi="Calibri"/>
          <w:b/>
          <w:bCs/>
          <w:sz w:val="22"/>
          <w:szCs w:val="22"/>
        </w:rPr>
        <w:t xml:space="preserve">Section C.4. Environmental and Regulatory</w:t>
      </w:r>
    </w:p>
    <w:p>
      <w:pPr>
        <w:spacing w:after="100"/>
        <w:ind w:left="720"/>
        <w:jc w:val="both"/>
      </w:pPr>
      <w:r>
        <w:rPr>
          <w:rFonts w:ascii="Calibri" w:cs="Calibri" w:eastAsia="Calibri" w:hAnsi="Calibri"/>
          <w:sz w:val="22"/>
          <w:szCs w:val="22"/>
        </w:rPr>
        <w:t xml:space="preserve">(a) The Premises shall be free of Hazardous Materials in violation of Environmental Laws.</w:t>
      </w:r>
    </w:p>
    <w:p>
      <w:pPr>
        <w:spacing w:after="100"/>
        <w:ind w:left="720"/>
        <w:jc w:val="both"/>
      </w:pPr>
      <w:r>
        <w:rPr>
          <w:rFonts w:ascii="Calibri" w:cs="Calibri" w:eastAsia="Calibri" w:hAnsi="Calibri"/>
          <w:sz w:val="22"/>
          <w:szCs w:val="22"/>
        </w:rPr>
        <w:t xml:space="preserve">(b) All Common Areas and the Base Building shall comply with the ADA and all other applicable accessibility requirements.</w:t>
      </w:r>
    </w:p>
    <w:p>
      <w:pPr>
        <w:spacing w:after="100"/>
        <w:ind w:left="720"/>
        <w:jc w:val="both"/>
      </w:pPr>
      <w:r>
        <w:rPr>
          <w:rFonts w:ascii="Calibri" w:cs="Calibri" w:eastAsia="Calibri" w:hAnsi="Calibri"/>
          <w:sz w:val="22"/>
          <w:szCs w:val="22"/>
        </w:rPr>
        <w:t xml:space="preserve">(c) The Building shall have a current certificate of occupancy (or equivalent) permitting general office use.</w:t>
      </w:r>
    </w:p>
    <w:p>
      <w:pPr>
        <w:spacing w:after="100"/>
        <w:ind w:left="720"/>
        <w:jc w:val="both"/>
      </w:pPr>
      <w:r>
        <w:rPr>
          <w:rFonts w:ascii="Calibri" w:cs="Calibri" w:eastAsia="Calibri" w:hAnsi="Calibri"/>
          <w:sz w:val="22"/>
          <w:szCs w:val="22"/>
        </w:rPr>
        <w:t xml:space="preserve">(d) All Base Building systems shall have current inspection certificates and shall be in compliance with applicable building codes and fire codes.</w:t>
      </w:r>
    </w:p>
    <w:p>
      <w:pPr>
        <w:pageBreakBefore/>
        <w:spacing w:after="120"/>
        <w:jc w:val="center"/>
      </w:pPr>
      <w:r>
        <w:rPr>
          <w:rFonts w:ascii="Calibri" w:cs="Calibri" w:eastAsia="Calibri" w:hAnsi="Calibri"/>
          <w:b/>
          <w:bCs/>
          <w:sz w:val="26"/>
          <w:szCs w:val="26"/>
        </w:rPr>
        <w:t xml:space="preserve">EXHIBIT D</w:t>
      </w:r>
    </w:p>
    <w:p>
      <w:pPr>
        <w:spacing w:after="200"/>
        <w:jc w:val="center"/>
      </w:pPr>
      <w:r>
        <w:rPr>
          <w:rFonts w:ascii="Calibri" w:cs="Calibri" w:eastAsia="Calibri" w:hAnsi="Calibri"/>
          <w:b w:val="false"/>
          <w:bCs w:val="false"/>
          <w:i/>
          <w:iCs/>
          <w:sz w:val="22"/>
          <w:szCs w:val="22"/>
        </w:rPr>
        <w:t xml:space="preserve">Work Letter and Allowance Budget</w:t>
      </w:r>
    </w:p>
    <w:p>
      <w:pPr>
        <w:spacing w:after="120" w:before="240"/>
      </w:pPr>
      <w:r>
        <w:rPr>
          <w:rFonts w:ascii="Calibri" w:cs="Calibri" w:eastAsia="Calibri" w:hAnsi="Calibri"/>
          <w:b/>
          <w:bCs/>
          <w:sz w:val="22"/>
          <w:szCs w:val="22"/>
        </w:rPr>
        <w:t xml:space="preserve">Section D.1. Tenant Improvement Allowance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80"/>
        <w:gridCol w:w="2340"/>
        <w:gridCol w:w="2340"/>
      </w:tblGrid>
      <w:tr>
        <w:tc>
          <w:tcPr>
            <w:tcW w:type="dxa" w:w="468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Item</w:t>
            </w:r>
          </w:p>
        </w:tc>
        <w:tc>
          <w:tcPr>
            <w:tcW w:type="dxa" w:w="234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$/RSF</w:t>
            </w:r>
          </w:p>
        </w:tc>
        <w:tc>
          <w:tcPr>
            <w:tcW w:type="dxa" w:w="234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Total</w:t>
            </w:r>
          </w:p>
        </w:tc>
      </w:tr>
      <w:tr>
        <w:tc>
          <w:tcPr>
            <w:tcW w:type="dxa" w:w="468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Hard Construction Costs</w:t>
            </w:r>
          </w:p>
        </w:tc>
        <w:tc>
          <w:tcPr>
            <w:tcW w:type="dxa" w:w="234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$[AMOUNT]</w:t>
            </w:r>
          </w:p>
        </w:tc>
        <w:tc>
          <w:tcPr>
            <w:tcW w:type="dxa" w:w="234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$[AMOUNT]</w:t>
            </w:r>
          </w:p>
        </w:tc>
      </w:tr>
      <w:tr>
        <w:tc>
          <w:tcPr>
            <w:tcW w:type="dxa" w:w="468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Architecture &amp; Engineering</w:t>
            </w:r>
          </w:p>
        </w:tc>
        <w:tc>
          <w:tcPr>
            <w:tcW w:type="dxa" w:w="234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$[AMOUNT]</w:t>
            </w:r>
          </w:p>
        </w:tc>
        <w:tc>
          <w:tcPr>
            <w:tcW w:type="dxa" w:w="234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$[AMOUNT]</w:t>
            </w:r>
          </w:p>
        </w:tc>
      </w:tr>
      <w:tr>
        <w:tc>
          <w:tcPr>
            <w:tcW w:type="dxa" w:w="468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Permits &amp; Inspections</w:t>
            </w:r>
          </w:p>
        </w:tc>
        <w:tc>
          <w:tcPr>
            <w:tcW w:type="dxa" w:w="234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$[AMOUNT]</w:t>
            </w:r>
          </w:p>
        </w:tc>
        <w:tc>
          <w:tcPr>
            <w:tcW w:type="dxa" w:w="234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$[AMOUNT]</w:t>
            </w:r>
          </w:p>
        </w:tc>
      </w:tr>
      <w:tr>
        <w:tc>
          <w:tcPr>
            <w:tcW w:type="dxa" w:w="468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Project Management (max [X]%)</w:t>
            </w:r>
          </w:p>
        </w:tc>
        <w:tc>
          <w:tcPr>
            <w:tcW w:type="dxa" w:w="234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$[AMOUNT]</w:t>
            </w:r>
          </w:p>
        </w:tc>
        <w:tc>
          <w:tcPr>
            <w:tcW w:type="dxa" w:w="234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$[AMOUNT]</w:t>
            </w:r>
          </w:p>
        </w:tc>
      </w:tr>
      <w:tr>
        <w:tc>
          <w:tcPr>
            <w:tcW w:type="dxa" w:w="468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Telecom/Data Cabling</w:t>
            </w:r>
          </w:p>
        </w:tc>
        <w:tc>
          <w:tcPr>
            <w:tcW w:type="dxa" w:w="234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$[AMOUNT]</w:t>
            </w:r>
          </w:p>
        </w:tc>
        <w:tc>
          <w:tcPr>
            <w:tcW w:type="dxa" w:w="234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$[AMOUNT]</w:t>
            </w:r>
          </w:p>
        </w:tc>
      </w:tr>
      <w:tr>
        <w:tc>
          <w:tcPr>
            <w:tcW w:type="dxa" w:w="468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Moving Costs (capped)</w:t>
            </w:r>
          </w:p>
        </w:tc>
        <w:tc>
          <w:tcPr>
            <w:tcW w:type="dxa" w:w="234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$[AMOUNT]</w:t>
            </w:r>
          </w:p>
        </w:tc>
        <w:tc>
          <w:tcPr>
            <w:tcW w:type="dxa" w:w="234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$[AMOUNT]</w:t>
            </w:r>
          </w:p>
        </w:tc>
      </w:tr>
      <w:tr>
        <w:tc>
          <w:tcPr>
            <w:tcW w:type="dxa" w:w="468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Contingency ([X]%)</w:t>
            </w:r>
          </w:p>
        </w:tc>
        <w:tc>
          <w:tcPr>
            <w:tcW w:type="dxa" w:w="234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$[AMOUNT]</w:t>
            </w:r>
          </w:p>
        </w:tc>
        <w:tc>
          <w:tcPr>
            <w:tcW w:type="dxa" w:w="234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$[AMOUNT]</w:t>
            </w:r>
          </w:p>
        </w:tc>
      </w:tr>
      <w:tr>
        <w:tc>
          <w:tcPr>
            <w:tcW w:type="dxa" w:w="468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TOTAL TI ALLOWANCE</w:t>
            </w:r>
          </w:p>
        </w:tc>
        <w:tc>
          <w:tcPr>
            <w:tcW w:type="dxa" w:w="234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$[TI/RSF]</w:t>
            </w:r>
          </w:p>
        </w:tc>
        <w:tc>
          <w:tcPr>
            <w:tcW w:type="dxa" w:w="234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$[TI TOTAL]</w:t>
            </w:r>
          </w:p>
        </w:tc>
      </w:tr>
    </w:tbl>
    <w:p>
      <w:pPr>
        <w:spacing w:after="60"/>
      </w:pPr>
    </w:p>
    <w:p>
      <w:pPr>
        <w:spacing w:after="120" w:before="240"/>
      </w:pPr>
      <w:r>
        <w:rPr>
          <w:rFonts w:ascii="Calibri" w:cs="Calibri" w:eastAsia="Calibri" w:hAnsi="Calibri"/>
          <w:b/>
          <w:bCs/>
          <w:sz w:val="22"/>
          <w:szCs w:val="22"/>
        </w:rPr>
        <w:t xml:space="preserve">Section D.2. Design Criteria and Construction Standards</w:t>
      </w:r>
    </w:p>
    <w:p>
      <w:pPr>
        <w:spacing w:after="120"/>
        <w:jc w:val="both"/>
      </w:pPr>
      <w:r>
        <w:rPr>
          <w:rFonts w:ascii="Calibri" w:cs="Calibri" w:eastAsia="Calibri" w:hAnsi="Calibri"/>
          <w:sz w:val="22"/>
          <w:szCs w:val="22"/>
        </w:rPr>
        <w:t xml:space="preserve">All Tenant Improvements shall be designed and constructed in accordance with the following criteria:</w:t>
      </w:r>
    </w:p>
    <w:p>
      <w:pPr>
        <w:spacing w:after="100"/>
        <w:ind w:left="720"/>
        <w:jc w:val="both"/>
      </w:pPr>
      <w:r>
        <w:rPr>
          <w:rFonts w:ascii="Calibri" w:cs="Calibri" w:eastAsia="Calibri" w:hAnsi="Calibri"/>
          <w:sz w:val="22"/>
          <w:szCs w:val="22"/>
        </w:rPr>
        <w:t xml:space="preserve">(a) Partitions: Building Standard metal stud and drywall partitions; full-height (slab-to-slab) demising walls and corridor walls; standard-height interior partitions.</w:t>
      </w:r>
    </w:p>
    <w:p>
      <w:pPr>
        <w:spacing w:after="100"/>
        <w:ind w:left="720"/>
        <w:jc w:val="both"/>
      </w:pPr>
      <w:r>
        <w:rPr>
          <w:rFonts w:ascii="Calibri" w:cs="Calibri" w:eastAsia="Calibri" w:hAnsi="Calibri"/>
          <w:sz w:val="22"/>
          <w:szCs w:val="22"/>
        </w:rPr>
        <w:t xml:space="preserve">(b) Ceilings: Building Standard suspended acoustical tile ceiling at [HEIGHT] feet above finished floor (or exposed ceiling with painted structure, if approved by Landlord).</w:t>
      </w:r>
    </w:p>
    <w:p>
      <w:pPr>
        <w:spacing w:after="100"/>
        <w:ind w:left="720"/>
        <w:jc w:val="both"/>
      </w:pPr>
      <w:r>
        <w:rPr>
          <w:rFonts w:ascii="Calibri" w:cs="Calibri" w:eastAsia="Calibri" w:hAnsi="Calibri"/>
          <w:sz w:val="22"/>
          <w:szCs w:val="22"/>
        </w:rPr>
        <w:t xml:space="preserve">(c) Flooring: Building Standard carpet tile in open office and private office areas; resilient flooring or ceramic tile in kitchen, break room, and restroom areas.</w:t>
      </w:r>
    </w:p>
    <w:p>
      <w:pPr>
        <w:spacing w:after="100"/>
        <w:ind w:left="720"/>
        <w:jc w:val="both"/>
      </w:pPr>
      <w:r>
        <w:rPr>
          <w:rFonts w:ascii="Calibri" w:cs="Calibri" w:eastAsia="Calibri" w:hAnsi="Calibri"/>
          <w:sz w:val="22"/>
          <w:szCs w:val="22"/>
        </w:rPr>
        <w:t xml:space="preserve">(d) Doors and Hardware: Building Standard solid-core wood doors with brushed nickel lever hardware; glass doors and sidelights as specified in the TI Plans.</w:t>
      </w:r>
    </w:p>
    <w:p>
      <w:pPr>
        <w:spacing w:after="100"/>
        <w:ind w:left="720"/>
        <w:jc w:val="both"/>
      </w:pPr>
      <w:r>
        <w:rPr>
          <w:rFonts w:ascii="Calibri" w:cs="Calibri" w:eastAsia="Calibri" w:hAnsi="Calibri"/>
          <w:sz w:val="22"/>
          <w:szCs w:val="22"/>
        </w:rPr>
        <w:t xml:space="preserve">(e) Lighting: Building Standard LED recessed troffer or linear fixtures; task lighting as specified; occupancy sensors in enclosed spaces per code.</w:t>
      </w:r>
    </w:p>
    <w:p>
      <w:pPr>
        <w:spacing w:after="100"/>
        <w:ind w:left="720"/>
        <w:jc w:val="both"/>
      </w:pPr>
      <w:r>
        <w:rPr>
          <w:rFonts w:ascii="Calibri" w:cs="Calibri" w:eastAsia="Calibri" w:hAnsi="Calibri"/>
          <w:sz w:val="22"/>
          <w:szCs w:val="22"/>
        </w:rPr>
        <w:t xml:space="preserve">(f) HVAC: connection to Building central system; supplemental HVAC for server rooms and high-density areas as required.</w:t>
      </w:r>
    </w:p>
    <w:p>
      <w:pPr>
        <w:spacing w:after="100"/>
        <w:ind w:left="720"/>
        <w:jc w:val="both"/>
      </w:pPr>
      <w:r>
        <w:rPr>
          <w:rFonts w:ascii="Calibri" w:cs="Calibri" w:eastAsia="Calibri" w:hAnsi="Calibri"/>
          <w:sz w:val="22"/>
          <w:szCs w:val="22"/>
        </w:rPr>
        <w:t xml:space="preserve">(g) Electrical: Building Standard duplex receptacles; dedicated circuits for server rooms and specialized equipment; data/telecom outlets as specified.</w:t>
      </w:r>
    </w:p>
    <w:p>
      <w:pPr>
        <w:spacing w:after="100"/>
        <w:ind w:left="720"/>
        <w:jc w:val="both"/>
      </w:pPr>
      <w:r>
        <w:rPr>
          <w:rFonts w:ascii="Calibri" w:cs="Calibri" w:eastAsia="Calibri" w:hAnsi="Calibri"/>
          <w:sz w:val="22"/>
          <w:szCs w:val="22"/>
        </w:rPr>
        <w:t xml:space="preserve">(h) Plumbing: kitchenette/break room sink and associated plumbing; shower facilities (if specified); connections to Building domestic water and waste systems.</w:t>
      </w:r>
    </w:p>
    <w:p>
      <w:pPr>
        <w:spacing w:after="100"/>
        <w:ind w:left="720"/>
        <w:jc w:val="both"/>
      </w:pPr>
      <w:r>
        <w:rPr>
          <w:rFonts w:ascii="Calibri" w:cs="Calibri" w:eastAsia="Calibri" w:hAnsi="Calibri"/>
          <w:sz w:val="22"/>
          <w:szCs w:val="22"/>
        </w:rPr>
        <w:t xml:space="preserve">(i) Fire Protection: modification of sprinkler layout as required for partition plan; additional sprinkler heads as needed.</w:t>
      </w:r>
    </w:p>
    <w:p>
      <w:pPr>
        <w:spacing w:after="100"/>
        <w:ind w:left="720"/>
        <w:jc w:val="both"/>
      </w:pPr>
      <w:r>
        <w:rPr>
          <w:rFonts w:ascii="Calibri" w:cs="Calibri" w:eastAsia="Calibri" w:hAnsi="Calibri"/>
          <w:sz w:val="22"/>
          <w:szCs w:val="22"/>
        </w:rPr>
        <w:t xml:space="preserve">(j) Security: suite entry card reader or keypad; internal access control as specified by Tenant.</w:t>
      </w:r>
    </w:p>
    <w:p>
      <w:pPr>
        <w:spacing w:after="60"/>
      </w:pPr>
    </w:p>
    <w:p>
      <w:pPr>
        <w:spacing w:after="120" w:before="240"/>
      </w:pPr>
      <w:r>
        <w:rPr>
          <w:rFonts w:ascii="Calibri" w:cs="Calibri" w:eastAsia="Calibri" w:hAnsi="Calibri"/>
          <w:b/>
          <w:bCs/>
          <w:sz w:val="22"/>
          <w:szCs w:val="22"/>
        </w:rPr>
        <w:t xml:space="preserve">Section D.3. Disbursement Schedule</w:t>
      </w:r>
    </w:p>
    <w:p>
      <w:pPr>
        <w:spacing w:after="120"/>
        <w:jc w:val="both"/>
      </w:pPr>
      <w:r>
        <w:rPr>
          <w:rFonts w:ascii="Calibri" w:cs="Calibri" w:eastAsia="Calibri" w:hAnsi="Calibri"/>
          <w:sz w:val="22"/>
          <w:szCs w:val="22"/>
        </w:rPr>
        <w:t xml:space="preserve">The TI Allowance shall be disbursed in accordance with Section 5.5 of the Lease. Draw requests shall be submitted no more frequently than once per month. Landlord shall retain [RETAINAGE PERCENTAGE]% of each disbursement until final completion and delivery of all required close-out documentation. The TI Allowance must be fully utilized within [NUMBER] months after the Commencement Date; any unused portion shall be forfeited.</w:t>
      </w:r>
    </w:p>
    <w:p>
      <w:pPr>
        <w:spacing w:after="60"/>
      </w:pPr>
    </w:p>
    <w:p>
      <w:pPr>
        <w:spacing w:after="120" w:before="240"/>
      </w:pPr>
      <w:r>
        <w:rPr>
          <w:rFonts w:ascii="Calibri" w:cs="Calibri" w:eastAsia="Calibri" w:hAnsi="Calibri"/>
          <w:b/>
          <w:bCs/>
          <w:sz w:val="22"/>
          <w:szCs w:val="22"/>
        </w:rPr>
        <w:t xml:space="preserve">Section D.4. Schedule and Milestones</w:t>
      </w:r>
    </w:p>
    <w:p>
      <w:pPr>
        <w:spacing w:after="100"/>
        <w:ind w:left="720"/>
        <w:jc w:val="both"/>
      </w:pPr>
      <w:r>
        <w:rPr>
          <w:rFonts w:ascii="Calibri" w:cs="Calibri" w:eastAsia="Calibri" w:hAnsi="Calibri"/>
          <w:sz w:val="22"/>
          <w:szCs w:val="22"/>
        </w:rPr>
        <w:t xml:space="preserve">(a) TI Plans submission: within [NUMBER] days after Delivery Date</w:t>
      </w:r>
    </w:p>
    <w:p>
      <w:pPr>
        <w:spacing w:after="100"/>
        <w:ind w:left="720"/>
        <w:jc w:val="both"/>
      </w:pPr>
      <w:r>
        <w:rPr>
          <w:rFonts w:ascii="Calibri" w:cs="Calibri" w:eastAsia="Calibri" w:hAnsi="Calibri"/>
          <w:sz w:val="22"/>
          <w:szCs w:val="22"/>
        </w:rPr>
        <w:t xml:space="preserve">(b) Landlord approval of TI Plans: within [NUMBER] Business Days after submission</w:t>
      </w:r>
    </w:p>
    <w:p>
      <w:pPr>
        <w:spacing w:after="100"/>
        <w:ind w:left="720"/>
        <w:jc w:val="both"/>
      </w:pPr>
      <w:r>
        <w:rPr>
          <w:rFonts w:ascii="Calibri" w:cs="Calibri" w:eastAsia="Calibri" w:hAnsi="Calibri"/>
          <w:sz w:val="22"/>
          <w:szCs w:val="22"/>
        </w:rPr>
        <w:t xml:space="preserve">(c) Permit application: within [NUMBER] days after TI Plans approval</w:t>
      </w:r>
    </w:p>
    <w:p>
      <w:pPr>
        <w:spacing w:after="100"/>
        <w:ind w:left="720"/>
        <w:jc w:val="both"/>
      </w:pPr>
      <w:r>
        <w:rPr>
          <w:rFonts w:ascii="Calibri" w:cs="Calibri" w:eastAsia="Calibri" w:hAnsi="Calibri"/>
          <w:sz w:val="22"/>
          <w:szCs w:val="22"/>
        </w:rPr>
        <w:t xml:space="preserve">(d) Construction commencement: within [NUMBER] days after permit issuance</w:t>
      </w:r>
    </w:p>
    <w:p>
      <w:pPr>
        <w:spacing w:after="100"/>
        <w:ind w:left="720"/>
        <w:jc w:val="both"/>
      </w:pPr>
      <w:r>
        <w:rPr>
          <w:rFonts w:ascii="Calibri" w:cs="Calibri" w:eastAsia="Calibri" w:hAnsi="Calibri"/>
          <w:sz w:val="22"/>
          <w:szCs w:val="22"/>
        </w:rPr>
        <w:t xml:space="preserve">(e) Substantial Completion target: [NUMBER] days after construction commencement</w:t>
      </w:r>
    </w:p>
    <w:p>
      <w:pPr>
        <w:spacing w:after="100"/>
        <w:ind w:left="720"/>
        <w:jc w:val="both"/>
      </w:pPr>
      <w:r>
        <w:rPr>
          <w:rFonts w:ascii="Calibri" w:cs="Calibri" w:eastAsia="Calibri" w:hAnsi="Calibri"/>
          <w:sz w:val="22"/>
          <w:szCs w:val="22"/>
        </w:rPr>
        <w:t xml:space="preserve">(f) Final completion and close-out: [NUMBER] days after Substantial Completion</w:t>
      </w:r>
    </w:p>
    <w:p>
      <w:pPr>
        <w:pageBreakBefore/>
        <w:spacing w:after="120"/>
        <w:jc w:val="center"/>
      </w:pPr>
      <w:r>
        <w:rPr>
          <w:rFonts w:ascii="Calibri" w:cs="Calibri" w:eastAsia="Calibri" w:hAnsi="Calibri"/>
          <w:b/>
          <w:bCs/>
          <w:sz w:val="26"/>
          <w:szCs w:val="26"/>
        </w:rPr>
        <w:t xml:space="preserve">EXHIBIT E</w:t>
      </w:r>
    </w:p>
    <w:p>
      <w:pPr>
        <w:spacing w:after="200"/>
        <w:jc w:val="center"/>
      </w:pPr>
      <w:r>
        <w:rPr>
          <w:rFonts w:ascii="Calibri" w:cs="Calibri" w:eastAsia="Calibri" w:hAnsi="Calibri"/>
          <w:b w:val="false"/>
          <w:bCs w:val="false"/>
          <w:i/>
          <w:iCs/>
          <w:sz w:val="22"/>
          <w:szCs w:val="22"/>
        </w:rPr>
        <w:t xml:space="preserve">Rent and CAM Schedule</w:t>
      </w:r>
    </w:p>
    <w:p>
      <w:pPr>
        <w:spacing w:after="120" w:before="240"/>
      </w:pPr>
      <w:r>
        <w:rPr>
          <w:rFonts w:ascii="Calibri" w:cs="Calibri" w:eastAsia="Calibri" w:hAnsi="Calibri"/>
          <w:b/>
          <w:bCs/>
          <w:sz w:val="22"/>
          <w:szCs w:val="22"/>
        </w:rPr>
        <w:t xml:space="preserve">Section E.1. Base Rent Schedule</w:t>
      </w:r>
    </w:p>
    <w:p>
      <w:pPr>
        <w:spacing w:after="120"/>
        <w:jc w:val="both"/>
      </w:pPr>
      <w:r>
        <w:rPr>
          <w:rFonts w:ascii="Calibri" w:cs="Calibri" w:eastAsia="Calibri" w:hAnsi="Calibri"/>
          <w:sz w:val="22"/>
          <w:szCs w:val="22"/>
        </w:rPr>
        <w:t xml:space="preserve">[INSERT COMPLETE RENT SCHEDULE CONSISTENT WITH SECTION 6.2. INCLUDE ALL LEASE YEARS, RENEWAL TERMS (IF EXERCISED), AND EXPANSION SPACE RENT (IF APPLICABLE).]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60"/>
        <w:gridCol w:w="1560"/>
        <w:gridCol w:w="1560"/>
        <w:gridCol w:w="1560"/>
        <w:gridCol w:w="1560"/>
        <w:gridCol w:w="1560"/>
      </w:tblGrid>
      <w:tr>
        <w:tc>
          <w:tcPr>
            <w:tcW w:type="dxa" w:w="156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Lease Year</w:t>
            </w:r>
          </w:p>
        </w:tc>
        <w:tc>
          <w:tcPr>
            <w:tcW w:type="dxa" w:w="156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Dates</w:t>
            </w:r>
          </w:p>
        </w:tc>
        <w:tc>
          <w:tcPr>
            <w:tcW w:type="dxa" w:w="156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RSF</w:t>
            </w:r>
          </w:p>
        </w:tc>
        <w:tc>
          <w:tcPr>
            <w:tcW w:type="dxa" w:w="156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$/RSF/Yr</w:t>
            </w:r>
          </w:p>
        </w:tc>
        <w:tc>
          <w:tcPr>
            <w:tcW w:type="dxa" w:w="156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Monthly Rent</w:t>
            </w:r>
          </w:p>
        </w:tc>
        <w:tc>
          <w:tcPr>
            <w:tcW w:type="dxa" w:w="156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Annual Rent</w:t>
            </w:r>
          </w:p>
        </w:tc>
      </w:tr>
      <w:tr>
        <w:tc>
          <w:tcPr>
            <w:tcW w:type="dxa" w:w="15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Free Rent</w:t>
            </w:r>
          </w:p>
        </w:tc>
        <w:tc>
          <w:tcPr>
            <w:tcW w:type="dxa" w:w="15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[DATES]</w:t>
            </w:r>
          </w:p>
        </w:tc>
        <w:tc>
          <w:tcPr>
            <w:tcW w:type="dxa" w:w="15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[RSF]</w:t>
            </w:r>
          </w:p>
        </w:tc>
        <w:tc>
          <w:tcPr>
            <w:tcW w:type="dxa" w:w="15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$0.00</w:t>
            </w:r>
          </w:p>
        </w:tc>
        <w:tc>
          <w:tcPr>
            <w:tcW w:type="dxa" w:w="15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$0.00</w:t>
            </w:r>
          </w:p>
        </w:tc>
        <w:tc>
          <w:tcPr>
            <w:tcW w:type="dxa" w:w="15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$0.00</w:t>
            </w:r>
          </w:p>
        </w:tc>
      </w:tr>
      <w:tr>
        <w:tc>
          <w:tcPr>
            <w:tcW w:type="dxa" w:w="156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Year 1</w:t>
            </w:r>
          </w:p>
        </w:tc>
        <w:tc>
          <w:tcPr>
            <w:tcW w:type="dxa" w:w="156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[DATES]</w:t>
            </w:r>
          </w:p>
        </w:tc>
        <w:tc>
          <w:tcPr>
            <w:tcW w:type="dxa" w:w="156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[RSF]</w:t>
            </w:r>
          </w:p>
        </w:tc>
        <w:tc>
          <w:tcPr>
            <w:tcW w:type="dxa" w:w="156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$[RATE]</w:t>
            </w:r>
          </w:p>
        </w:tc>
        <w:tc>
          <w:tcPr>
            <w:tcW w:type="dxa" w:w="156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$[AMOUNT]</w:t>
            </w:r>
          </w:p>
        </w:tc>
        <w:tc>
          <w:tcPr>
            <w:tcW w:type="dxa" w:w="156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$[AMOUNT]</w:t>
            </w:r>
          </w:p>
        </w:tc>
      </w:tr>
      <w:tr>
        <w:tc>
          <w:tcPr>
            <w:tcW w:type="dxa" w:w="15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[CONTINUE FOR EACH YEAR]</w:t>
            </w:r>
          </w:p>
        </w:tc>
        <w:tc>
          <w:tcPr>
            <w:tcW w:type="dxa" w:w="15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
            </w:r>
          </w:p>
        </w:tc>
        <w:tc>
          <w:tcPr>
            <w:tcW w:type="dxa" w:w="15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
            </w:r>
          </w:p>
        </w:tc>
        <w:tc>
          <w:tcPr>
            <w:tcW w:type="dxa" w:w="15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
            </w:r>
          </w:p>
        </w:tc>
        <w:tc>
          <w:tcPr>
            <w:tcW w:type="dxa" w:w="15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
            </w:r>
          </w:p>
        </w:tc>
        <w:tc>
          <w:tcPr>
            <w:tcW w:type="dxa" w:w="15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
            </w:r>
          </w:p>
        </w:tc>
      </w:tr>
    </w:tbl>
    <w:p>
      <w:pPr>
        <w:spacing w:after="60"/>
      </w:pPr>
    </w:p>
    <w:p>
      <w:pPr>
        <w:spacing w:after="120" w:before="240"/>
      </w:pPr>
      <w:r>
        <w:rPr>
          <w:rFonts w:ascii="Calibri" w:cs="Calibri" w:eastAsia="Calibri" w:hAnsi="Calibri"/>
          <w:b/>
          <w:bCs/>
          <w:sz w:val="22"/>
          <w:szCs w:val="22"/>
        </w:rPr>
        <w:t xml:space="preserve">Section E.2. Operating Expense Projections</w:t>
      </w:r>
    </w:p>
    <w:p>
      <w:pPr>
        <w:spacing w:after="120"/>
        <w:jc w:val="both"/>
      </w:pPr>
      <w:r>
        <w:rPr>
          <w:rFonts w:ascii="Calibri" w:cs="Calibri" w:eastAsia="Calibri" w:hAnsi="Calibri"/>
          <w:sz w:val="22"/>
          <w:szCs w:val="22"/>
        </w:rPr>
        <w:t xml:space="preserve">Base Year Operating Expenses (estimated): $[BASE YEAR TOTAL] ($[BASE YEAR PER RSF]/RSF)</w:t>
      </w:r>
    </w:p>
    <w:p>
      <w:pPr>
        <w:spacing w:after="120"/>
        <w:jc w:val="both"/>
      </w:pPr>
      <w:r>
        <w:rPr>
          <w:rFonts w:ascii="Calibri" w:cs="Calibri" w:eastAsia="Calibri" w:hAnsi="Calibri"/>
          <w:sz w:val="22"/>
          <w:szCs w:val="22"/>
        </w:rPr>
        <w:t xml:space="preserve">Projected annual increase: [PERCENTAGE]% (subject to Controllable Expense Cap)</w:t>
      </w:r>
    </w:p>
    <w:p>
      <w:pPr>
        <w:spacing w:after="120"/>
        <w:jc w:val="both"/>
      </w:pPr>
      <w:r>
        <w:rPr>
          <w:rFonts w:ascii="Calibri" w:cs="Calibri" w:eastAsia="Calibri" w:hAnsi="Calibri"/>
          <w:sz w:val="22"/>
          <w:szCs w:val="22"/>
        </w:rPr>
        <w:t xml:space="preserve">Tenant's Pro Rata Share: [PRO RATA]%</w:t>
      </w:r>
    </w:p>
    <w:p>
      <w:pPr>
        <w:spacing w:after="60"/>
      </w:pPr>
    </w:p>
    <w:p>
      <w:pPr>
        <w:spacing w:after="120" w:before="240"/>
      </w:pPr>
      <w:r>
        <w:rPr>
          <w:rFonts w:ascii="Calibri" w:cs="Calibri" w:eastAsia="Calibri" w:hAnsi="Calibri"/>
          <w:b/>
          <w:bCs/>
          <w:sz w:val="22"/>
          <w:szCs w:val="22"/>
        </w:rPr>
        <w:t xml:space="preserve">Section E.3. Tax Projections</w:t>
      </w:r>
    </w:p>
    <w:p>
      <w:pPr>
        <w:spacing w:after="120"/>
        <w:jc w:val="both"/>
      </w:pPr>
      <w:r>
        <w:rPr>
          <w:rFonts w:ascii="Calibri" w:cs="Calibri" w:eastAsia="Calibri" w:hAnsi="Calibri"/>
          <w:sz w:val="22"/>
          <w:szCs w:val="22"/>
        </w:rPr>
        <w:t xml:space="preserve">Base Year Taxes: $[BASE YEAR TAX TOTAL] ($[BASE YEAR TAX PER RSF]/RSF)</w:t>
      </w:r>
    </w:p>
    <w:p>
      <w:pPr>
        <w:spacing w:after="120"/>
        <w:jc w:val="both"/>
      </w:pPr>
      <w:r>
        <w:rPr>
          <w:rFonts w:ascii="Calibri" w:cs="Calibri" w:eastAsia="Calibri" w:hAnsi="Calibri"/>
          <w:sz w:val="22"/>
          <w:szCs w:val="22"/>
        </w:rPr>
        <w:t xml:space="preserve">Current assessed value: $[ASSESSED VALUE]</w:t>
      </w:r>
    </w:p>
    <w:p>
      <w:pPr>
        <w:spacing w:after="120"/>
        <w:jc w:val="both"/>
      </w:pPr>
      <w:r>
        <w:rPr>
          <w:rFonts w:ascii="Calibri" w:cs="Calibri" w:eastAsia="Calibri" w:hAnsi="Calibri"/>
          <w:sz w:val="22"/>
          <w:szCs w:val="22"/>
        </w:rPr>
        <w:t xml:space="preserve">Current mill rate: [MILL RATE]</w:t>
      </w:r>
    </w:p>
    <w:p>
      <w:pPr>
        <w:spacing w:after="60"/>
      </w:pPr>
    </w:p>
    <w:p>
      <w:pPr>
        <w:spacing w:after="120" w:before="240"/>
      </w:pPr>
      <w:r>
        <w:rPr>
          <w:rFonts w:ascii="Calibri" w:cs="Calibri" w:eastAsia="Calibri" w:hAnsi="Calibri"/>
          <w:b/>
          <w:bCs/>
          <w:sz w:val="22"/>
          <w:szCs w:val="22"/>
        </w:rPr>
        <w:t xml:space="preserve">Section E.4. Parking Charges</w:t>
      </w:r>
    </w:p>
    <w:p>
      <w:pPr>
        <w:spacing w:after="120"/>
        <w:jc w:val="both"/>
      </w:pPr>
      <w:r>
        <w:rPr>
          <w:rFonts w:ascii="Calibri" w:cs="Calibri" w:eastAsia="Calibri" w:hAnsi="Calibri"/>
          <w:sz w:val="22"/>
          <w:szCs w:val="22"/>
        </w:rPr>
        <w:t xml:space="preserve">Reserved spaces: [NUMBER] spaces at $[RESERVED RATE]/space/month = $[TOTAL]/month</w:t>
      </w:r>
    </w:p>
    <w:p>
      <w:pPr>
        <w:spacing w:after="120"/>
        <w:jc w:val="both"/>
      </w:pPr>
      <w:r>
        <w:rPr>
          <w:rFonts w:ascii="Calibri" w:cs="Calibri" w:eastAsia="Calibri" w:hAnsi="Calibri"/>
          <w:sz w:val="22"/>
          <w:szCs w:val="22"/>
        </w:rPr>
        <w:t xml:space="preserve">Unreserved spaces: [NUMBER] spaces at $[UNRESERVED RATE]/space/month = $[TOTAL]/month</w:t>
      </w:r>
    </w:p>
    <w:p>
      <w:pPr>
        <w:spacing w:after="120"/>
        <w:jc w:val="both"/>
      </w:pPr>
      <w:r>
        <w:rPr>
          <w:rFonts w:ascii="Calibri" w:cs="Calibri" w:eastAsia="Calibri" w:hAnsi="Calibri"/>
          <w:sz w:val="22"/>
          <w:szCs w:val="22"/>
        </w:rPr>
        <w:t xml:space="preserve">Annual escalation: [PERCENTAGE]% per year</w:t>
      </w:r>
    </w:p>
    <w:p>
      <w:pPr>
        <w:spacing w:after="60"/>
      </w:pPr>
    </w:p>
    <w:p>
      <w:pPr>
        <w:spacing w:after="120" w:before="240"/>
      </w:pPr>
      <w:r>
        <w:rPr>
          <w:rFonts w:ascii="Calibri" w:cs="Calibri" w:eastAsia="Calibri" w:hAnsi="Calibri"/>
          <w:b/>
          <w:bCs/>
          <w:sz w:val="22"/>
          <w:szCs w:val="22"/>
        </w:rPr>
        <w:t xml:space="preserve">Section E.5. After-Hours HVAC Charges</w:t>
      </w:r>
    </w:p>
    <w:p>
      <w:pPr>
        <w:spacing w:after="120"/>
        <w:jc w:val="both"/>
      </w:pPr>
      <w:r>
        <w:rPr>
          <w:rFonts w:ascii="Calibri" w:cs="Calibri" w:eastAsia="Calibri" w:hAnsi="Calibri"/>
          <w:sz w:val="22"/>
          <w:szCs w:val="22"/>
        </w:rPr>
        <w:t xml:space="preserve">Rate: $[RATE] per hour per zone (minimum [NUMBER] hour request)</w:t>
      </w:r>
    </w:p>
    <w:p>
      <w:pPr>
        <w:spacing w:after="120"/>
        <w:jc w:val="both"/>
      </w:pPr>
      <w:r>
        <w:rPr>
          <w:rFonts w:ascii="Calibri" w:cs="Calibri" w:eastAsia="Calibri" w:hAnsi="Calibri"/>
          <w:sz w:val="22"/>
          <w:szCs w:val="22"/>
        </w:rPr>
        <w:t xml:space="preserve">Number of zones serving the Premises: [NUMBER]</w:t>
      </w:r>
    </w:p>
    <w:p>
      <w:pPr>
        <w:spacing w:after="60"/>
      </w:pPr>
    </w:p>
    <w:p>
      <w:pPr>
        <w:spacing w:after="120" w:before="240"/>
      </w:pPr>
      <w:r>
        <w:rPr>
          <w:rFonts w:ascii="Calibri" w:cs="Calibri" w:eastAsia="Calibri" w:hAnsi="Calibri"/>
          <w:b/>
          <w:bCs/>
          <w:sz w:val="22"/>
          <w:szCs w:val="22"/>
        </w:rPr>
        <w:t xml:space="preserve">Section E.6. Utility Charges</w:t>
      </w:r>
    </w:p>
    <w:p>
      <w:pPr>
        <w:spacing w:after="120"/>
        <w:jc w:val="both"/>
      </w:pPr>
      <w:r>
        <w:rPr>
          <w:rFonts w:ascii="Calibri" w:cs="Calibri" w:eastAsia="Calibri" w:hAnsi="Calibri"/>
          <w:sz w:val="22"/>
          <w:szCs w:val="22"/>
        </w:rPr>
        <w:t xml:space="preserve">[IF SEPARATELY METERED] Tenant shall pay utility providers directly for metered consumption.</w:t>
      </w:r>
    </w:p>
    <w:p>
      <w:pPr>
        <w:spacing w:after="120"/>
        <w:jc w:val="both"/>
      </w:pPr>
      <w:r>
        <w:rPr>
          <w:rFonts w:ascii="Calibri" w:cs="Calibri" w:eastAsia="Calibri" w:hAnsi="Calibri"/>
          <w:sz w:val="22"/>
          <w:szCs w:val="22"/>
        </w:rPr>
        <w:t xml:space="preserve">[IF NOT SEPARATELY METERED] Tenant's utility costs are included in Operating Expenses, subject to excess usage charges under Section 6.6.</w:t>
      </w:r>
    </w:p>
    <w:p>
      <w:pPr>
        <w:pageBreakBefore/>
        <w:spacing w:after="120"/>
        <w:jc w:val="center"/>
      </w:pPr>
      <w:r>
        <w:rPr>
          <w:rFonts w:ascii="Calibri" w:cs="Calibri" w:eastAsia="Calibri" w:hAnsi="Calibri"/>
          <w:b/>
          <w:bCs/>
          <w:sz w:val="26"/>
          <w:szCs w:val="26"/>
        </w:rPr>
        <w:t xml:space="preserve">EXHIBIT F</w:t>
      </w:r>
    </w:p>
    <w:p>
      <w:pPr>
        <w:spacing w:after="200"/>
        <w:jc w:val="center"/>
      </w:pPr>
      <w:r>
        <w:rPr>
          <w:rFonts w:ascii="Calibri" w:cs="Calibri" w:eastAsia="Calibri" w:hAnsi="Calibri"/>
          <w:b w:val="false"/>
          <w:bCs w:val="false"/>
          <w:i/>
          <w:iCs/>
          <w:sz w:val="22"/>
          <w:szCs w:val="22"/>
        </w:rPr>
        <w:t xml:space="preserve">Services and Repair Responsibility Matrix</w:t>
      </w:r>
    </w:p>
    <w:p>
      <w:pPr>
        <w:spacing w:after="120"/>
        <w:jc w:val="both"/>
      </w:pPr>
      <w:r>
        <w:rPr>
          <w:rFonts w:ascii="Calibri" w:cs="Calibri" w:eastAsia="Calibri" w:hAnsi="Calibri"/>
          <w:sz w:val="22"/>
          <w:szCs w:val="22"/>
        </w:rPr>
        <w:t xml:space="preserve">The following matrix allocates maintenance, repair, and replacement responsibilities between Landlord and Tenant. This matrix is provided for reference and is subject to the detailed provisions of Article 8.</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00"/>
        <w:gridCol w:w="2930"/>
        <w:gridCol w:w="2930"/>
      </w:tblGrid>
      <w:tr>
        <w:tc>
          <w:tcPr>
            <w:tcW w:type="dxa" w:w="350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System/Component</w:t>
            </w:r>
          </w:p>
        </w:tc>
        <w:tc>
          <w:tcPr>
            <w:tcW w:type="dxa" w:w="293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Responsible Party</w:t>
            </w:r>
          </w:p>
        </w:tc>
        <w:tc>
          <w:tcPr>
            <w:tcW w:type="dxa" w:w="293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Cost Allocation</w:t>
            </w:r>
          </w:p>
        </w:tc>
      </w:tr>
      <w:tr>
        <w:tc>
          <w:tcPr>
            <w:tcW w:type="dxa" w:w="35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Structural Frame, Foundation</w:t>
            </w:r>
          </w:p>
        </w:tc>
        <w:tc>
          <w:tcPr>
            <w:tcW w:type="dxa" w:w="293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Landlord</w:t>
            </w:r>
          </w:p>
        </w:tc>
        <w:tc>
          <w:tcPr>
            <w:tcW w:type="dxa" w:w="293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Operating Expenses</w:t>
            </w:r>
          </w:p>
        </w:tc>
      </w:tr>
      <w:tr>
        <w:tc>
          <w:tcPr>
            <w:tcW w:type="dxa" w:w="35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Roof Membrane &amp; Drainage</w:t>
            </w:r>
          </w:p>
        </w:tc>
        <w:tc>
          <w:tcPr>
            <w:tcW w:type="dxa" w:w="293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Landlord</w:t>
            </w:r>
          </w:p>
        </w:tc>
        <w:tc>
          <w:tcPr>
            <w:tcW w:type="dxa" w:w="293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Operating Expenses</w:t>
            </w:r>
          </w:p>
        </w:tc>
      </w:tr>
      <w:tr>
        <w:tc>
          <w:tcPr>
            <w:tcW w:type="dxa" w:w="35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Exterior Walls, Windows, Facade</w:t>
            </w:r>
          </w:p>
        </w:tc>
        <w:tc>
          <w:tcPr>
            <w:tcW w:type="dxa" w:w="293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Landlord</w:t>
            </w:r>
          </w:p>
        </w:tc>
        <w:tc>
          <w:tcPr>
            <w:tcW w:type="dxa" w:w="293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Operating Expenses</w:t>
            </w:r>
          </w:p>
        </w:tc>
      </w:tr>
      <w:tr>
        <w:tc>
          <w:tcPr>
            <w:tcW w:type="dxa" w:w="35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Common Area Floors, Walls, Ceilings</w:t>
            </w:r>
          </w:p>
        </w:tc>
        <w:tc>
          <w:tcPr>
            <w:tcW w:type="dxa" w:w="293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Landlord</w:t>
            </w:r>
          </w:p>
        </w:tc>
        <w:tc>
          <w:tcPr>
            <w:tcW w:type="dxa" w:w="293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Operating Expenses</w:t>
            </w:r>
          </w:p>
        </w:tc>
      </w:tr>
      <w:tr>
        <w:tc>
          <w:tcPr>
            <w:tcW w:type="dxa" w:w="35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Elevators</w:t>
            </w:r>
          </w:p>
        </w:tc>
        <w:tc>
          <w:tcPr>
            <w:tcW w:type="dxa" w:w="293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Landlord</w:t>
            </w:r>
          </w:p>
        </w:tc>
        <w:tc>
          <w:tcPr>
            <w:tcW w:type="dxa" w:w="293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Operating Expenses</w:t>
            </w:r>
          </w:p>
        </w:tc>
      </w:tr>
      <w:tr>
        <w:tc>
          <w:tcPr>
            <w:tcW w:type="dxa" w:w="35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Base HVAC System</w:t>
            </w:r>
          </w:p>
        </w:tc>
        <w:tc>
          <w:tcPr>
            <w:tcW w:type="dxa" w:w="293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Landlord</w:t>
            </w:r>
          </w:p>
        </w:tc>
        <w:tc>
          <w:tcPr>
            <w:tcW w:type="dxa" w:w="293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Operating Expenses</w:t>
            </w:r>
          </w:p>
        </w:tc>
      </w:tr>
      <w:tr>
        <w:tc>
          <w:tcPr>
            <w:tcW w:type="dxa" w:w="35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Supplemental HVAC (Tenant)</w:t>
            </w:r>
          </w:p>
        </w:tc>
        <w:tc>
          <w:tcPr>
            <w:tcW w:type="dxa" w:w="293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Tenant</w:t>
            </w:r>
          </w:p>
        </w:tc>
        <w:tc>
          <w:tcPr>
            <w:tcW w:type="dxa" w:w="293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Tenant Direct</w:t>
            </w:r>
          </w:p>
        </w:tc>
      </w:tr>
      <w:tr>
        <w:tc>
          <w:tcPr>
            <w:tcW w:type="dxa" w:w="35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Base Electrical Distribution</w:t>
            </w:r>
          </w:p>
        </w:tc>
        <w:tc>
          <w:tcPr>
            <w:tcW w:type="dxa" w:w="293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Landlord</w:t>
            </w:r>
          </w:p>
        </w:tc>
        <w:tc>
          <w:tcPr>
            <w:tcW w:type="dxa" w:w="293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Operating Expenses</w:t>
            </w:r>
          </w:p>
        </w:tc>
      </w:tr>
      <w:tr>
        <w:tc>
          <w:tcPr>
            <w:tcW w:type="dxa" w:w="35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Premises Electrical (above panel)</w:t>
            </w:r>
          </w:p>
        </w:tc>
        <w:tc>
          <w:tcPr>
            <w:tcW w:type="dxa" w:w="293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Tenant</w:t>
            </w:r>
          </w:p>
        </w:tc>
        <w:tc>
          <w:tcPr>
            <w:tcW w:type="dxa" w:w="293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Tenant Direct</w:t>
            </w:r>
          </w:p>
        </w:tc>
      </w:tr>
      <w:tr>
        <w:tc>
          <w:tcPr>
            <w:tcW w:type="dxa" w:w="35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Plumbing (Building core)</w:t>
            </w:r>
          </w:p>
        </w:tc>
        <w:tc>
          <w:tcPr>
            <w:tcW w:type="dxa" w:w="293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Landlord</w:t>
            </w:r>
          </w:p>
        </w:tc>
        <w:tc>
          <w:tcPr>
            <w:tcW w:type="dxa" w:w="293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Operating Expenses</w:t>
            </w:r>
          </w:p>
        </w:tc>
      </w:tr>
      <w:tr>
        <w:tc>
          <w:tcPr>
            <w:tcW w:type="dxa" w:w="35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Plumbing (within Premises)</w:t>
            </w:r>
          </w:p>
        </w:tc>
        <w:tc>
          <w:tcPr>
            <w:tcW w:type="dxa" w:w="293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Tenant</w:t>
            </w:r>
          </w:p>
        </w:tc>
        <w:tc>
          <w:tcPr>
            <w:tcW w:type="dxa" w:w="293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Tenant Direct</w:t>
            </w:r>
          </w:p>
        </w:tc>
      </w:tr>
      <w:tr>
        <w:tc>
          <w:tcPr>
            <w:tcW w:type="dxa" w:w="35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Fire Protection &amp; Life Safety</w:t>
            </w:r>
          </w:p>
        </w:tc>
        <w:tc>
          <w:tcPr>
            <w:tcW w:type="dxa" w:w="293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Landlord</w:t>
            </w:r>
          </w:p>
        </w:tc>
        <w:tc>
          <w:tcPr>
            <w:tcW w:type="dxa" w:w="293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Operating Expenses</w:t>
            </w:r>
          </w:p>
        </w:tc>
      </w:tr>
      <w:tr>
        <w:tc>
          <w:tcPr>
            <w:tcW w:type="dxa" w:w="35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Interior Partitions &amp; Finishes</w:t>
            </w:r>
          </w:p>
        </w:tc>
        <w:tc>
          <w:tcPr>
            <w:tcW w:type="dxa" w:w="293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Tenant</w:t>
            </w:r>
          </w:p>
        </w:tc>
        <w:tc>
          <w:tcPr>
            <w:tcW w:type="dxa" w:w="293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Tenant Direct</w:t>
            </w:r>
          </w:p>
        </w:tc>
      </w:tr>
      <w:tr>
        <w:tc>
          <w:tcPr>
            <w:tcW w:type="dxa" w:w="35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Floor Coverings (Premises)</w:t>
            </w:r>
          </w:p>
        </w:tc>
        <w:tc>
          <w:tcPr>
            <w:tcW w:type="dxa" w:w="293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Tenant</w:t>
            </w:r>
          </w:p>
        </w:tc>
        <w:tc>
          <w:tcPr>
            <w:tcW w:type="dxa" w:w="293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Tenant Direct</w:t>
            </w:r>
          </w:p>
        </w:tc>
      </w:tr>
      <w:tr>
        <w:tc>
          <w:tcPr>
            <w:tcW w:type="dxa" w:w="35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Interior Doors &amp; Hardware</w:t>
            </w:r>
          </w:p>
        </w:tc>
        <w:tc>
          <w:tcPr>
            <w:tcW w:type="dxa" w:w="293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Tenant</w:t>
            </w:r>
          </w:p>
        </w:tc>
        <w:tc>
          <w:tcPr>
            <w:tcW w:type="dxa" w:w="293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Tenant Direct</w:t>
            </w:r>
          </w:p>
        </w:tc>
      </w:tr>
      <w:tr>
        <w:tc>
          <w:tcPr>
            <w:tcW w:type="dxa" w:w="35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Lighting (Premises)</w:t>
            </w:r>
          </w:p>
        </w:tc>
        <w:tc>
          <w:tcPr>
            <w:tcW w:type="dxa" w:w="293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Tenant</w:t>
            </w:r>
          </w:p>
        </w:tc>
        <w:tc>
          <w:tcPr>
            <w:tcW w:type="dxa" w:w="293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Tenant Direct</w:t>
            </w:r>
          </w:p>
        </w:tc>
      </w:tr>
      <w:tr>
        <w:tc>
          <w:tcPr>
            <w:tcW w:type="dxa" w:w="35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Telecom Cabling (Premises)</w:t>
            </w:r>
          </w:p>
        </w:tc>
        <w:tc>
          <w:tcPr>
            <w:tcW w:type="dxa" w:w="293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Tenant</w:t>
            </w:r>
          </w:p>
        </w:tc>
        <w:tc>
          <w:tcPr>
            <w:tcW w:type="dxa" w:w="293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Tenant Direct</w:t>
            </w:r>
          </w:p>
        </w:tc>
      </w:tr>
      <w:tr>
        <w:tc>
          <w:tcPr>
            <w:tcW w:type="dxa" w:w="35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Janitorial (Common Areas)</w:t>
            </w:r>
          </w:p>
        </w:tc>
        <w:tc>
          <w:tcPr>
            <w:tcW w:type="dxa" w:w="293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Landlord</w:t>
            </w:r>
          </w:p>
        </w:tc>
        <w:tc>
          <w:tcPr>
            <w:tcW w:type="dxa" w:w="293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Operating Expenses</w:t>
            </w:r>
          </w:p>
        </w:tc>
      </w:tr>
      <w:tr>
        <w:tc>
          <w:tcPr>
            <w:tcW w:type="dxa" w:w="35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Janitorial (Premises)</w:t>
            </w:r>
          </w:p>
        </w:tc>
        <w:tc>
          <w:tcPr>
            <w:tcW w:type="dxa" w:w="293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Landlord</w:t>
            </w:r>
          </w:p>
        </w:tc>
        <w:tc>
          <w:tcPr>
            <w:tcW w:type="dxa" w:w="293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Operating Expenses</w:t>
            </w:r>
          </w:p>
        </w:tc>
      </w:tr>
      <w:tr>
        <w:tc>
          <w:tcPr>
            <w:tcW w:type="dxa" w:w="35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Landscaping &amp; Grounds</w:t>
            </w:r>
          </w:p>
        </w:tc>
        <w:tc>
          <w:tcPr>
            <w:tcW w:type="dxa" w:w="293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Landlord</w:t>
            </w:r>
          </w:p>
        </w:tc>
        <w:tc>
          <w:tcPr>
            <w:tcW w:type="dxa" w:w="293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Operating Expenses</w:t>
            </w:r>
          </w:p>
        </w:tc>
      </w:tr>
      <w:tr>
        <w:tc>
          <w:tcPr>
            <w:tcW w:type="dxa" w:w="35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Parking Lot/Garage</w:t>
            </w:r>
          </w:p>
        </w:tc>
        <w:tc>
          <w:tcPr>
            <w:tcW w:type="dxa" w:w="293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Landlord</w:t>
            </w:r>
          </w:p>
        </w:tc>
        <w:tc>
          <w:tcPr>
            <w:tcW w:type="dxa" w:w="293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Operating Expenses</w:t>
            </w:r>
          </w:p>
        </w:tc>
      </w:tr>
      <w:tr>
        <w:tc>
          <w:tcPr>
            <w:tcW w:type="dxa" w:w="35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Security (Building)</w:t>
            </w:r>
          </w:p>
        </w:tc>
        <w:tc>
          <w:tcPr>
            <w:tcW w:type="dxa" w:w="293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Landlord</w:t>
            </w:r>
          </w:p>
        </w:tc>
        <w:tc>
          <w:tcPr>
            <w:tcW w:type="dxa" w:w="293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Operating Expenses</w:t>
            </w:r>
          </w:p>
        </w:tc>
      </w:tr>
      <w:tr>
        <w:tc>
          <w:tcPr>
            <w:tcW w:type="dxa" w:w="35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Security (Premises Supplemental)</w:t>
            </w:r>
          </w:p>
        </w:tc>
        <w:tc>
          <w:tcPr>
            <w:tcW w:type="dxa" w:w="293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Tenant</w:t>
            </w:r>
          </w:p>
        </w:tc>
        <w:tc>
          <w:tcPr>
            <w:tcW w:type="dxa" w:w="293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Tenant Direct</w:t>
            </w:r>
          </w:p>
        </w:tc>
      </w:tr>
      <w:tr>
        <w:tc>
          <w:tcPr>
            <w:tcW w:type="dxa" w:w="35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Pest Control</w:t>
            </w:r>
          </w:p>
        </w:tc>
        <w:tc>
          <w:tcPr>
            <w:tcW w:type="dxa" w:w="293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Landlord</w:t>
            </w:r>
          </w:p>
        </w:tc>
        <w:tc>
          <w:tcPr>
            <w:tcW w:type="dxa" w:w="293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Operating Expenses</w:t>
            </w:r>
          </w:p>
        </w:tc>
      </w:tr>
      <w:tr>
        <w:tc>
          <w:tcPr>
            <w:tcW w:type="dxa" w:w="35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Snow &amp; Ice Removal</w:t>
            </w:r>
          </w:p>
        </w:tc>
        <w:tc>
          <w:tcPr>
            <w:tcW w:type="dxa" w:w="293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Landlord</w:t>
            </w:r>
          </w:p>
        </w:tc>
        <w:tc>
          <w:tcPr>
            <w:tcW w:type="dxa" w:w="293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Operating Expenses</w:t>
            </w:r>
          </w:p>
        </w:tc>
      </w:tr>
    </w:tbl>
    <w:p>
      <w:pPr>
        <w:spacing w:after="60"/>
      </w:pPr>
    </w:p>
    <w:p>
      <w:pPr>
        <w:spacing w:after="120"/>
        <w:jc w:val="both"/>
      </w:pPr>
      <w:r>
        <w:rPr>
          <w:rFonts w:ascii="Calibri" w:cs="Calibri" w:eastAsia="Calibri" w:hAnsi="Calibri"/>
          <w:sz w:val="22"/>
          <w:szCs w:val="22"/>
        </w:rPr>
        <w:t xml:space="preserve">Notes:</w:t>
      </w:r>
    </w:p>
    <w:p>
      <w:pPr>
        <w:spacing w:after="100"/>
        <w:ind w:left="720"/>
        <w:jc w:val="both"/>
      </w:pPr>
      <w:r>
        <w:rPr>
          <w:rFonts w:ascii="Calibri" w:cs="Calibri" w:eastAsia="Calibri" w:hAnsi="Calibri"/>
          <w:sz w:val="22"/>
          <w:szCs w:val="22"/>
        </w:rPr>
        <w:t xml:space="preserve">1. "Tenant Direct" means the cost is borne solely by Tenant and is not included in Operating Expenses.</w:t>
      </w:r>
    </w:p>
    <w:p>
      <w:pPr>
        <w:spacing w:after="100"/>
        <w:ind w:left="720"/>
        <w:jc w:val="both"/>
      </w:pPr>
      <w:r>
        <w:rPr>
          <w:rFonts w:ascii="Calibri" w:cs="Calibri" w:eastAsia="Calibri" w:hAnsi="Calibri"/>
          <w:sz w:val="22"/>
          <w:szCs w:val="22"/>
        </w:rPr>
        <w:t xml:space="preserve">2. Capital replacements of Building systems are addressed in Section 7.7 (amortization over useful life).</w:t>
      </w:r>
    </w:p>
    <w:p>
      <w:pPr>
        <w:spacing w:after="100"/>
        <w:ind w:left="720"/>
        <w:jc w:val="both"/>
      </w:pPr>
      <w:r>
        <w:rPr>
          <w:rFonts w:ascii="Calibri" w:cs="Calibri" w:eastAsia="Calibri" w:hAnsi="Calibri"/>
          <w:sz w:val="22"/>
          <w:szCs w:val="22"/>
        </w:rPr>
        <w:t xml:space="preserve">3. Tenant's self-help rights under Section 8.8 apply to items designated as Landlord's responsibility.</w:t>
      </w:r>
    </w:p>
    <w:p>
      <w:pPr>
        <w:spacing w:after="100"/>
        <w:ind w:left="720"/>
        <w:jc w:val="both"/>
      </w:pPr>
      <w:r>
        <w:rPr>
          <w:rFonts w:ascii="Calibri" w:cs="Calibri" w:eastAsia="Calibri" w:hAnsi="Calibri"/>
          <w:sz w:val="22"/>
          <w:szCs w:val="22"/>
        </w:rPr>
        <w:t xml:space="preserve">4. Landlord's janitorial specifications for the Premises are set forth in Section 8.6 and include nightly vacuuming, trash removal, dusting, and restroom cleaning five (5) nights per week.</w:t>
      </w:r>
    </w:p>
    <w:p>
      <w:pPr>
        <w:pageBreakBefore/>
        <w:spacing w:after="120"/>
        <w:jc w:val="center"/>
      </w:pPr>
      <w:r>
        <w:rPr>
          <w:rFonts w:ascii="Calibri" w:cs="Calibri" w:eastAsia="Calibri" w:hAnsi="Calibri"/>
          <w:b/>
          <w:bCs/>
          <w:sz w:val="26"/>
          <w:szCs w:val="26"/>
        </w:rPr>
        <w:t xml:space="preserve">EXHIBIT G</w:t>
      </w:r>
    </w:p>
    <w:p>
      <w:pPr>
        <w:spacing w:after="200"/>
        <w:jc w:val="center"/>
      </w:pPr>
      <w:r>
        <w:rPr>
          <w:rFonts w:ascii="Calibri" w:cs="Calibri" w:eastAsia="Calibri" w:hAnsi="Calibri"/>
          <w:b w:val="false"/>
          <w:bCs w:val="false"/>
          <w:i/>
          <w:iCs/>
          <w:sz w:val="22"/>
          <w:szCs w:val="22"/>
        </w:rPr>
        <w:t xml:space="preserve">Insurance Schedule</w:t>
      </w:r>
    </w:p>
    <w:p>
      <w:pPr>
        <w:spacing w:after="120"/>
        <w:jc w:val="both"/>
      </w:pPr>
      <w:r>
        <w:rPr>
          <w:rFonts w:ascii="Calibri" w:cs="Calibri" w:eastAsia="Calibri" w:hAnsi="Calibri"/>
          <w:sz w:val="22"/>
          <w:szCs w:val="22"/>
        </w:rPr>
        <w:t xml:space="preserve">The following minimum insurance coverages are required under Article 10 of this Lease:</w:t>
      </w:r>
    </w:p>
    <w:p>
      <w:pPr>
        <w:spacing w:after="60"/>
      </w:pPr>
    </w:p>
    <w:p>
      <w:pPr>
        <w:spacing w:after="120"/>
        <w:jc w:val="center"/>
      </w:pPr>
      <w:r>
        <w:rPr>
          <w:rFonts w:ascii="Calibri" w:cs="Calibri" w:eastAsia="Calibri" w:hAnsi="Calibri"/>
          <w:b/>
          <w:bCs/>
          <w:i w:val="false"/>
          <w:iCs w:val="false"/>
          <w:sz w:val="22"/>
          <w:szCs w:val="22"/>
        </w:rPr>
        <w:t xml:space="preserve">TENANT'S REQUIRED INSURANCE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2200"/>
        <w:gridCol w:w="2200"/>
        <w:gridCol w:w="2160"/>
      </w:tblGrid>
      <w:tr>
        <w:tc>
          <w:tcPr>
            <w:tcW w:type="dxa" w:w="280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Coverage</w:t>
            </w:r>
          </w:p>
        </w:tc>
        <w:tc>
          <w:tcPr>
            <w:tcW w:type="dxa" w:w="220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Minimum Limit</w:t>
            </w:r>
          </w:p>
        </w:tc>
        <w:tc>
          <w:tcPr>
            <w:tcW w:type="dxa" w:w="220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Type</w:t>
            </w:r>
          </w:p>
        </w:tc>
        <w:tc>
          <w:tcPr>
            <w:tcW w:type="dxa" w:w="216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Additional Insured</w:t>
            </w:r>
          </w:p>
        </w:tc>
      </w:tr>
      <w:tr>
        <w:tc>
          <w:tcPr>
            <w:tcW w:type="dxa" w:w="28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Commercial General Liability</w:t>
            </w:r>
          </w:p>
        </w:tc>
        <w:tc>
          <w:tcPr>
            <w:tcW w:type="dxa" w:w="22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$[CGL LIMIT] occ / $[AGG] agg</w:t>
            </w:r>
          </w:p>
        </w:tc>
        <w:tc>
          <w:tcPr>
            <w:tcW w:type="dxa" w:w="22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Occurrence</w:t>
            </w:r>
          </w:p>
        </w:tc>
        <w:tc>
          <w:tcPr>
            <w:tcW w:type="dxa" w:w="21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Landlord, PM, Lender</w:t>
            </w:r>
          </w:p>
        </w:tc>
      </w:tr>
      <w:tr>
        <w:tc>
          <w:tcPr>
            <w:tcW w:type="dxa" w:w="28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Property (All Risk)</w:t>
            </w:r>
          </w:p>
        </w:tc>
        <w:tc>
          <w:tcPr>
            <w:tcW w:type="dxa" w:w="22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Full Replacement Cost</w:t>
            </w:r>
          </w:p>
        </w:tc>
        <w:tc>
          <w:tcPr>
            <w:tcW w:type="dxa" w:w="22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Special Form</w:t>
            </w:r>
          </w:p>
        </w:tc>
        <w:tc>
          <w:tcPr>
            <w:tcW w:type="dxa" w:w="216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N/A</w:t>
            </w:r>
          </w:p>
        </w:tc>
      </w:tr>
      <w:tr>
        <w:tc>
          <w:tcPr>
            <w:tcW w:type="dxa" w:w="28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Business Interruption</w:t>
            </w:r>
          </w:p>
        </w:tc>
        <w:tc>
          <w:tcPr>
            <w:tcW w:type="dxa" w:w="22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[12] months rent + expenses</w:t>
            </w:r>
          </w:p>
        </w:tc>
        <w:tc>
          <w:tcPr>
            <w:tcW w:type="dxa" w:w="22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Special Form</w:t>
            </w:r>
          </w:p>
        </w:tc>
        <w:tc>
          <w:tcPr>
            <w:tcW w:type="dxa" w:w="21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N/A</w:t>
            </w:r>
          </w:p>
        </w:tc>
      </w:tr>
      <w:tr>
        <w:tc>
          <w:tcPr>
            <w:tcW w:type="dxa" w:w="28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Workers' Compensation</w:t>
            </w:r>
          </w:p>
        </w:tc>
        <w:tc>
          <w:tcPr>
            <w:tcW w:type="dxa" w:w="22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Statutory / $[LIMIT] EL</w:t>
            </w:r>
          </w:p>
        </w:tc>
        <w:tc>
          <w:tcPr>
            <w:tcW w:type="dxa" w:w="22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Per Statute</w:t>
            </w:r>
          </w:p>
        </w:tc>
        <w:tc>
          <w:tcPr>
            <w:tcW w:type="dxa" w:w="216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Waiver of Subrogation</w:t>
            </w:r>
          </w:p>
        </w:tc>
      </w:tr>
      <w:tr>
        <w:tc>
          <w:tcPr>
            <w:tcW w:type="dxa" w:w="28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Umbrella/Excess Liability</w:t>
            </w:r>
          </w:p>
        </w:tc>
        <w:tc>
          <w:tcPr>
            <w:tcW w:type="dxa" w:w="22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$[UMBRELLA LIMIT] occ/agg</w:t>
            </w:r>
          </w:p>
        </w:tc>
        <w:tc>
          <w:tcPr>
            <w:tcW w:type="dxa" w:w="220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Follow Form</w:t>
            </w:r>
          </w:p>
        </w:tc>
        <w:tc>
          <w:tcPr>
            <w:tcW w:type="dxa" w:w="216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Landlord, PM, Lender</w:t>
            </w:r>
          </w:p>
        </w:tc>
      </w:tr>
      <w:tr>
        <w:tc>
          <w:tcPr>
            <w:tcW w:type="dxa" w:w="28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Auto Liability</w:t>
            </w:r>
          </w:p>
        </w:tc>
        <w:tc>
          <w:tcPr>
            <w:tcW w:type="dxa" w:w="22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$[AUTO LIMIT] CSL</w:t>
            </w:r>
          </w:p>
        </w:tc>
        <w:tc>
          <w:tcPr>
            <w:tcW w:type="dxa" w:w="220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Any Auto</w:t>
            </w:r>
          </w:p>
        </w:tc>
        <w:tc>
          <w:tcPr>
            <w:tcW w:type="dxa" w:w="216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Landlord, PM, Lender</w:t>
            </w:r>
          </w:p>
        </w:tc>
      </w:tr>
    </w:tbl>
    <w:p>
      <w:pPr>
        <w:spacing w:after="60"/>
      </w:pPr>
    </w:p>
    <w:p>
      <w:pPr>
        <w:spacing w:after="120"/>
        <w:jc w:val="both"/>
      </w:pPr>
      <w:r>
        <w:rPr>
          <w:rFonts w:ascii="Calibri" w:cs="Calibri" w:eastAsia="Calibri" w:hAnsi="Calibri"/>
          <w:sz w:val="22"/>
          <w:szCs w:val="22"/>
        </w:rPr>
        <w:t xml:space="preserve">All policies shall: (a) be issued by carriers rated A-, VII or better by A.M. Best; (b) include a waiver of subrogation in favor of Landlord; (c) provide thirty (30) days' written notice of cancellation or material modification (ten (10) days for non-payment); (d) be primary and non-contributory to Landlord's insurance.</w:t>
      </w:r>
    </w:p>
    <w:p>
      <w:pPr>
        <w:spacing w:after="60"/>
      </w:pPr>
    </w:p>
    <w:p>
      <w:pPr>
        <w:spacing w:after="120"/>
        <w:jc w:val="center"/>
      </w:pPr>
      <w:r>
        <w:rPr>
          <w:rFonts w:ascii="Calibri" w:cs="Calibri" w:eastAsia="Calibri" w:hAnsi="Calibri"/>
          <w:b/>
          <w:bCs/>
          <w:i w:val="false"/>
          <w:iCs w:val="false"/>
          <w:sz w:val="22"/>
          <w:szCs w:val="22"/>
        </w:rPr>
        <w:t xml:space="preserve">CONTRACTOR'S REQUIRED INSURANCE (During Construction)</w:t>
      </w:r>
    </w:p>
    <w:p>
      <w:pPr>
        <w:spacing w:after="120"/>
        <w:jc w:val="both"/>
      </w:pPr>
      <w:r>
        <w:rPr>
          <w:rFonts w:ascii="Calibri" w:cs="Calibri" w:eastAsia="Calibri" w:hAnsi="Calibri"/>
          <w:sz w:val="22"/>
          <w:szCs w:val="22"/>
        </w:rPr>
        <w:t xml:space="preserve">General Contractor and subcontractors shall maintain the coverages specified in Section 5.8 of this Lease, including CGL ($[LIMIT] per occurrence), Auto ($[LIMIT] CSL), Workers' Compensation (statutory), and Umbrella ($[LIMIT] per occurrence), naming Landlord and Lender as additional insureds.</w:t>
      </w:r>
    </w:p>
    <w:p>
      <w:pPr>
        <w:pageBreakBefore/>
        <w:spacing w:after="120"/>
        <w:jc w:val="center"/>
      </w:pPr>
      <w:r>
        <w:rPr>
          <w:rFonts w:ascii="Calibri" w:cs="Calibri" w:eastAsia="Calibri" w:hAnsi="Calibri"/>
          <w:b/>
          <w:bCs/>
          <w:sz w:val="26"/>
          <w:szCs w:val="26"/>
        </w:rPr>
        <w:t xml:space="preserve">EXHIBIT H</w:t>
      </w:r>
    </w:p>
    <w:p>
      <w:pPr>
        <w:spacing w:after="200"/>
        <w:jc w:val="center"/>
      </w:pPr>
      <w:r>
        <w:rPr>
          <w:rFonts w:ascii="Calibri" w:cs="Calibri" w:eastAsia="Calibri" w:hAnsi="Calibri"/>
          <w:b w:val="false"/>
          <w:bCs w:val="false"/>
          <w:i/>
          <w:iCs/>
          <w:sz w:val="22"/>
          <w:szCs w:val="22"/>
        </w:rPr>
        <w:t xml:space="preserve">Assignment and Options Schedule</w:t>
      </w:r>
    </w:p>
    <w:p>
      <w:pPr>
        <w:spacing w:after="120" w:before="240"/>
      </w:pPr>
      <w:r>
        <w:rPr>
          <w:rFonts w:ascii="Calibri" w:cs="Calibri" w:eastAsia="Calibri" w:hAnsi="Calibri"/>
          <w:b/>
          <w:bCs/>
          <w:sz w:val="22"/>
          <w:szCs w:val="22"/>
        </w:rPr>
        <w:t xml:space="preserve">Section H.1. Option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0"/>
        <w:gridCol w:w="3510"/>
        <w:gridCol w:w="3510"/>
      </w:tblGrid>
      <w:tr>
        <w:tc>
          <w:tcPr>
            <w:tcW w:type="dxa" w:w="234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Option</w:t>
            </w:r>
          </w:p>
        </w:tc>
        <w:tc>
          <w:tcPr>
            <w:tcW w:type="dxa" w:w="351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Key Terms</w:t>
            </w:r>
          </w:p>
        </w:tc>
        <w:tc>
          <w:tcPr>
            <w:tcW w:type="dxa" w:w="3510"/>
            <w:shd w:fill="E8E8E8" w:val="clear"/>
            <w:tcMar>
              <w:top w:type="dxa" w:w="40"/>
              <w:left w:type="dxa" w:w="80"/>
              <w:bottom w:type="dxa" w:w="40"/>
              <w:right w:type="dxa" w:w="80"/>
            </w:tcMar>
            <w:vAlign w:val="center"/>
          </w:tcPr>
          <w:p>
            <w:pPr>
              <w:spacing w:after="40"/>
            </w:pPr>
            <w:r>
              <w:rPr>
                <w:rFonts w:ascii="Calibri" w:cs="Calibri" w:eastAsia="Calibri" w:hAnsi="Calibri"/>
                <w:b/>
                <w:bCs/>
                <w:sz w:val="22"/>
                <w:szCs w:val="22"/>
              </w:rPr>
              <w:t xml:space="preserve">Exercise Deadline / Conditions</w:t>
            </w:r>
          </w:p>
        </w:tc>
      </w:tr>
      <w:tr>
        <w:tc>
          <w:tcPr>
            <w:tcW w:type="dxa" w:w="234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Renewal</w:t>
            </w:r>
          </w:p>
        </w:tc>
        <w:tc>
          <w:tcPr>
            <w:tcW w:type="dxa" w:w="351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[NUMBER] x [TERM] years at FMR</w:t>
            </w:r>
          </w:p>
        </w:tc>
        <w:tc>
          <w:tcPr>
            <w:tcW w:type="dxa" w:w="351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[12]–[18] months before expiration</w:t>
            </w:r>
          </w:p>
        </w:tc>
      </w:tr>
      <w:tr>
        <w:tc>
          <w:tcPr>
            <w:tcW w:type="dxa" w:w="234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Expansion</w:t>
            </w:r>
          </w:p>
        </w:tc>
        <w:tc>
          <w:tcPr>
            <w:tcW w:type="dxa" w:w="351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[SPACE] at FMR + $[TI]/RSF</w:t>
            </w:r>
          </w:p>
        </w:tc>
        <w:tc>
          <w:tcPr>
            <w:tcW w:type="dxa" w:w="351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[12] months before desired occupancy</w:t>
            </w:r>
          </w:p>
        </w:tc>
      </w:tr>
      <w:tr>
        <w:tc>
          <w:tcPr>
            <w:tcW w:type="dxa" w:w="234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ROFO</w:t>
            </w:r>
          </w:p>
        </w:tc>
        <w:tc>
          <w:tcPr>
            <w:tcW w:type="dxa" w:w="351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[FLOOR(S)] at Landlord's terms</w:t>
            </w:r>
          </w:p>
        </w:tc>
        <w:tc>
          <w:tcPr>
            <w:tcW w:type="dxa" w:w="351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[10] BD response after ROFO Notice</w:t>
            </w:r>
          </w:p>
        </w:tc>
      </w:tr>
      <w:tr>
        <w:tc>
          <w:tcPr>
            <w:tcW w:type="dxa" w:w="234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Contraction</w:t>
            </w:r>
          </w:p>
        </w:tc>
        <w:tc>
          <w:tcPr>
            <w:tcW w:type="dxa" w:w="351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Surrender [SPACE]; pay fee</w:t>
            </w:r>
          </w:p>
        </w:tc>
        <w:tc>
          <w:tcPr>
            <w:tcW w:type="dxa" w:w="351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Not before Month [X]; [12] mo notice</w:t>
            </w:r>
          </w:p>
        </w:tc>
      </w:tr>
      <w:tr>
        <w:tc>
          <w:tcPr>
            <w:tcW w:type="dxa" w:w="234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Early Termination</w:t>
            </w:r>
          </w:p>
        </w:tc>
        <w:tc>
          <w:tcPr>
            <w:tcW w:type="dxa" w:w="351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Pay Termination Fee</w:t>
            </w:r>
          </w:p>
        </w:tc>
        <w:tc>
          <w:tcPr>
            <w:tcW w:type="dxa" w:w="3510"/>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Not before Month [X]; [12] mo notice</w:t>
            </w:r>
          </w:p>
        </w:tc>
      </w:tr>
      <w:tr>
        <w:tc>
          <w:tcPr>
            <w:tcW w:type="dxa" w:w="234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Purchase</w:t>
            </w:r>
          </w:p>
        </w:tc>
        <w:tc>
          <w:tcPr>
            <w:tcW w:type="dxa" w:w="351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Fair Market Value</w:t>
            </w:r>
          </w:p>
        </w:tc>
        <w:tc>
          <w:tcPr>
            <w:tcW w:type="dxa" w:w="3510"/>
            <w:shd w:fill="F9F9F9" w:val="clear"/>
            <w:tcMar>
              <w:top w:type="dxa" w:w="40"/>
              <w:left w:type="dxa" w:w="80"/>
              <w:bottom w:type="dxa" w:w="40"/>
              <w:right w:type="dxa" w:w="80"/>
            </w:tcMar>
            <w:vAlign w:val="center"/>
          </w:tcPr>
          <w:p>
            <w:pPr>
              <w:spacing w:after="40"/>
            </w:pPr>
            <w:r>
              <w:rPr>
                <w:rFonts w:ascii="Calibri" w:cs="Calibri" w:eastAsia="Calibri" w:hAnsi="Calibri"/>
                <w:b w:val="false"/>
                <w:bCs w:val="false"/>
                <w:sz w:val="22"/>
                <w:szCs w:val="22"/>
              </w:rPr>
              <w:t xml:space="preserve">During [X]th Lease Year</w:t>
            </w:r>
          </w:p>
        </w:tc>
      </w:tr>
    </w:tbl>
    <w:p>
      <w:pPr>
        <w:spacing w:after="60"/>
      </w:pPr>
    </w:p>
    <w:p>
      <w:pPr>
        <w:spacing w:after="120" w:before="240"/>
      </w:pPr>
      <w:r>
        <w:rPr>
          <w:rFonts w:ascii="Calibri" w:cs="Calibri" w:eastAsia="Calibri" w:hAnsi="Calibri"/>
          <w:b/>
          <w:bCs/>
          <w:sz w:val="22"/>
          <w:szCs w:val="22"/>
        </w:rPr>
        <w:t xml:space="preserve">Section H.2. Assignment and Subletting Parameters</w:t>
      </w:r>
    </w:p>
    <w:p>
      <w:pPr>
        <w:spacing w:after="120"/>
        <w:jc w:val="both"/>
      </w:pPr>
      <w:r>
        <w:rPr>
          <w:rFonts w:ascii="Calibri" w:cs="Calibri" w:eastAsia="Calibri" w:hAnsi="Calibri"/>
          <w:sz w:val="22"/>
          <w:szCs w:val="22"/>
        </w:rPr>
        <w:t xml:space="preserve">Recapture Right: Landlord may recapture upon notice of assignment or sublease of more than [PERCENTAGE]% of the Premises for the remainder of the Term.</w:t>
      </w:r>
    </w:p>
    <w:p>
      <w:pPr>
        <w:spacing w:after="120"/>
        <w:jc w:val="both"/>
      </w:pPr>
      <w:r>
        <w:rPr>
          <w:rFonts w:ascii="Calibri" w:cs="Calibri" w:eastAsia="Calibri" w:hAnsi="Calibri"/>
          <w:sz w:val="22"/>
          <w:szCs w:val="22"/>
        </w:rPr>
        <w:t xml:space="preserve">Profit Sharing: [PERCENTAGE]% of Transfer Premium (after deduction of Tenant's transaction costs).</w:t>
      </w:r>
    </w:p>
    <w:p>
      <w:pPr>
        <w:spacing w:after="120"/>
        <w:jc w:val="both"/>
      </w:pPr>
      <w:r>
        <w:rPr>
          <w:rFonts w:ascii="Calibri" w:cs="Calibri" w:eastAsia="Calibri" w:hAnsi="Calibri"/>
          <w:sz w:val="22"/>
          <w:szCs w:val="22"/>
        </w:rPr>
        <w:t xml:space="preserve">Processing Fee: $[AMOUNT] per Transfer request.</w:t>
      </w:r>
    </w:p>
    <w:p>
      <w:pPr>
        <w:spacing w:after="120"/>
        <w:jc w:val="both"/>
      </w:pPr>
      <w:r>
        <w:rPr>
          <w:rFonts w:ascii="Calibri" w:cs="Calibri" w:eastAsia="Calibri" w:hAnsi="Calibri"/>
          <w:sz w:val="22"/>
          <w:szCs w:val="22"/>
        </w:rPr>
        <w:t xml:space="preserve">Affiliate Transfers: Permitted without consent (with notice); Affiliate must assume obligations and meet net worth test.</w:t>
      </w:r>
    </w:p>
    <w:p>
      <w:pPr>
        <w:spacing w:after="120"/>
        <w:jc w:val="both"/>
      </w:pPr>
      <w:r>
        <w:rPr>
          <w:rFonts w:ascii="Calibri" w:cs="Calibri" w:eastAsia="Calibri" w:hAnsi="Calibri"/>
          <w:sz w:val="22"/>
          <w:szCs w:val="22"/>
        </w:rPr>
        <w:t xml:space="preserve">Change of Control: Excluded events include venture capital/equity financing rounds, employee equity plans, and IPO.</w:t>
      </w:r>
    </w:p>
    <w:p>
      <w:pPr>
        <w:spacing w:after="60"/>
      </w:pPr>
    </w:p>
    <w:p>
      <w:pPr>
        <w:spacing w:after="120" w:before="240"/>
      </w:pPr>
      <w:r>
        <w:rPr>
          <w:rFonts w:ascii="Calibri" w:cs="Calibri" w:eastAsia="Calibri" w:hAnsi="Calibri"/>
          <w:b/>
          <w:bCs/>
          <w:sz w:val="22"/>
          <w:szCs w:val="22"/>
        </w:rPr>
        <w:t xml:space="preserve">Section H.3. Existing Tenant Rights</w:t>
      </w:r>
    </w:p>
    <w:p>
      <w:pPr>
        <w:spacing w:after="120"/>
        <w:jc w:val="both"/>
      </w:pPr>
      <w:r>
        <w:rPr>
          <w:rFonts w:ascii="Calibri" w:cs="Calibri" w:eastAsia="Calibri" w:hAnsi="Calibri"/>
          <w:sz w:val="22"/>
          <w:szCs w:val="22"/>
        </w:rPr>
        <w:t xml:space="preserve">The following existing tenants hold expansion, renewal, or other rights that may affect Tenant's options:</w:t>
      </w:r>
    </w:p>
    <w:p>
      <w:pPr>
        <w:spacing w:after="100"/>
        <w:ind w:left="720"/>
        <w:jc w:val="both"/>
      </w:pPr>
      <w:r>
        <w:rPr>
          <w:rFonts w:ascii="Calibri" w:cs="Calibri" w:eastAsia="Calibri" w:hAnsi="Calibri"/>
          <w:sz w:val="22"/>
          <w:szCs w:val="22"/>
        </w:rPr>
        <w:t xml:space="preserve">[LIST EXISTING RIGHTS OF OTHER TENANTS THAT ARE SUPERIOR TO TENANT'S OPTIONS, OR STATE "None."]</w:t>
      </w:r>
    </w:p>
    <w:p>
      <w:pPr>
        <w:pageBreakBefore/>
        <w:spacing w:after="120"/>
        <w:jc w:val="center"/>
      </w:pPr>
      <w:r>
        <w:rPr>
          <w:rFonts w:ascii="Calibri" w:cs="Calibri" w:eastAsia="Calibri" w:hAnsi="Calibri"/>
          <w:b/>
          <w:bCs/>
          <w:sz w:val="26"/>
          <w:szCs w:val="26"/>
        </w:rPr>
        <w:t xml:space="preserve">EXHIBIT I</w:t>
      </w:r>
    </w:p>
    <w:p>
      <w:pPr>
        <w:spacing w:after="200"/>
        <w:jc w:val="center"/>
      </w:pPr>
      <w:r>
        <w:rPr>
          <w:rFonts w:ascii="Calibri" w:cs="Calibri" w:eastAsia="Calibri" w:hAnsi="Calibri"/>
          <w:b w:val="false"/>
          <w:bCs w:val="false"/>
          <w:i/>
          <w:iCs/>
          <w:sz w:val="22"/>
          <w:szCs w:val="22"/>
        </w:rPr>
        <w:t xml:space="preserve">Form of Subordination, Nondisturbance, and Attornment Agreement (SNDA)</w:t>
      </w:r>
    </w:p>
    <w:p>
      <w:pPr>
        <w:spacing w:after="60"/>
      </w:pPr>
    </w:p>
    <w:p>
      <w:pPr>
        <w:spacing w:after="120"/>
        <w:jc w:val="both"/>
      </w:pPr>
      <w:r>
        <w:rPr>
          <w:rFonts w:ascii="Calibri" w:cs="Calibri" w:eastAsia="Calibri" w:hAnsi="Calibri"/>
          <w:sz w:val="22"/>
          <w:szCs w:val="22"/>
        </w:rPr>
        <w:t xml:space="preserve">RECORDING REQUESTED BY AND</w:t>
      </w:r>
    </w:p>
    <w:p>
      <w:pPr>
        <w:spacing w:after="120"/>
        <w:jc w:val="both"/>
      </w:pPr>
      <w:r>
        <w:rPr>
          <w:rFonts w:ascii="Calibri" w:cs="Calibri" w:eastAsia="Calibri" w:hAnsi="Calibri"/>
          <w:sz w:val="22"/>
          <w:szCs w:val="22"/>
        </w:rPr>
        <w:t xml:space="preserve">WHEN RECORDED MAIL TO:</w:t>
      </w:r>
    </w:p>
    <w:p>
      <w:pPr>
        <w:spacing w:after="120"/>
        <w:jc w:val="both"/>
      </w:pPr>
      <w:r>
        <w:rPr>
          <w:rFonts w:ascii="Calibri" w:cs="Calibri" w:eastAsia="Calibri" w:hAnsi="Calibri"/>
          <w:sz w:val="22"/>
          <w:szCs w:val="22"/>
        </w:rPr>
        <w:t xml:space="preserve">[LENDER NAME]</w:t>
      </w:r>
    </w:p>
    <w:p>
      <w:pPr>
        <w:spacing w:after="120"/>
        <w:jc w:val="both"/>
      </w:pPr>
      <w:r>
        <w:rPr>
          <w:rFonts w:ascii="Calibri" w:cs="Calibri" w:eastAsia="Calibri" w:hAnsi="Calibri"/>
          <w:sz w:val="22"/>
          <w:szCs w:val="22"/>
        </w:rPr>
        <w:t xml:space="preserve">[LENDER ADDRESS]</w:t>
      </w:r>
    </w:p>
    <w:p>
      <w:pPr>
        <w:spacing w:after="60"/>
      </w:pPr>
    </w:p>
    <w:p>
      <w:pPr>
        <w:spacing w:after="60"/>
      </w:pPr>
    </w:p>
    <w:p>
      <w:pPr>
        <w:spacing w:after="200"/>
        <w:jc w:val="center"/>
      </w:pPr>
      <w:r>
        <w:rPr>
          <w:rFonts w:ascii="Calibri" w:cs="Calibri" w:eastAsia="Calibri" w:hAnsi="Calibri"/>
          <w:b/>
          <w:bCs/>
          <w:i w:val="false"/>
          <w:iCs w:val="false"/>
          <w:sz w:val="22"/>
          <w:szCs w:val="22"/>
        </w:rPr>
        <w:t xml:space="preserve">SUBORDINATION, NONDISTURBANCE, AND ATTORNMENT AGREEMENT</w:t>
      </w:r>
    </w:p>
    <w:p>
      <w:pPr>
        <w:spacing w:after="60"/>
      </w:pPr>
    </w:p>
    <w:p>
      <w:pPr>
        <w:spacing w:after="120"/>
        <w:jc w:val="both"/>
      </w:pPr>
      <w:r>
        <w:rPr>
          <w:rFonts w:ascii="Calibri" w:cs="Calibri" w:eastAsia="Calibri" w:hAnsi="Calibri"/>
          <w:sz w:val="22"/>
          <w:szCs w:val="22"/>
        </w:rPr>
        <w:t xml:space="preserve">THIS SUBORDINATION, NONDISTURBANCE, AND ATTORNMENT AGREEMENT (this "Agreement") is entered into as of [DATE], by and among:</w:t>
      </w:r>
    </w:p>
    <w:p>
      <w:pPr>
        <w:spacing w:after="60"/>
      </w:pPr>
    </w:p>
    <w:p>
      <w:pPr>
        <w:spacing w:after="100"/>
        <w:ind w:left="720"/>
        <w:jc w:val="both"/>
      </w:pPr>
      <w:r>
        <w:rPr>
          <w:rFonts w:ascii="Calibri" w:cs="Calibri" w:eastAsia="Calibri" w:hAnsi="Calibri"/>
          <w:sz w:val="22"/>
          <w:szCs w:val="22"/>
        </w:rPr>
        <w:t xml:space="preserve">[LENDER NAME], a [STATE] [ENTITY TYPE] ("Lender"),</w:t>
      </w:r>
    </w:p>
    <w:p>
      <w:pPr>
        <w:spacing w:after="100"/>
        <w:ind w:left="720"/>
        <w:jc w:val="both"/>
      </w:pPr>
      <w:r>
        <w:rPr>
          <w:rFonts w:ascii="Calibri" w:cs="Calibri" w:eastAsia="Calibri" w:hAnsi="Calibri"/>
          <w:sz w:val="22"/>
          <w:szCs w:val="22"/>
        </w:rPr>
        <w:t xml:space="preserve">[TENANT ENTITY NAME], a [STATE] [ENTITY TYPE] ("Tenant"), and</w:t>
      </w:r>
    </w:p>
    <w:p>
      <w:pPr>
        <w:spacing w:after="100"/>
        <w:ind w:left="720"/>
        <w:jc w:val="both"/>
      </w:pPr>
      <w:r>
        <w:rPr>
          <w:rFonts w:ascii="Calibri" w:cs="Calibri" w:eastAsia="Calibri" w:hAnsi="Calibri"/>
          <w:sz w:val="22"/>
          <w:szCs w:val="22"/>
        </w:rPr>
        <w:t xml:space="preserve">[LANDLORD ENTITY NAME], a [STATE] [ENTITY TYPE] ("Landlord").</w:t>
      </w:r>
    </w:p>
    <w:p>
      <w:pPr>
        <w:spacing w:after="60"/>
      </w:pPr>
    </w:p>
    <w:p>
      <w:pPr>
        <w:spacing w:after="120"/>
        <w:jc w:val="center"/>
      </w:pPr>
      <w:r>
        <w:rPr>
          <w:rFonts w:ascii="Calibri" w:cs="Calibri" w:eastAsia="Calibri" w:hAnsi="Calibri"/>
          <w:b/>
          <w:bCs/>
          <w:i w:val="false"/>
          <w:iCs w:val="false"/>
          <w:sz w:val="22"/>
          <w:szCs w:val="22"/>
        </w:rPr>
        <w:t xml:space="preserve">RECITALS</w:t>
      </w:r>
    </w:p>
    <w:p>
      <w:pPr>
        <w:spacing w:after="120"/>
        <w:jc w:val="both"/>
      </w:pPr>
      <w:r>
        <w:rPr>
          <w:rFonts w:ascii="Calibri" w:cs="Calibri" w:eastAsia="Calibri" w:hAnsi="Calibri"/>
          <w:sz w:val="22"/>
          <w:szCs w:val="22"/>
        </w:rPr>
        <w:t xml:space="preserve">A. Landlord is the owner of that certain real property located at [PROPERTY ADDRESS] (the "Property"), improved with an office building known as [BUILDING NAME] (the "Building").</w:t>
      </w:r>
    </w:p>
    <w:p>
      <w:pPr>
        <w:spacing w:after="120"/>
        <w:jc w:val="both"/>
      </w:pPr>
      <w:r>
        <w:rPr>
          <w:rFonts w:ascii="Calibri" w:cs="Calibri" w:eastAsia="Calibri" w:hAnsi="Calibri"/>
          <w:sz w:val="22"/>
          <w:szCs w:val="22"/>
        </w:rPr>
        <w:t xml:space="preserve">B. Lender has made a loan to Landlord secured by a [Mortgage/Deed of Trust] recorded [DATE] as Instrument No. [NUMBER] in the Official Records of [COUNTY] County, [STATE] (the "Mortgage").</w:t>
      </w:r>
    </w:p>
    <w:p>
      <w:pPr>
        <w:spacing w:after="120"/>
        <w:jc w:val="both"/>
      </w:pPr>
      <w:r>
        <w:rPr>
          <w:rFonts w:ascii="Calibri" w:cs="Calibri" w:eastAsia="Calibri" w:hAnsi="Calibri"/>
          <w:sz w:val="22"/>
          <w:szCs w:val="22"/>
        </w:rPr>
        <w:t xml:space="preserve">C. Landlord and Tenant have entered into that certain Commercial Office Lease dated [LEASE DATE] (the "Lease"), pursuant to which Landlord leased to Tenant certain premises in the Building described as [PREMISES DESCRIPTION] (the "Premises").</w:t>
      </w:r>
    </w:p>
    <w:p>
      <w:pPr>
        <w:spacing w:after="120"/>
        <w:jc w:val="both"/>
      </w:pPr>
      <w:r>
        <w:rPr>
          <w:rFonts w:ascii="Calibri" w:cs="Calibri" w:eastAsia="Calibri" w:hAnsi="Calibri"/>
          <w:sz w:val="22"/>
          <w:szCs w:val="22"/>
        </w:rPr>
        <w:t xml:space="preserve">D. The parties desire to confirm the relative priority of the Mortgage and the Lease and to provide for nondisturbance of Tenant's possession under the Lease.</w:t>
      </w:r>
    </w:p>
    <w:p>
      <w:pPr>
        <w:spacing w:after="60"/>
      </w:pPr>
    </w:p>
    <w:p>
      <w:pPr>
        <w:spacing w:after="120"/>
        <w:jc w:val="center"/>
      </w:pPr>
      <w:r>
        <w:rPr>
          <w:rFonts w:ascii="Calibri" w:cs="Calibri" w:eastAsia="Calibri" w:hAnsi="Calibri"/>
          <w:b/>
          <w:bCs/>
          <w:i w:val="false"/>
          <w:iCs w:val="false"/>
          <w:sz w:val="22"/>
          <w:szCs w:val="22"/>
        </w:rPr>
        <w:t xml:space="preserve">AGREEMENT</w:t>
      </w:r>
    </w:p>
    <w:p>
      <w:pPr>
        <w:spacing w:after="120"/>
        <w:jc w:val="both"/>
      </w:pPr>
      <w:r>
        <w:rPr>
          <w:rFonts w:ascii="Calibri" w:cs="Calibri" w:eastAsia="Calibri" w:hAnsi="Calibri"/>
          <w:sz w:val="22"/>
          <w:szCs w:val="22"/>
        </w:rPr>
        <w:t xml:space="preserve">NOW, THEREFORE, for good and valuable consideration, the receipt and sufficiency of which are hereby acknowledged, the parties agree as follows:</w:t>
      </w:r>
    </w:p>
    <w:p>
      <w:pPr>
        <w:spacing w:after="60"/>
      </w:pPr>
    </w:p>
    <w:p>
      <w:pPr>
        <w:spacing w:after="120"/>
        <w:jc w:val="both"/>
      </w:pPr>
      <w:r>
        <w:rPr>
          <w:rFonts w:ascii="Calibri" w:cs="Calibri" w:eastAsia="Calibri" w:hAnsi="Calibri"/>
          <w:sz w:val="22"/>
          <w:szCs w:val="22"/>
        </w:rPr>
        <w:t xml:space="preserve">1. Subordination. The Lease and all of Tenant's rights thereunder are and shall be subject and subordinate to the Mortgage and to all renewals, modifications, consolidations, replacements, and extensions thereof.</w:t>
      </w:r>
    </w:p>
    <w:p>
      <w:pPr>
        <w:spacing w:after="120"/>
        <w:jc w:val="both"/>
      </w:pPr>
      <w:r>
        <w:rPr>
          <w:rFonts w:ascii="Calibri" w:cs="Calibri" w:eastAsia="Calibri" w:hAnsi="Calibri"/>
          <w:sz w:val="22"/>
          <w:szCs w:val="22"/>
        </w:rPr>
        <w:t xml:space="preserve">2. Nondisturbance. So long as Tenant is not in default under the Lease beyond any applicable notice and cure period, (a) Tenant's possession of the Premises shall not be disturbed, (b) the Lease shall not be terminated, (c) Tenant's rights under the Lease (including all options, rights of first offer, and expansion rights) shall be recognized and honored, and (d) Tenant shall not be joined as a party defendant in any foreclosure action, in each case notwithstanding any foreclosure, deed in lieu of foreclosure, or other enforcement of the Mortgage.</w:t>
      </w:r>
    </w:p>
    <w:p>
      <w:pPr>
        <w:spacing w:after="120"/>
        <w:jc w:val="both"/>
      </w:pPr>
      <w:r>
        <w:rPr>
          <w:rFonts w:ascii="Calibri" w:cs="Calibri" w:eastAsia="Calibri" w:hAnsi="Calibri"/>
          <w:sz w:val="22"/>
          <w:szCs w:val="22"/>
        </w:rPr>
        <w:t xml:space="preserve">3. Attornment. If Lender or any purchaser at a foreclosure sale (a "Successor Landlord") acquires title to the Property, Tenant shall attorn to the Successor Landlord and recognize the Successor Landlord as Tenant's landlord under the Lease. The Lease shall continue in full force and effect as a direct lease between the Successor Landlord and Tenant upon all of the terms and conditions of the Lease.</w:t>
      </w:r>
    </w:p>
    <w:p>
      <w:pPr>
        <w:spacing w:after="120"/>
        <w:jc w:val="both"/>
      </w:pPr>
      <w:r>
        <w:rPr>
          <w:rFonts w:ascii="Calibri" w:cs="Calibri" w:eastAsia="Calibri" w:hAnsi="Calibri"/>
          <w:sz w:val="22"/>
          <w:szCs w:val="22"/>
        </w:rPr>
        <w:t xml:space="preserve">4. Successor Landlord Limitations. A Successor Landlord shall not be (a) liable for any act, omission, or default of any prior landlord; (b) subject to any offset, claim, or defense accruing prior to the Successor Landlord's acquisition of title; (c) bound by any prepayment of rent for more than one (1) month in advance; or (d) bound by any amendment or modification of the Lease made without Lender's written consent.</w:t>
      </w:r>
    </w:p>
    <w:p>
      <w:pPr>
        <w:spacing w:after="120"/>
        <w:jc w:val="both"/>
      </w:pPr>
      <w:r>
        <w:rPr>
          <w:rFonts w:ascii="Calibri" w:cs="Calibri" w:eastAsia="Calibri" w:hAnsi="Calibri"/>
          <w:sz w:val="22"/>
          <w:szCs w:val="22"/>
        </w:rPr>
        <w:t xml:space="preserve">5. Notices. All notices under this Agreement shall be in writing and delivered in accordance with the notice provisions of the Lease.</w:t>
      </w:r>
    </w:p>
    <w:p>
      <w:pPr>
        <w:spacing w:after="120"/>
        <w:jc w:val="both"/>
      </w:pPr>
      <w:r>
        <w:rPr>
          <w:rFonts w:ascii="Calibri" w:cs="Calibri" w:eastAsia="Calibri" w:hAnsi="Calibri"/>
          <w:sz w:val="22"/>
          <w:szCs w:val="22"/>
        </w:rPr>
        <w:t xml:space="preserve">6. Governing Law. This Agreement shall be governed by and construed in accordance with the laws of the State of [STATE].</w:t>
      </w:r>
    </w:p>
    <w:p>
      <w:pPr>
        <w:spacing w:after="120"/>
        <w:jc w:val="both"/>
      </w:pPr>
      <w:r>
        <w:rPr>
          <w:rFonts w:ascii="Calibri" w:cs="Calibri" w:eastAsia="Calibri" w:hAnsi="Calibri"/>
          <w:sz w:val="22"/>
          <w:szCs w:val="22"/>
        </w:rPr>
        <w:t xml:space="preserve">7. Binding Effect. This Agreement shall be binding upon and inure to the benefit of the parties hereto and their respective successors and assigns, and may be recorded in the Official Records.</w:t>
      </w:r>
    </w:p>
    <w:p>
      <w:pPr>
        <w:spacing w:after="60"/>
      </w:pPr>
    </w:p>
    <w:p>
      <w:pPr>
        <w:spacing w:after="120"/>
        <w:jc w:val="both"/>
      </w:pPr>
      <w:r>
        <w:rPr>
          <w:rFonts w:ascii="Calibri" w:cs="Calibri" w:eastAsia="Calibri" w:hAnsi="Calibri"/>
          <w:sz w:val="22"/>
          <w:szCs w:val="22"/>
        </w:rPr>
        <w:t xml:space="preserve">[SIGNATURE BLOCKS FOR LENDER, TENANT, AND LANDLORD]</w:t>
      </w:r>
    </w:p>
    <w:p>
      <w:pPr>
        <w:spacing w:after="60"/>
      </w:pPr>
    </w:p>
    <w:p>
      <w:pPr>
        <w:spacing w:after="120"/>
        <w:jc w:val="both"/>
      </w:pPr>
      <w:r>
        <w:rPr>
          <w:rFonts w:ascii="Calibri" w:cs="Calibri" w:eastAsia="Calibri" w:hAnsi="Calibri"/>
          <w:sz w:val="22"/>
          <w:szCs w:val="22"/>
        </w:rPr>
        <w:t xml:space="preserve">[NOTARY ACKNOWLEDGMENTS]</w:t>
      </w:r>
    </w:p>
    <w:p>
      <w:pPr>
        <w:pageBreakBefore/>
        <w:spacing w:after="120"/>
        <w:jc w:val="center"/>
      </w:pPr>
      <w:r>
        <w:rPr>
          <w:rFonts w:ascii="Calibri" w:cs="Calibri" w:eastAsia="Calibri" w:hAnsi="Calibri"/>
          <w:b/>
          <w:bCs/>
          <w:sz w:val="26"/>
          <w:szCs w:val="26"/>
        </w:rPr>
        <w:t xml:space="preserve">EXHIBIT J</w:t>
      </w:r>
    </w:p>
    <w:p>
      <w:pPr>
        <w:spacing w:after="200"/>
        <w:jc w:val="center"/>
      </w:pPr>
      <w:r>
        <w:rPr>
          <w:rFonts w:ascii="Calibri" w:cs="Calibri" w:eastAsia="Calibri" w:hAnsi="Calibri"/>
          <w:b w:val="false"/>
          <w:bCs w:val="false"/>
          <w:i/>
          <w:iCs/>
          <w:sz w:val="22"/>
          <w:szCs w:val="22"/>
        </w:rPr>
        <w:t xml:space="preserve">Surrender and Restoration Checklist</w:t>
      </w:r>
    </w:p>
    <w:p>
      <w:pPr>
        <w:spacing w:after="120"/>
        <w:jc w:val="both"/>
      </w:pPr>
      <w:r>
        <w:rPr>
          <w:rFonts w:ascii="Calibri" w:cs="Calibri" w:eastAsia="Calibri" w:hAnsi="Calibri"/>
          <w:sz w:val="22"/>
          <w:szCs w:val="22"/>
        </w:rPr>
        <w:t xml:space="preserve">The following checklist sets forth the standards for surrender of the Premises upon expiration or earlier termination of the Lease, as referenced in Section 16.1. Tenant and Landlord (or their designated representatives) shall conduct a joint pre-surrender inspection not less than [NUMBER, e.g., ninety (90)] days prior to the Expiration Date to identify any items requiring attention.</w:t>
      </w:r>
    </w:p>
    <w:p>
      <w:pPr>
        <w:spacing w:after="60"/>
      </w:pPr>
    </w:p>
    <w:p>
      <w:pPr>
        <w:spacing w:after="120"/>
        <w:jc w:val="center"/>
      </w:pPr>
      <w:r>
        <w:rPr>
          <w:rFonts w:ascii="Calibri" w:cs="Calibri" w:eastAsia="Calibri" w:hAnsi="Calibri"/>
          <w:b/>
          <w:bCs/>
          <w:i w:val="false"/>
          <w:iCs w:val="false"/>
          <w:sz w:val="22"/>
          <w:szCs w:val="22"/>
        </w:rPr>
        <w:t xml:space="preserve">SURRENDER CONDITION REQUIREMENTS</w:t>
      </w:r>
    </w:p>
    <w:p>
      <w:pPr>
        <w:spacing w:after="60"/>
      </w:pPr>
    </w:p>
    <w:p>
      <w:pPr>
        <w:spacing w:after="100"/>
        <w:ind w:left="720"/>
        <w:jc w:val="both"/>
      </w:pPr>
      <w:r>
        <w:rPr>
          <w:rFonts w:ascii="Calibri" w:cs="Calibri" w:eastAsia="Calibri" w:hAnsi="Calibri"/>
          <w:sz w:val="22"/>
          <w:szCs w:val="22"/>
        </w:rPr>
        <w:t xml:space="preserve">1. Personal Property: All Tenant furniture, trade fixtures, equipment, and personal property removed from the Premises.</w:t>
      </w:r>
    </w:p>
    <w:p>
      <w:pPr>
        <w:spacing w:after="100"/>
        <w:ind w:left="720"/>
        <w:jc w:val="both"/>
      </w:pPr>
      <w:r>
        <w:rPr>
          <w:rFonts w:ascii="Calibri" w:cs="Calibri" w:eastAsia="Calibri" w:hAnsi="Calibri"/>
          <w:sz w:val="22"/>
          <w:szCs w:val="22"/>
        </w:rPr>
        <w:t xml:space="preserve">2. Signage: All Tenant signage removed; mounting holes patched and surfaces repainted to match surrounding finish.</w:t>
      </w:r>
    </w:p>
    <w:p>
      <w:pPr>
        <w:spacing w:after="100"/>
        <w:ind w:left="720"/>
        <w:jc w:val="both"/>
      </w:pPr>
      <w:r>
        <w:rPr>
          <w:rFonts w:ascii="Calibri" w:cs="Calibri" w:eastAsia="Calibri" w:hAnsi="Calibri"/>
          <w:sz w:val="22"/>
          <w:szCs w:val="22"/>
        </w:rPr>
        <w:t xml:space="preserve">3. Telecom Cabling: All telecommunications cabling and wiring removed from the Premises, risers, and pathways (unless Landlord elects to retain in place), with abandoned cable pathways sealed.</w:t>
      </w:r>
    </w:p>
    <w:p>
      <w:pPr>
        <w:spacing w:after="100"/>
        <w:ind w:left="720"/>
        <w:jc w:val="both"/>
      </w:pPr>
      <w:r>
        <w:rPr>
          <w:rFonts w:ascii="Calibri" w:cs="Calibri" w:eastAsia="Calibri" w:hAnsi="Calibri"/>
          <w:sz w:val="22"/>
          <w:szCs w:val="22"/>
        </w:rPr>
        <w:t xml:space="preserve">4. Supplemental Systems: All supplemental HVAC units, UPS systems, generators, and other specialized equipment removed; penetrations sealed and surfaces restored.</w:t>
      </w:r>
    </w:p>
    <w:p>
      <w:pPr>
        <w:spacing w:after="100"/>
        <w:ind w:left="720"/>
        <w:jc w:val="both"/>
      </w:pPr>
      <w:r>
        <w:rPr>
          <w:rFonts w:ascii="Calibri" w:cs="Calibri" w:eastAsia="Calibri" w:hAnsi="Calibri"/>
          <w:sz w:val="22"/>
          <w:szCs w:val="22"/>
        </w:rPr>
        <w:t xml:space="preserve">5. Kitchen/Break Room: All appliances and non-Building Standard fixtures removed; plumbing capped and tested; surfaces cleaned and restored.</w:t>
      </w:r>
    </w:p>
    <w:p>
      <w:pPr>
        <w:spacing w:after="100"/>
        <w:ind w:left="720"/>
        <w:jc w:val="both"/>
      </w:pPr>
      <w:r>
        <w:rPr>
          <w:rFonts w:ascii="Calibri" w:cs="Calibri" w:eastAsia="Calibri" w:hAnsi="Calibri"/>
          <w:sz w:val="22"/>
          <w:szCs w:val="22"/>
        </w:rPr>
        <w:t xml:space="preserve">6. Server Room/Data Center: All server racks, equipment, supplemental cooling, and raised flooring removed; electrical circuits de-energized and labeled; floor and wall surfaces restored.</w:t>
      </w:r>
    </w:p>
    <w:p>
      <w:pPr>
        <w:spacing w:after="100"/>
        <w:ind w:left="720"/>
        <w:jc w:val="both"/>
      </w:pPr>
      <w:r>
        <w:rPr>
          <w:rFonts w:ascii="Calibri" w:cs="Calibri" w:eastAsia="Calibri" w:hAnsi="Calibri"/>
          <w:sz w:val="22"/>
          <w:szCs w:val="22"/>
        </w:rPr>
        <w:t xml:space="preserve">7. Security Systems: All Tenant-installed card readers, cameras, and access control equipment removed; Building Standard locksets reinstalled on suite entry doors.</w:t>
      </w:r>
    </w:p>
    <w:p>
      <w:pPr>
        <w:spacing w:after="100"/>
        <w:ind w:left="720"/>
        <w:jc w:val="both"/>
      </w:pPr>
      <w:r>
        <w:rPr>
          <w:rFonts w:ascii="Calibri" w:cs="Calibri" w:eastAsia="Calibri" w:hAnsi="Calibri"/>
          <w:sz w:val="22"/>
          <w:szCs w:val="22"/>
        </w:rPr>
        <w:t xml:space="preserve">8. Interior Partitions: [SPECIFY WHETHER NON-STANDARD PARTITIONS MUST BE REMOVED OR MAY REMAIN; REFERENCE LANDLORD'S DESIGNATION AT TIME OF APPROVAL.]</w:t>
      </w:r>
    </w:p>
    <w:p>
      <w:pPr>
        <w:spacing w:after="100"/>
        <w:ind w:left="720"/>
        <w:jc w:val="both"/>
      </w:pPr>
      <w:r>
        <w:rPr>
          <w:rFonts w:ascii="Calibri" w:cs="Calibri" w:eastAsia="Calibri" w:hAnsi="Calibri"/>
          <w:sz w:val="22"/>
          <w:szCs w:val="22"/>
        </w:rPr>
        <w:t xml:space="preserve">9. Floor Coverings: Carpet cleaned (or replaced if damaged beyond normal wear and tear); hard-surface flooring cleaned and polished; VCT tiles replaced if damaged.</w:t>
      </w:r>
    </w:p>
    <w:p>
      <w:pPr>
        <w:spacing w:after="100"/>
        <w:ind w:left="720"/>
        <w:jc w:val="both"/>
      </w:pPr>
      <w:r>
        <w:rPr>
          <w:rFonts w:ascii="Calibri" w:cs="Calibri" w:eastAsia="Calibri" w:hAnsi="Calibri"/>
          <w:sz w:val="22"/>
          <w:szCs w:val="22"/>
        </w:rPr>
        <w:t xml:space="preserve">10. Walls and Ceilings: Walls patched, repaired, and repainted (Building Standard paint color); ceiling tiles replaced if damaged, stained, or missing.</w:t>
      </w:r>
    </w:p>
    <w:p>
      <w:pPr>
        <w:spacing w:after="100"/>
        <w:ind w:left="720"/>
        <w:jc w:val="both"/>
      </w:pPr>
      <w:r>
        <w:rPr>
          <w:rFonts w:ascii="Calibri" w:cs="Calibri" w:eastAsia="Calibri" w:hAnsi="Calibri"/>
          <w:sz w:val="22"/>
          <w:szCs w:val="22"/>
        </w:rPr>
        <w:t xml:space="preserve">11. Lighting: All lamps operational; damaged or missing fixtures replaced with Building Standard fixtures.</w:t>
      </w:r>
    </w:p>
    <w:p>
      <w:pPr>
        <w:spacing w:after="100"/>
        <w:ind w:left="720"/>
        <w:jc w:val="both"/>
      </w:pPr>
      <w:r>
        <w:rPr>
          <w:rFonts w:ascii="Calibri" w:cs="Calibri" w:eastAsia="Calibri" w:hAnsi="Calibri"/>
          <w:sz w:val="22"/>
          <w:szCs w:val="22"/>
        </w:rPr>
        <w:t xml:space="preserve">12. Doors and Hardware: All doors operational; hardware functional; damaged doors or hardware replaced.</w:t>
      </w:r>
    </w:p>
    <w:p>
      <w:pPr>
        <w:spacing w:after="100"/>
        <w:ind w:left="720"/>
        <w:jc w:val="both"/>
      </w:pPr>
      <w:r>
        <w:rPr>
          <w:rFonts w:ascii="Calibri" w:cs="Calibri" w:eastAsia="Calibri" w:hAnsi="Calibri"/>
          <w:sz w:val="22"/>
          <w:szCs w:val="22"/>
        </w:rPr>
        <w:t xml:space="preserve">13. HVAC and Plumbing: All Building Standard HVAC controls and thermostats operational; plumbing fixtures functional and free of leaks.</w:t>
      </w:r>
    </w:p>
    <w:p>
      <w:pPr>
        <w:spacing w:after="100"/>
        <w:ind w:left="720"/>
        <w:jc w:val="both"/>
      </w:pPr>
      <w:r>
        <w:rPr>
          <w:rFonts w:ascii="Calibri" w:cs="Calibri" w:eastAsia="Calibri" w:hAnsi="Calibri"/>
          <w:sz w:val="22"/>
          <w:szCs w:val="22"/>
        </w:rPr>
        <w:t xml:space="preserve">14. Cleaning: Premises broom-clean throughout; all debris removed; restrooms and kitchen areas sanitized.</w:t>
      </w:r>
    </w:p>
    <w:p>
      <w:pPr>
        <w:spacing w:after="100"/>
        <w:ind w:left="720"/>
        <w:jc w:val="both"/>
      </w:pPr>
      <w:r>
        <w:rPr>
          <w:rFonts w:ascii="Calibri" w:cs="Calibri" w:eastAsia="Calibri" w:hAnsi="Calibri"/>
          <w:sz w:val="22"/>
          <w:szCs w:val="22"/>
        </w:rPr>
        <w:t xml:space="preserve">15. Keys and Access: All keys, access cards, parking cards, and security codes returned to Landlord.</w:t>
      </w:r>
    </w:p>
    <w:p>
      <w:pPr>
        <w:spacing w:after="100"/>
        <w:ind w:left="720"/>
        <w:jc w:val="both"/>
      </w:pPr>
      <w:r>
        <w:rPr>
          <w:rFonts w:ascii="Calibri" w:cs="Calibri" w:eastAsia="Calibri" w:hAnsi="Calibri"/>
          <w:sz w:val="22"/>
          <w:szCs w:val="22"/>
        </w:rPr>
        <w:t xml:space="preserve">16. Hazardous Materials: Certification that no Hazardous Materials remain in the Premises (other than de minimis quantities of standard office cleaning supplies).</w:t>
      </w:r>
    </w:p>
    <w:p>
      <w:pPr>
        <w:spacing w:after="100"/>
        <w:ind w:left="720"/>
        <w:jc w:val="both"/>
      </w:pPr>
      <w:r>
        <w:rPr>
          <w:rFonts w:ascii="Calibri" w:cs="Calibri" w:eastAsia="Calibri" w:hAnsi="Calibri"/>
          <w:sz w:val="22"/>
          <w:szCs w:val="22"/>
        </w:rPr>
        <w:t xml:space="preserve">17. Documentation: Delivery of as-built drawings for all Alterations; copies of warranties for any improvements remaining in the Premises; maintenance records for supplemental HVAC and other systems.</w:t>
      </w:r>
    </w:p>
    <w:p>
      <w:pPr>
        <w:spacing w:after="60"/>
      </w:pPr>
    </w:p>
    <w:p>
      <w:pPr>
        <w:spacing w:after="120"/>
        <w:jc w:val="both"/>
      </w:pPr>
      <w:r>
        <w:rPr>
          <w:rFonts w:ascii="Calibri" w:cs="Calibri" w:eastAsia="Calibri" w:hAnsi="Calibri"/>
          <w:sz w:val="22"/>
          <w:szCs w:val="22"/>
        </w:rPr>
        <w:t xml:space="preserve">Tenant's Surrender Certification:</w:t>
      </w:r>
    </w:p>
    <w:p>
      <w:pPr>
        <w:spacing w:after="60"/>
      </w:pPr>
    </w:p>
    <w:p>
      <w:pPr>
        <w:spacing w:after="120"/>
        <w:jc w:val="both"/>
      </w:pPr>
      <w:r>
        <w:rPr>
          <w:rFonts w:ascii="Calibri" w:cs="Calibri" w:eastAsia="Calibri" w:hAnsi="Calibri"/>
          <w:sz w:val="22"/>
          <w:szCs w:val="22"/>
        </w:rPr>
        <w:t xml:space="preserve">I certify that the Premises have been surrendered in compliance with the requirements set forth above and in the Lease.</w:t>
      </w:r>
    </w:p>
    <w:p>
      <w:pPr>
        <w:spacing w:after="60"/>
      </w:pPr>
    </w:p>
    <w:p>
      <w:pPr>
        <w:spacing w:after="120"/>
        <w:jc w:val="both"/>
      </w:pPr>
      <w:r>
        <w:rPr>
          <w:rFonts w:ascii="Calibri" w:cs="Calibri" w:eastAsia="Calibri" w:hAnsi="Calibri"/>
          <w:sz w:val="22"/>
          <w:szCs w:val="22"/>
        </w:rPr>
        <w:t xml:space="preserve">Tenant: ________________________________  Date: ________________________________</w:t>
      </w:r>
    </w:p>
    <w:p>
      <w:pPr>
        <w:spacing w:after="60"/>
      </w:pPr>
    </w:p>
    <w:p>
      <w:pPr>
        <w:spacing w:after="120"/>
        <w:jc w:val="both"/>
      </w:pPr>
      <w:r>
        <w:rPr>
          <w:rFonts w:ascii="Calibri" w:cs="Calibri" w:eastAsia="Calibri" w:hAnsi="Calibri"/>
          <w:sz w:val="22"/>
          <w:szCs w:val="22"/>
        </w:rPr>
        <w:t xml:space="preserve">Landlord Acknowledgment:</w:t>
      </w:r>
    </w:p>
    <w:p>
      <w:pPr>
        <w:spacing w:after="60"/>
      </w:pPr>
    </w:p>
    <w:p>
      <w:pPr>
        <w:spacing w:after="120"/>
        <w:jc w:val="both"/>
      </w:pPr>
      <w:r>
        <w:rPr>
          <w:rFonts w:ascii="Calibri" w:cs="Calibri" w:eastAsia="Calibri" w:hAnsi="Calibri"/>
          <w:sz w:val="22"/>
          <w:szCs w:val="22"/>
        </w:rPr>
        <w:t xml:space="preserve">Landlord acknowledges receipt of the Premises in [ACCEPTABLE / SUBJECT TO COMPLETION OF THE FOLLOWING ITEMS] condition.</w:t>
      </w:r>
    </w:p>
    <w:p>
      <w:pPr>
        <w:spacing w:after="60"/>
      </w:pPr>
    </w:p>
    <w:p>
      <w:pPr>
        <w:spacing w:after="120"/>
        <w:jc w:val="both"/>
      </w:pPr>
      <w:r>
        <w:rPr>
          <w:rFonts w:ascii="Calibri" w:cs="Calibri" w:eastAsia="Calibri" w:hAnsi="Calibri"/>
          <w:sz w:val="22"/>
          <w:szCs w:val="22"/>
        </w:rPr>
        <w:t xml:space="preserve">Landlord: ________________________________  Date: ________________________________</w:t>
      </w:r>
    </w:p>
    <w:p>
      <w:pPr>
        <w:spacing w:after="60"/>
      </w:pPr>
    </w:p>
    <w:p>
      <w:pPr>
        <w:spacing w:after="120"/>
        <w:jc w:val="both"/>
      </w:pPr>
      <w:r>
        <w:rPr>
          <w:rFonts w:ascii="Calibri" w:cs="Calibri" w:eastAsia="Calibri" w:hAnsi="Calibri"/>
          <w:sz w:val="22"/>
          <w:szCs w:val="22"/>
        </w:rPr>
        <w:t xml:space="preserve">Deficiency Items (if any):</w:t>
      </w:r>
    </w:p>
    <w:p>
      <w:pPr>
        <w:spacing w:after="100"/>
        <w:ind w:left="720"/>
        <w:jc w:val="both"/>
      </w:pPr>
      <w:r>
        <w:rPr>
          <w:rFonts w:ascii="Calibri" w:cs="Calibri" w:eastAsia="Calibri" w:hAnsi="Calibri"/>
          <w:sz w:val="22"/>
          <w:szCs w:val="22"/>
        </w:rPr>
        <w:t xml:space="preserve">[LIST ANY ITEMS REQUIRING REMEDIATION; ATTACH PHOTOS IF APPLICABLE.]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08080"/>
        <w:sz w:val="18"/>
        <w:szCs w:val="18"/>
      </w:rPr>
      <w:t xml:space="preserve">Montague Law  |  For Informational Purposes Only  |  Page </w:t>
    </w:r>
    <w:r>
      <w:rPr>
        <w:rFonts w:ascii="Calibri" w:cs="Calibri" w:eastAsia="Calibri" w:hAnsi="Calibri"/>
        <w:color w:val="808080"/>
        <w:sz w:val="18"/>
        <w:szCs w:val="18"/>
      </w:rPr>
      <w:fldChar w:fldCharType="begin"/>
      <w:instrText xml:space="preserve">PAGE</w:instrText>
      <w:fldChar w:fldCharType="separate"/>
      <w:fldChar w:fldCharType="end"/>
    </w:r>
    <w:r>
      <w:rPr>
        <w:rFonts w:ascii="Calibri" w:cs="Calibri" w:eastAsia="Calibri" w:hAnsi="Calibri"/>
        <w:color w:val="808080"/>
        <w:sz w:val="18"/>
        <w:szCs w:val="18"/>
      </w:rPr>
      <w:t xml:space="preserve"> of </w:t>
    </w:r>
    <w:r>
      <w:rPr>
        <w:rFonts w:ascii="Calibri" w:cs="Calibri" w:eastAsia="Calibri" w:hAnsi="Calibri"/>
        <w:color w:val="808080"/>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808080"/>
        <w:sz w:val="18"/>
        <w:szCs w:val="18"/>
      </w:rPr>
      <w:t xml:space="preserve">Commercial Office Lease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2026-08-23T03:34:13.638Z</dcterms:created>
  <dcterms:modified xsi:type="dcterms:W3CDTF">2026-08-23T03:34:13.639Z</dcterms:modified>
</cp:coreProperties>
</file>

<file path=docProps/custom.xml><?xml version="1.0" encoding="utf-8"?>
<Properties xmlns="http://schemas.openxmlformats.org/officeDocument/2006/custom-properties" xmlns:vt="http://schemas.openxmlformats.org/officeDocument/2006/docPropsVTypes"/>
</file>