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a1a2e"/>
          <w:sz w:val="30"/>
          <w:szCs w:val="30"/>
        </w:rPr>
        <w:t xml:space="preserve">SOFTWARE VALUE-ADDED RESELLER AGREEMENT</w:t>
      </w:r>
    </w:p>
    <w:p>
      <w:pPr>
        <w:spacing w:after="360"/>
        <w:jc w:val="center"/>
      </w:pPr>
      <w:r>
        <w:rPr>
          <w:rFonts w:ascii="Calibri" w:cs="Calibri" w:eastAsia="Calibri" w:hAnsi="Calibri"/>
          <w:i/>
          <w:iCs/>
          <w:color w:val="555555"/>
          <w:sz w:val="24"/>
          <w:szCs w:val="24"/>
        </w:rPr>
        <w:t xml:space="preserve">Channel Distribution Agreement</w:t>
      </w:r>
    </w:p>
    <w:p>
      <w:pPr>
        <w:pStyle w:val="Heading2"/>
        <w:spacing w:after="120" w:before="240"/>
      </w:pPr>
      <w:r>
        <w:rPr>
          <w:rFonts w:ascii="Calibri" w:cs="Calibri" w:eastAsia="Calibri" w:hAnsi="Calibri"/>
          <w:b/>
          <w:bCs/>
          <w:color w:val="1a1a2e"/>
          <w:sz w:val="24"/>
          <w:szCs w:val="24"/>
        </w:rPr>
        <w:t xml:space="preserve">Agreement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Effective Date: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Licensor: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[LICENSOR LEGAL 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VAR: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[VAR LEGAL 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Software: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[SOFTWARE NAME AND VERSION]</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Channel Model:</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[Embedded OEM / SaaS Resale / Standalone Sublicense]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Territory:</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[TERRITORY]</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Exclusivity:</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[Nonexclusive / Territory Exclusive / Performance-Based]</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Initial Term:</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[TERM]</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Merchant of Record:</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[VAR / Licensor / Order-Specific]</w:t>
            </w:r>
          </w:p>
        </w:tc>
      </w:tr>
    </w:tbl>
    <w:p>
      <w:pPr>
        <w:spacing w:after="240"/>
      </w:pPr>
    </w:p>
    <w:p>
      <w:pPr>
        <w:pStyle w:val="Heading2"/>
        <w:spacing w:after="120" w:before="240"/>
      </w:pPr>
      <w:r>
        <w:rPr>
          <w:rFonts w:ascii="Calibri" w:cs="Calibri" w:eastAsia="Calibri" w:hAnsi="Calibri"/>
          <w:b/>
          <w:bCs/>
          <w:color w:val="1a1a2e"/>
          <w:sz w:val="24"/>
          <w:szCs w:val="24"/>
        </w:rPr>
        <w:t xml:space="preserve">1. Definitions</w:t>
      </w:r>
    </w:p>
    <w:p>
      <w:pPr>
        <w:spacing w:after="160"/>
        <w:jc w:val="left"/>
      </w:pPr>
      <w:r>
        <w:rPr>
          <w:rFonts w:ascii="Calibri" w:cs="Calibri" w:eastAsia="Calibri" w:hAnsi="Calibri"/>
          <w:color w:val="333333"/>
          <w:sz w:val="22"/>
          <w:szCs w:val="22"/>
        </w:rPr>
        <w:t xml:space="preserve">"End User" means a customer of VAR that is licensed to use the Software or Integrated Product under an approved EULA.</w:t>
      </w:r>
    </w:p>
    <w:p>
      <w:pPr>
        <w:spacing w:after="160"/>
        <w:jc w:val="left"/>
      </w:pPr>
      <w:r>
        <w:rPr>
          <w:rFonts w:ascii="Calibri" w:cs="Calibri" w:eastAsia="Calibri" w:hAnsi="Calibri"/>
          <w:color w:val="333333"/>
          <w:sz w:val="22"/>
          <w:szCs w:val="22"/>
        </w:rPr>
        <w:t xml:space="preserve">"EULA" means the end-user license agreement containing at least the minimum terms set forth in Exhibit B.</w:t>
      </w:r>
    </w:p>
    <w:p>
      <w:pPr>
        <w:spacing w:after="160"/>
        <w:jc w:val="left"/>
      </w:pPr>
      <w:r>
        <w:rPr>
          <w:rFonts w:ascii="Calibri" w:cs="Calibri" w:eastAsia="Calibri" w:hAnsi="Calibri"/>
          <w:color w:val="333333"/>
          <w:sz w:val="22"/>
          <w:szCs w:val="22"/>
        </w:rPr>
        <w:t xml:space="preserve">"Field" means the market segment, use case, or customer category in which VAR is authorized to distribute, as specified in Exhibit A.</w:t>
      </w:r>
    </w:p>
    <w:p>
      <w:pPr>
        <w:spacing w:after="160"/>
        <w:jc w:val="left"/>
      </w:pPr>
      <w:r>
        <w:rPr>
          <w:rFonts w:ascii="Calibri" w:cs="Calibri" w:eastAsia="Calibri" w:hAnsi="Calibri"/>
          <w:color w:val="333333"/>
          <w:sz w:val="22"/>
          <w:szCs w:val="22"/>
        </w:rPr>
        <w:t xml:space="preserve">"Integrated Product" means a product or service created by VAR that incorporates or bundles the Software as a component, as described in Exhibit A.</w:t>
      </w:r>
    </w:p>
    <w:p>
      <w:pPr>
        <w:spacing w:after="160"/>
        <w:jc w:val="left"/>
      </w:pPr>
      <w:r>
        <w:rPr>
          <w:rFonts w:ascii="Calibri" w:cs="Calibri" w:eastAsia="Calibri" w:hAnsi="Calibri"/>
          <w:color w:val="333333"/>
          <w:sz w:val="22"/>
          <w:szCs w:val="22"/>
        </w:rPr>
        <w:t xml:space="preserve">"Marks" means the trademarks, service marks, logos, and trade names of either party.</w:t>
      </w:r>
    </w:p>
    <w:p>
      <w:pPr>
        <w:spacing w:after="160"/>
        <w:jc w:val="left"/>
      </w:pPr>
      <w:r>
        <w:rPr>
          <w:rFonts w:ascii="Calibri" w:cs="Calibri" w:eastAsia="Calibri" w:hAnsi="Calibri"/>
          <w:color w:val="333333"/>
          <w:sz w:val="22"/>
          <w:szCs w:val="22"/>
        </w:rPr>
        <w:t xml:space="preserve">"Net Revenue" means gross revenue received by VAR from End Users for Transactions, less applicable sales taxes actually collected and remitted, refunds actually issued, and chargebacks, as further defined in Exhibit C.</w:t>
      </w:r>
    </w:p>
    <w:p>
      <w:pPr>
        <w:spacing w:after="160"/>
        <w:jc w:val="left"/>
      </w:pPr>
      <w:r>
        <w:rPr>
          <w:rFonts w:ascii="Calibri" w:cs="Calibri" w:eastAsia="Calibri" w:hAnsi="Calibri"/>
          <w:color w:val="333333"/>
          <w:sz w:val="22"/>
          <w:szCs w:val="22"/>
        </w:rPr>
        <w:t xml:space="preserve">"Software" means the Licensor software identified in the Agreement Summary and Exhibit A, including updates provided during the Term.</w:t>
      </w:r>
    </w:p>
    <w:p>
      <w:pPr>
        <w:spacing w:after="160"/>
        <w:jc w:val="left"/>
      </w:pPr>
      <w:r>
        <w:rPr>
          <w:rFonts w:ascii="Calibri" w:cs="Calibri" w:eastAsia="Calibri" w:hAnsi="Calibri"/>
          <w:color w:val="333333"/>
          <w:sz w:val="22"/>
          <w:szCs w:val="22"/>
        </w:rPr>
        <w:t xml:space="preserve">"Territory" means the geographic area or customer segments in which VAR is authorized to distribute, as specified in Exhibit C.</w:t>
      </w:r>
    </w:p>
    <w:p>
      <w:pPr>
        <w:spacing w:after="160"/>
        <w:jc w:val="left"/>
      </w:pPr>
      <w:r>
        <w:rPr>
          <w:rFonts w:ascii="Calibri" w:cs="Calibri" w:eastAsia="Calibri" w:hAnsi="Calibri"/>
          <w:color w:val="333333"/>
          <w:sz w:val="22"/>
          <w:szCs w:val="22"/>
        </w:rPr>
        <w:t xml:space="preserve">"Transaction" means each sale, subscription, renewal, or other distribution of Software or Integrated Products to an End User.</w:t>
      </w:r>
    </w:p>
    <w:p>
      <w:pPr>
        <w:pStyle w:val="Heading2"/>
        <w:spacing w:after="120" w:before="240"/>
      </w:pPr>
      <w:r>
        <w:rPr>
          <w:rFonts w:ascii="Calibri" w:cs="Calibri" w:eastAsia="Calibri" w:hAnsi="Calibri"/>
          <w:b/>
          <w:bCs/>
          <w:color w:val="1a1a2e"/>
          <w:sz w:val="24"/>
          <w:szCs w:val="24"/>
        </w:rPr>
        <w:t xml:space="preserve">2. Appointment and License Grant</w:t>
      </w:r>
    </w:p>
    <w:p>
      <w:pPr>
        <w:spacing w:after="160"/>
        <w:jc w:val="left"/>
      </w:pPr>
      <w:r>
        <w:rPr>
          <w:rFonts w:ascii="Calibri" w:cs="Calibri" w:eastAsia="Calibri" w:hAnsi="Calibri"/>
          <w:color w:val="333333"/>
          <w:sz w:val="22"/>
          <w:szCs w:val="22"/>
        </w:rPr>
        <w:t xml:space="preserve">2.1 Appointment. Licensor appoints VAR as a nonexclusive value-added reseller of the Software within the Territory and Field during the Term, subject to the terms of this Agreement. [If exclusive: Licensor appoints VAR as the exclusive reseller within the Territory and Field, subject to the minimum performance obligations in Exhibit C. Exclusivity terminates and converts to nonexclusive status if VAR fails to meet minimum performance targets for [2] consecutive quarters, upon [30] days' written notice.]</w:t>
      </w:r>
    </w:p>
    <w:p>
      <w:pPr>
        <w:spacing w:after="160"/>
        <w:jc w:val="left"/>
      </w:pPr>
      <w:r>
        <w:rPr>
          <w:rFonts w:ascii="Calibri" w:cs="Calibri" w:eastAsia="Calibri" w:hAnsi="Calibri"/>
          <w:color w:val="333333"/>
          <w:sz w:val="22"/>
          <w:szCs w:val="22"/>
        </w:rPr>
        <w:t xml:space="preserve">2.2 License Grant. Licensor grants VAR a nonexclusive, nontransferable, limited license during the Term to: (a) reproduce the Software in object-code form solely as embedded in or bundled with approved Integrated Products described in Exhibit A; (b) distribute those Integrated Products to End Users who have accepted the approved EULA; (c) demonstrate and provide evaluation copies to prospective End Users; and (d) use the Software internally for integration development, testing, and support purposes.</w:t>
      </w:r>
    </w:p>
    <w:p>
      <w:pPr>
        <w:spacing w:after="160"/>
        <w:jc w:val="left"/>
      </w:pPr>
      <w:r>
        <w:rPr>
          <w:rFonts w:ascii="Calibri" w:cs="Calibri" w:eastAsia="Calibri" w:hAnsi="Calibri"/>
          <w:color w:val="333333"/>
          <w:sz w:val="22"/>
          <w:szCs w:val="22"/>
        </w:rPr>
        <w:t xml:space="preserve">2.3 Channel Model Election. The parties select one of the following distribution models as indicated in the Agreement Summary:</w:t>
      </w:r>
    </w:p>
    <w:p>
      <w:pPr>
        <w:spacing w:after="160"/>
        <w:jc w:val="left"/>
      </w:pPr>
      <w:r>
        <w:rPr>
          <w:rFonts w:ascii="Calibri" w:cs="Calibri" w:eastAsia="Calibri" w:hAnsi="Calibri"/>
          <w:i/>
          <w:iCs/>
          <w:color w:val="333333"/>
          <w:sz w:val="22"/>
          <w:szCs w:val="22"/>
        </w:rPr>
        <w:t xml:space="preserve">Model A — Embedded OEM. VAR embeds the Software as a component of an Integrated Product. End Users interact with VAR's product and may or may not be aware of the underlying Software. VAR is the contracting party and merchant of record for all Transactions.</w:t>
      </w:r>
    </w:p>
    <w:p>
      <w:pPr>
        <w:spacing w:after="160"/>
        <w:jc w:val="left"/>
      </w:pPr>
      <w:r>
        <w:rPr>
          <w:rFonts w:ascii="Calibri" w:cs="Calibri" w:eastAsia="Calibri" w:hAnsi="Calibri"/>
          <w:i/>
          <w:iCs/>
          <w:color w:val="333333"/>
          <w:sz w:val="22"/>
          <w:szCs w:val="22"/>
        </w:rPr>
        <w:t xml:space="preserve">Model B — SaaS Resale. VAR resells access to the Software as a hosted service, either white-labeled or co-branded. Licensor hosts and operates the Software; VAR manages the customer relationship. Merchant-of-record and hosting responsibilities follow Exhibit C.</w:t>
      </w:r>
    </w:p>
    <w:p>
      <w:pPr>
        <w:spacing w:after="160"/>
        <w:jc w:val="left"/>
      </w:pPr>
      <w:r>
        <w:rPr>
          <w:rFonts w:ascii="Calibri" w:cs="Calibri" w:eastAsia="Calibri" w:hAnsi="Calibri"/>
          <w:i/>
          <w:iCs/>
          <w:color w:val="333333"/>
          <w:sz w:val="22"/>
          <w:szCs w:val="22"/>
        </w:rPr>
        <w:t xml:space="preserve">Model C — Standalone Sublicense. VAR distributes the Software as a standalone product under Licensor's brand with VAR as the authorized channel. End Users receive the Software directly; VAR provides first-line support and billing.</w:t>
      </w:r>
    </w:p>
    <w:p>
      <w:pPr>
        <w:spacing w:after="160"/>
        <w:jc w:val="left"/>
      </w:pPr>
      <w:r>
        <w:rPr>
          <w:rFonts w:ascii="Calibri" w:cs="Calibri" w:eastAsia="Calibri" w:hAnsi="Calibri"/>
          <w:color w:val="333333"/>
          <w:sz w:val="22"/>
          <w:szCs w:val="22"/>
        </w:rPr>
        <w:t xml:space="preserve">2.4 Restrictions. Except as expressly authorized, VAR shall not: (a) distribute the Software on a standalone basis (under Models A and B); (b) grant rights broader than those in this Agreement; (c) reverse engineer, decompile, or disassemble the Software except as permitted by applicable law; (d) access or attempt to access source code; (e) circumvent license keys, usage limits, or technical protections; (f) create derivative works except as authorized in Exhibit A; (g) permit third-party hosting or sublicensing without prior written approval; or (h) use the Software outside the Field or Territory.</w:t>
      </w:r>
    </w:p>
    <w:p>
      <w:r>
        <w:br w:type="page"/>
      </w:r>
    </w:p>
    <w:p>
      <w:pPr>
        <w:pStyle w:val="Heading2"/>
        <w:spacing w:after="120" w:before="240"/>
      </w:pPr>
      <w:r>
        <w:rPr>
          <w:rFonts w:ascii="Calibri" w:cs="Calibri" w:eastAsia="Calibri" w:hAnsi="Calibri"/>
          <w:b/>
          <w:bCs/>
          <w:color w:val="1a1a2e"/>
          <w:sz w:val="24"/>
          <w:szCs w:val="24"/>
        </w:rPr>
        <w:t xml:space="preserve">3. End-User Terms and Compliance</w:t>
      </w:r>
    </w:p>
    <w:p>
      <w:pPr>
        <w:spacing w:after="160"/>
        <w:jc w:val="left"/>
      </w:pPr>
      <w:r>
        <w:rPr>
          <w:rFonts w:ascii="Calibri" w:cs="Calibri" w:eastAsia="Calibri" w:hAnsi="Calibri"/>
          <w:color w:val="333333"/>
          <w:sz w:val="22"/>
          <w:szCs w:val="22"/>
        </w:rPr>
        <w:t xml:space="preserve">3.1 Required EULA. Before granting any End User access to the Software or an Integrated Product, VAR shall obtain enforceable assent to a EULA containing at least the minimum terms set forth in Exhibit B. VAR shall maintain records of assent (clickthrough logs, signed agreements, or equivalent evidence) for the duration of the End User relationship plus [3] years.</w:t>
      </w:r>
    </w:p>
    <w:p>
      <w:pPr>
        <w:spacing w:after="160"/>
        <w:jc w:val="left"/>
      </w:pPr>
      <w:r>
        <w:rPr>
          <w:rFonts w:ascii="Calibri" w:cs="Calibri" w:eastAsia="Calibri" w:hAnsi="Calibri"/>
          <w:color w:val="333333"/>
          <w:sz w:val="22"/>
          <w:szCs w:val="22"/>
        </w:rPr>
        <w:t xml:space="preserve">3.2 Minimum EULA Terms. The EULA must include: (a) a restricted license scope consistent with this Agreement; (b) Licensor's ownership and intellectual property protections; (c) use limitations and prohibited conduct; (d) confidentiality obligations where the End User accesses proprietary elements; (e) warranty disclaimers and limitations of liability consistent with Section 10; (f) export and sanctions compliance; (g) termination and post-termination obligations; and (h) Licensor's right to enforce EULA terms as a third-party beneficiary.</w:t>
      </w:r>
    </w:p>
    <w:p>
      <w:pPr>
        <w:spacing w:after="160"/>
        <w:jc w:val="left"/>
      </w:pPr>
      <w:r>
        <w:rPr>
          <w:rFonts w:ascii="Calibri" w:cs="Calibri" w:eastAsia="Calibri" w:hAnsi="Calibri"/>
          <w:color w:val="333333"/>
          <w:sz w:val="22"/>
          <w:szCs w:val="22"/>
        </w:rPr>
        <w:t xml:space="preserve">3.3 Merchant-of-Record Obligations. Unless Exhibit C designates Licensor as merchant of record for specific Transaction types, VAR is the merchant of record and is responsible for billing, payment collection, applicable taxes, refunds, chargebacks, and customer communications. VAR shall not make representations, warranties, or commitments regarding the Software beyond Licensor's approved marketing materials without prior written approval.</w:t>
      </w:r>
    </w:p>
    <w:p>
      <w:pPr>
        <w:pStyle w:val="Heading2"/>
        <w:spacing w:after="120" w:before="240"/>
      </w:pPr>
      <w:r>
        <w:rPr>
          <w:rFonts w:ascii="Calibri" w:cs="Calibri" w:eastAsia="Calibri" w:hAnsi="Calibri"/>
          <w:b/>
          <w:bCs/>
          <w:color w:val="1a1a2e"/>
          <w:sz w:val="24"/>
          <w:szCs w:val="24"/>
        </w:rPr>
        <w:t xml:space="preserve">4. VAR Operations</w:t>
      </w:r>
    </w:p>
    <w:p>
      <w:pPr>
        <w:spacing w:after="160"/>
        <w:jc w:val="left"/>
      </w:pPr>
      <w:r>
        <w:rPr>
          <w:rFonts w:ascii="Calibri" w:cs="Calibri" w:eastAsia="Calibri" w:hAnsi="Calibri"/>
          <w:color w:val="333333"/>
          <w:sz w:val="22"/>
          <w:szCs w:val="22"/>
        </w:rPr>
        <w:t xml:space="preserve">4.1 Sales and Support. VAR shall maintain qualified sales and first-line support personnel with adequate training on the Software. VAR shall market the Software and Integrated Products accurately and in compliance with applicable law and Licensor's approved marketing materials and brand guidelines.</w:t>
      </w:r>
    </w:p>
    <w:p>
      <w:pPr>
        <w:spacing w:after="160"/>
        <w:jc w:val="left"/>
      </w:pPr>
      <w:r>
        <w:rPr>
          <w:rFonts w:ascii="Calibri" w:cs="Calibri" w:eastAsia="Calibri" w:hAnsi="Calibri"/>
          <w:color w:val="333333"/>
          <w:sz w:val="22"/>
          <w:szCs w:val="22"/>
        </w:rPr>
        <w:t xml:space="preserve">4.2 Records and Reporting. VAR shall maintain complete and accurate records of all Transactions, deployments, versions, and fees for at least [3] years. VAR shall submit [MONTHLY / QUARTERLY] reports to Licensor listing: units distributed, End User identity and contact information, Software versions deployed, Territory, and Net Revenue. Reports are due within [15] days after each reporting period.</w:t>
      </w:r>
    </w:p>
    <w:p>
      <w:pPr>
        <w:spacing w:after="160"/>
        <w:jc w:val="left"/>
      </w:pPr>
      <w:r>
        <w:rPr>
          <w:rFonts w:ascii="Calibri" w:cs="Calibri" w:eastAsia="Calibri" w:hAnsi="Calibri"/>
          <w:color w:val="333333"/>
          <w:sz w:val="22"/>
          <w:szCs w:val="22"/>
        </w:rPr>
        <w:t xml:space="preserve">4.3 Incident Reporting. VAR shall promptly notify Licensor of: (a) security incidents involving the Software or End User data; (b) suspected intellectual property infringement; (c) material customer complaints regarding the Software; (d) regulatory inquiries related to the Software; and (e) any event that may trigger Licensor's indemnification obligations.</w:t>
      </w:r>
    </w:p>
    <w:p>
      <w:pPr>
        <w:spacing w:after="160"/>
        <w:jc w:val="left"/>
      </w:pPr>
      <w:r>
        <w:rPr>
          <w:rFonts w:ascii="Calibri" w:cs="Calibri" w:eastAsia="Calibri" w:hAnsi="Calibri"/>
          <w:color w:val="333333"/>
          <w:sz w:val="22"/>
          <w:szCs w:val="22"/>
        </w:rPr>
        <w:t xml:space="preserve">4.4 Subresellers. VAR may appoint subresellers only with Licensor's prior written approval. Each approved subreseller must execute a written agreement containing obligations no less protective than this Agreement, including EULA requirements, IP protections, confidentiality, data security, and reporting. VAR remains responsible for subreseller performance and compliance.</w:t>
      </w:r>
    </w:p>
    <w:p>
      <w:pPr>
        <w:pStyle w:val="Heading2"/>
        <w:spacing w:after="120" w:before="240"/>
      </w:pPr>
      <w:r>
        <w:rPr>
          <w:rFonts w:ascii="Calibri" w:cs="Calibri" w:eastAsia="Calibri" w:hAnsi="Calibri"/>
          <w:b/>
          <w:bCs/>
          <w:color w:val="1a1a2e"/>
          <w:sz w:val="24"/>
          <w:szCs w:val="24"/>
        </w:rPr>
        <w:t xml:space="preserve">5. Licensor Operations</w:t>
      </w:r>
    </w:p>
    <w:p>
      <w:pPr>
        <w:spacing w:after="160"/>
        <w:jc w:val="left"/>
      </w:pPr>
      <w:r>
        <w:rPr>
          <w:rFonts w:ascii="Calibri" w:cs="Calibri" w:eastAsia="Calibri" w:hAnsi="Calibri"/>
          <w:color w:val="333333"/>
          <w:sz w:val="22"/>
          <w:szCs w:val="22"/>
        </w:rPr>
        <w:t xml:space="preserve">5.1 Software and Documentation. Licensor shall provide VAR with the Software, documentation, integration specifications, and reasonable technical enablement during the Term.</w:t>
      </w:r>
    </w:p>
    <w:p>
      <w:pPr>
        <w:spacing w:after="160"/>
        <w:jc w:val="left"/>
      </w:pPr>
      <w:r>
        <w:rPr>
          <w:rFonts w:ascii="Calibri" w:cs="Calibri" w:eastAsia="Calibri" w:hAnsi="Calibri"/>
          <w:color w:val="333333"/>
          <w:sz w:val="22"/>
          <w:szCs w:val="22"/>
        </w:rPr>
        <w:t xml:space="preserve">5.2 Support. Licensor shall provide second-line technical support to VAR as described in Exhibit D, including escalation procedures, response times, and severity definitions.</w:t>
      </w:r>
    </w:p>
    <w:p>
      <w:pPr>
        <w:spacing w:after="160"/>
        <w:jc w:val="left"/>
      </w:pPr>
      <w:r>
        <w:rPr>
          <w:rFonts w:ascii="Calibri" w:cs="Calibri" w:eastAsia="Calibri" w:hAnsi="Calibri"/>
          <w:color w:val="333333"/>
          <w:sz w:val="22"/>
          <w:szCs w:val="22"/>
        </w:rPr>
        <w:t xml:space="preserve">5.3 Updates. Licensor may update the Software during the Term and shall provide reasonable advance notice of material changes, end-of-life decisions, or compatibility changes that affect VAR's Integrated Products. Licensor shall maintain backward compatibility for at least [12] months after notice of a breaking change, or provide reasonable migration assistance. No roadmap statement, product briefing, or marketing material constitutes a binding delivery commitment unless set forth in a signed order.</w:t>
      </w:r>
    </w:p>
    <w:p>
      <w:r>
        <w:br w:type="page"/>
      </w:r>
    </w:p>
    <w:p>
      <w:pPr>
        <w:pStyle w:val="Heading2"/>
        <w:spacing w:after="120" w:before="240"/>
      </w:pPr>
      <w:r>
        <w:rPr>
          <w:rFonts w:ascii="Calibri" w:cs="Calibri" w:eastAsia="Calibri" w:hAnsi="Calibri"/>
          <w:b/>
          <w:bCs/>
          <w:color w:val="1a1a2e"/>
          <w:sz w:val="24"/>
          <w:szCs w:val="24"/>
        </w:rPr>
        <w:t xml:space="preserve">6. Fees, Revenue Share, and Audit</w:t>
      </w:r>
    </w:p>
    <w:p>
      <w:pPr>
        <w:spacing w:after="160"/>
        <w:jc w:val="left"/>
      </w:pPr>
      <w:r>
        <w:rPr>
          <w:rFonts w:ascii="Calibri" w:cs="Calibri" w:eastAsia="Calibri" w:hAnsi="Calibri"/>
          <w:color w:val="333333"/>
          <w:sz w:val="22"/>
          <w:szCs w:val="22"/>
        </w:rPr>
        <w:t xml:space="preserve">6.1 Fees. VAR shall pay Licensor the fees specified in Exhibit C within [30] days of invoice (or within [30] days after the end of the reporting period for revenue-share arrangements). Exhibit C shall specify: fee structure (per-unit, percentage of Net Revenue, minimum commitment, or hybrid), payment currency, and applicable discounts for volume or multi-year commitments.</w:t>
      </w:r>
    </w:p>
    <w:p>
      <w:pPr>
        <w:spacing w:after="160"/>
        <w:jc w:val="left"/>
      </w:pPr>
      <w:r>
        <w:rPr>
          <w:rFonts w:ascii="Calibri" w:cs="Calibri" w:eastAsia="Calibri" w:hAnsi="Calibri"/>
          <w:color w:val="333333"/>
          <w:sz w:val="22"/>
          <w:szCs w:val="22"/>
        </w:rPr>
        <w:t xml:space="preserve">6.2 Taxes. The merchant of record is responsible for collecting and remitting applicable sales, use, VAT, and similar transaction taxes. Each party is responsible for its own income taxes. The parties shall cooperate in good faith to minimize double taxation and provide tax documentation as reasonably requested.</w:t>
      </w:r>
    </w:p>
    <w:p>
      <w:pPr>
        <w:spacing w:after="160"/>
        <w:jc w:val="left"/>
      </w:pPr>
      <w:r>
        <w:rPr>
          <w:rFonts w:ascii="Calibri" w:cs="Calibri" w:eastAsia="Calibri" w:hAnsi="Calibri"/>
          <w:color w:val="333333"/>
          <w:sz w:val="22"/>
          <w:szCs w:val="22"/>
        </w:rPr>
        <w:t xml:space="preserve">6.3 Audit. Upon [30] days' written notice, Licensor may engage an independent auditor to verify VAR's compliance with reporting and payment obligations, no more than once per calendar year. The audit shall be conducted during normal business hours and shall not unreasonably disrupt VAR's operations. Licensor bears the cost unless the audit reveals underpayment exceeding [5]% of amounts due for the audited period, in which case VAR shall pay the reasonable cost of the audit and promptly remit the deficiency plus interest.</w:t>
      </w:r>
    </w:p>
    <w:p>
      <w:pPr>
        <w:pStyle w:val="Heading2"/>
        <w:spacing w:after="120" w:before="240"/>
      </w:pPr>
      <w:r>
        <w:rPr>
          <w:rFonts w:ascii="Calibri" w:cs="Calibri" w:eastAsia="Calibri" w:hAnsi="Calibri"/>
          <w:b/>
          <w:bCs/>
          <w:color w:val="1a1a2e"/>
          <w:sz w:val="24"/>
          <w:szCs w:val="24"/>
        </w:rPr>
        <w:t xml:space="preserve">7. Intellectual Property and Marks</w:t>
      </w:r>
    </w:p>
    <w:p>
      <w:pPr>
        <w:spacing w:after="160"/>
        <w:jc w:val="left"/>
      </w:pPr>
      <w:r>
        <w:rPr>
          <w:rFonts w:ascii="Calibri" w:cs="Calibri" w:eastAsia="Calibri" w:hAnsi="Calibri"/>
          <w:color w:val="333333"/>
          <w:sz w:val="22"/>
          <w:szCs w:val="22"/>
        </w:rPr>
        <w:t xml:space="preserve">7.1 Licensor IP. Licensor owns and retains all right, title, and interest in the Software, documentation, APIs, SDKs, derivatives, and Licensor Marks. Nothing in this Agreement transfers ownership of Licensor IP to VAR.</w:t>
      </w:r>
    </w:p>
    <w:p>
      <w:pPr>
        <w:spacing w:after="160"/>
        <w:jc w:val="left"/>
      </w:pPr>
      <w:r>
        <w:rPr>
          <w:rFonts w:ascii="Calibri" w:cs="Calibri" w:eastAsia="Calibri" w:hAnsi="Calibri"/>
          <w:color w:val="333333"/>
          <w:sz w:val="22"/>
          <w:szCs w:val="22"/>
        </w:rPr>
        <w:t xml:space="preserve">7.2 VAR IP. VAR owns its separate technology, Integrated Products (excluding the Software component), and VAR Marks. Integration code ownership and licenses are allocated in Exhibit A.</w:t>
      </w:r>
    </w:p>
    <w:p>
      <w:pPr>
        <w:spacing w:after="160"/>
        <w:jc w:val="left"/>
      </w:pPr>
      <w:r>
        <w:rPr>
          <w:rFonts w:ascii="Calibri" w:cs="Calibri" w:eastAsia="Calibri" w:hAnsi="Calibri"/>
          <w:color w:val="333333"/>
          <w:sz w:val="22"/>
          <w:szCs w:val="22"/>
        </w:rPr>
        <w:t xml:space="preserve">7.3 Trademark License. Licensor grants VAR a revocable, nonexclusive, nontransferable license to use Licensor's approved Marks solely for marketing and distributing the Software and Integrated Products in accordance with Licensor's brand guidelines and quality-control standards. All goodwill arising from VAR's use of Licensor Marks inures to Licensor's benefit. VAR shall not register or use any mark, domain name, or social-media handle confusingly similar to Licensor's Marks.</w:t>
      </w:r>
    </w:p>
    <w:p>
      <w:pPr>
        <w:spacing w:after="160"/>
        <w:jc w:val="left"/>
      </w:pPr>
      <w:r>
        <w:rPr>
          <w:rFonts w:ascii="Calibri" w:cs="Calibri" w:eastAsia="Calibri" w:hAnsi="Calibri"/>
          <w:color w:val="333333"/>
          <w:sz w:val="22"/>
          <w:szCs w:val="22"/>
        </w:rPr>
        <w:t xml:space="preserve">7.4 Feedback. If VAR provides suggestions, enhancement requests, or other feedback regarding the Software, Licensor may use such feedback without restriction or obligation, and VAR assigns any rights therein to Licensor.</w:t>
      </w:r>
    </w:p>
    <w:p>
      <w:pPr>
        <w:pStyle w:val="Heading2"/>
        <w:spacing w:after="120" w:before="240"/>
      </w:pPr>
      <w:r>
        <w:rPr>
          <w:rFonts w:ascii="Calibri" w:cs="Calibri" w:eastAsia="Calibri" w:hAnsi="Calibri"/>
          <w:b/>
          <w:bCs/>
          <w:color w:val="1a1a2e"/>
          <w:sz w:val="24"/>
          <w:szCs w:val="24"/>
        </w:rPr>
        <w:t xml:space="preserve">8. Confidentiality, Data, and Security</w:t>
      </w:r>
    </w:p>
    <w:p>
      <w:pPr>
        <w:spacing w:after="160"/>
        <w:jc w:val="left"/>
      </w:pPr>
      <w:r>
        <w:rPr>
          <w:rFonts w:ascii="Calibri" w:cs="Calibri" w:eastAsia="Calibri" w:hAnsi="Calibri"/>
          <w:color w:val="333333"/>
          <w:sz w:val="22"/>
          <w:szCs w:val="22"/>
        </w:rPr>
        <w:t xml:space="preserve">8.1 Confidentiality. Each party shall protect the other's Confidential Information with reasonable care, use it only for performing under this Agreement, and disclose it only to bound personnel with need to know. Standard exclusions (public, prior knowledge, independent development, lawful receipt) apply. Compelled disclosure requires notice where legally permitted.</w:t>
      </w:r>
    </w:p>
    <w:p>
      <w:pPr>
        <w:spacing w:after="160"/>
        <w:jc w:val="left"/>
      </w:pPr>
      <w:r>
        <w:rPr>
          <w:rFonts w:ascii="Calibri" w:cs="Calibri" w:eastAsia="Calibri" w:hAnsi="Calibri"/>
          <w:color w:val="333333"/>
          <w:sz w:val="22"/>
          <w:szCs w:val="22"/>
        </w:rPr>
        <w:t xml:space="preserve">8.2 End-User Data. The parties' roles, obligations, and controls for End User data (including personal data) are set forth in Exhibit E. VAR shall not transmit End User data to Licensor unless the parties have documented the lawful purpose and data-protection roles. Each party shall comply with applicable data-protection laws for data it processes.</w:t>
      </w:r>
    </w:p>
    <w:p>
      <w:pPr>
        <w:spacing w:after="160"/>
        <w:jc w:val="left"/>
      </w:pPr>
      <w:r>
        <w:rPr>
          <w:rFonts w:ascii="Calibri" w:cs="Calibri" w:eastAsia="Calibri" w:hAnsi="Calibri"/>
          <w:color w:val="333333"/>
          <w:sz w:val="22"/>
          <w:szCs w:val="22"/>
        </w:rPr>
        <w:t xml:space="preserve">8.3 Security. VAR shall maintain commercially reasonable security controls for its systems and any End User data it processes. Security requirements, incident notification procedures, subprocessor approval, and data-handling obligations are specified in Exhibit E.</w:t>
      </w:r>
    </w:p>
    <w:p>
      <w:r>
        <w:br w:type="page"/>
      </w:r>
    </w:p>
    <w:p>
      <w:pPr>
        <w:pStyle w:val="Heading2"/>
        <w:spacing w:after="120" w:before="240"/>
      </w:pPr>
      <w:r>
        <w:rPr>
          <w:rFonts w:ascii="Calibri" w:cs="Calibri" w:eastAsia="Calibri" w:hAnsi="Calibri"/>
          <w:b/>
          <w:bCs/>
          <w:color w:val="1a1a2e"/>
          <w:sz w:val="24"/>
          <w:szCs w:val="24"/>
        </w:rPr>
        <w:t xml:space="preserve">9. Warranties and Indemnification</w:t>
      </w:r>
    </w:p>
    <w:p>
      <w:pPr>
        <w:spacing w:after="160"/>
        <w:jc w:val="left"/>
      </w:pPr>
      <w:r>
        <w:rPr>
          <w:rFonts w:ascii="Calibri" w:cs="Calibri" w:eastAsia="Calibri" w:hAnsi="Calibri"/>
          <w:color w:val="333333"/>
          <w:sz w:val="22"/>
          <w:szCs w:val="22"/>
        </w:rPr>
        <w:t xml:space="preserve">9.1 Licensor Warranty. Licensor's limited warranty for the Software, including scope, duration, and exclusive remedies, is set forth in Exhibit D.</w:t>
      </w:r>
    </w:p>
    <w:p>
      <w:pPr>
        <w:spacing w:after="160"/>
        <w:jc w:val="left"/>
      </w:pPr>
      <w:r>
        <w:rPr>
          <w:rFonts w:ascii="Calibri" w:cs="Calibri" w:eastAsia="Calibri" w:hAnsi="Calibri"/>
          <w:color w:val="333333"/>
          <w:sz w:val="22"/>
          <w:szCs w:val="22"/>
        </w:rPr>
        <w:t xml:space="preserve">9.2 VAR Warranty. VAR represents and warrants that: (a) it has authority to enter into this Agreement; (b) its Integrated Products, marketing materials, and customer contracts comply with applicable law; (c) it will perform its obligations under this Agreement in a professional manner; and (d) its use of the Software and distribution practices will comply with the terms of this Agreement.</w:t>
      </w:r>
    </w:p>
    <w:p>
      <w:pPr>
        <w:spacing w:after="160"/>
        <w:jc w:val="left"/>
      </w:pPr>
      <w:r>
        <w:rPr>
          <w:rFonts w:ascii="Calibri" w:cs="Calibri" w:eastAsia="Calibri" w:hAnsi="Calibri"/>
          <w:color w:val="333333"/>
          <w:sz w:val="22"/>
          <w:szCs w:val="22"/>
        </w:rPr>
        <w:t xml:space="preserve">9.3 Disclaimer. EXCEPT AS EXPRESSLY SET FORTH IN THIS AGREEMENT AND EXHIBIT D, EACH PARTY DISCLAIMS ALL WARRANTIES, EXPRESS, IMPLIED, OR STATUTORY, INCLUDING WARRANTIES OF MERCHANTABILITY, FITNESS FOR A PARTICULAR PURPOSE, AND NON-INFRINGEMENT, TO THE MAXIMUM EXTENT PERMITTED BY LAW.</w:t>
      </w:r>
    </w:p>
    <w:p>
      <w:pPr>
        <w:spacing w:after="160"/>
        <w:jc w:val="left"/>
      </w:pPr>
      <w:r>
        <w:rPr>
          <w:rFonts w:ascii="Calibri" w:cs="Calibri" w:eastAsia="Calibri" w:hAnsi="Calibri"/>
          <w:color w:val="333333"/>
          <w:sz w:val="22"/>
          <w:szCs w:val="22"/>
        </w:rPr>
        <w:t xml:space="preserve">9.4 Licensor Indemnity. Licensor shall defend, indemnify, and hold harmless VAR from third-party claims alleging that the unmodified Software infringes a United States patent, copyright, or trade secret. Licensor may, at its option: (a) procure the right to continue distribution; (b) modify the Software to be non-infringing; (c) replace it with a non-infringing equivalent; or (d) terminate the affected license and refund prepaid fees for the remaining Term.</w:t>
      </w:r>
    </w:p>
    <w:p>
      <w:pPr>
        <w:spacing w:after="160"/>
        <w:jc w:val="left"/>
      </w:pPr>
      <w:r>
        <w:rPr>
          <w:rFonts w:ascii="Calibri" w:cs="Calibri" w:eastAsia="Calibri" w:hAnsi="Calibri"/>
          <w:color w:val="333333"/>
          <w:sz w:val="22"/>
          <w:szCs w:val="22"/>
        </w:rPr>
        <w:t xml:space="preserve">9.5 VAR Indemnity. VAR shall defend, indemnify, and hold harmless Licensor from third-party claims arising from: (a) VAR's Integrated Products (excluding claims attributable solely to the Software); (b) VAR's marketing, representations, or customer commitments beyond approved materials; (c) VAR's modifications to the Software; (d) VAR's data practices or privacy violations; or (e) VAR's violation of applicable law.</w:t>
      </w:r>
    </w:p>
    <w:p>
      <w:pPr>
        <w:spacing w:after="160"/>
        <w:jc w:val="left"/>
      </w:pPr>
      <w:r>
        <w:rPr>
          <w:rFonts w:ascii="Calibri" w:cs="Calibri" w:eastAsia="Calibri" w:hAnsi="Calibri"/>
          <w:color w:val="333333"/>
          <w:sz w:val="22"/>
          <w:szCs w:val="22"/>
        </w:rPr>
        <w:t xml:space="preserve">9.6 Indemnity Procedures. The indemnified party shall give prompt written notice, grant sole control of the defense (no settlement imposing nonmonetary obligations without consent), and provide reasonable cooperation at the indemnifying party's expense.</w:t>
      </w:r>
    </w:p>
    <w:p>
      <w:pPr>
        <w:pStyle w:val="Heading2"/>
        <w:spacing w:after="120" w:before="240"/>
      </w:pPr>
      <w:r>
        <w:rPr>
          <w:rFonts w:ascii="Calibri" w:cs="Calibri" w:eastAsia="Calibri" w:hAnsi="Calibri"/>
          <w:b/>
          <w:bCs/>
          <w:color w:val="1a1a2e"/>
          <w:sz w:val="24"/>
          <w:szCs w:val="24"/>
        </w:rPr>
        <w:t xml:space="preserve">10. Limitation of Liability</w:t>
      </w:r>
    </w:p>
    <w:p>
      <w:pPr>
        <w:spacing w:after="160"/>
        <w:jc w:val="left"/>
      </w:pPr>
      <w:r>
        <w:rPr>
          <w:rFonts w:ascii="Calibri" w:cs="Calibri" w:eastAsia="Calibri" w:hAnsi="Calibri"/>
          <w:color w:val="333333"/>
          <w:sz w:val="22"/>
          <w:szCs w:val="22"/>
        </w:rPr>
        <w:t xml:space="preserve">10.1 Consequential Damages. NEITHER PARTY SHALL BE LIABLE FOR INDIRECT, INCIDENTAL, SPECIAL, CONSEQUENTIAL, EXEMPLARY, OR PUNITIVE DAMAGES, OR LOSS OF PROFITS, REVENUE, OR DATA, ARISING FROM THIS AGREEMENT, REGARDLESS OF THE THEORY OF LIABILITY.</w:t>
      </w:r>
    </w:p>
    <w:p>
      <w:pPr>
        <w:spacing w:after="160"/>
        <w:jc w:val="left"/>
      </w:pPr>
      <w:r>
        <w:rPr>
          <w:rFonts w:ascii="Calibri" w:cs="Calibri" w:eastAsia="Calibri" w:hAnsi="Calibri"/>
          <w:color w:val="333333"/>
          <w:sz w:val="22"/>
          <w:szCs w:val="22"/>
        </w:rPr>
        <w:t xml:space="preserve">10.2 Aggregate Cap. EACH PARTY'S TOTAL AGGREGATE LIABILITY SHALL NOT EXCEED THE FEES PAID OR PAYABLE IN THE [12]-MONTH PERIOD PRECEDING THE EVENT.</w:t>
      </w:r>
    </w:p>
    <w:p>
      <w:pPr>
        <w:spacing w:after="160"/>
        <w:jc w:val="left"/>
      </w:pPr>
      <w:r>
        <w:rPr>
          <w:rFonts w:ascii="Calibri" w:cs="Calibri" w:eastAsia="Calibri" w:hAnsi="Calibri"/>
          <w:color w:val="333333"/>
          <w:sz w:val="22"/>
          <w:szCs w:val="22"/>
        </w:rPr>
        <w:t xml:space="preserve">10.3 Carve-Outs. The limitations in Sections 10.1 and 10.2 do not apply to: (a) payment obligations; (b) unauthorized use of the other party's intellectual property; (c) breach of confidentiality or data-security obligations (subject to a super-cap of [2x] the aggregate cap); (d) indemnification obligations; or (e) liability arising from gross negligence or willful misconduct, to the extent such carve-outs are enforceable.</w:t>
      </w:r>
    </w:p>
    <w:p>
      <w:r>
        <w:br w:type="page"/>
      </w:r>
    </w:p>
    <w:p>
      <w:pPr>
        <w:pStyle w:val="Heading2"/>
        <w:spacing w:after="120" w:before="240"/>
      </w:pPr>
      <w:r>
        <w:rPr>
          <w:rFonts w:ascii="Calibri" w:cs="Calibri" w:eastAsia="Calibri" w:hAnsi="Calibri"/>
          <w:b/>
          <w:bCs/>
          <w:color w:val="1a1a2e"/>
          <w:sz w:val="24"/>
          <w:szCs w:val="24"/>
        </w:rPr>
        <w:t xml:space="preserve">11. Term and Termination</w:t>
      </w:r>
    </w:p>
    <w:p>
      <w:pPr>
        <w:spacing w:after="160"/>
        <w:jc w:val="left"/>
      </w:pPr>
      <w:r>
        <w:rPr>
          <w:rFonts w:ascii="Calibri" w:cs="Calibri" w:eastAsia="Calibri" w:hAnsi="Calibri"/>
          <w:color w:val="333333"/>
          <w:sz w:val="22"/>
          <w:szCs w:val="22"/>
        </w:rPr>
        <w:t xml:space="preserve">11.1 Term. This Agreement begins on the Effective Date and continues for the Initial Term stated in the Agreement Summary, automatically renewing for successive [1-YEAR] periods unless either party provides written notice of non-renewal at least [60] days before the end of the then-current term.</w:t>
      </w:r>
    </w:p>
    <w:p>
      <w:pPr>
        <w:spacing w:after="160"/>
        <w:jc w:val="left"/>
      </w:pPr>
      <w:r>
        <w:rPr>
          <w:rFonts w:ascii="Calibri" w:cs="Calibri" w:eastAsia="Calibri" w:hAnsi="Calibri"/>
          <w:color w:val="333333"/>
          <w:sz w:val="22"/>
          <w:szCs w:val="22"/>
        </w:rPr>
        <w:t xml:space="preserve">11.2 Termination for Cause. Either party may terminate upon [30] days' written notice if the other party materially breaches this Agreement and fails to cure within the notice period. Either party may terminate immediately upon the other party's insolvency, bankruptcy filing, or assignment for the benefit of creditors, to the extent permitted by law.</w:t>
      </w:r>
    </w:p>
    <w:p>
      <w:pPr>
        <w:spacing w:after="160"/>
        <w:jc w:val="left"/>
      </w:pPr>
      <w:r>
        <w:rPr>
          <w:rFonts w:ascii="Calibri" w:cs="Calibri" w:eastAsia="Calibri" w:hAnsi="Calibri"/>
          <w:color w:val="333333"/>
          <w:sz w:val="22"/>
          <w:szCs w:val="22"/>
        </w:rPr>
        <w:t xml:space="preserve">11.3 Immediate Termination. Licensor may terminate this Agreement immediately upon written notice if VAR: (a) accesses or attempts to access the Software source code without authorization; (b) creates a material security threat to the Software, Licensor's systems, or End Users; (c) distributes the Software in violation of export-control or sanctions laws; or (d) engages in conduct that materially damages Licensor's reputation or the Software brand.</w:t>
      </w:r>
    </w:p>
    <w:p>
      <w:pPr>
        <w:spacing w:after="160"/>
        <w:jc w:val="left"/>
      </w:pPr>
      <w:r>
        <w:rPr>
          <w:rFonts w:ascii="Calibri" w:cs="Calibri" w:eastAsia="Calibri" w:hAnsi="Calibri"/>
          <w:color w:val="333333"/>
          <w:sz w:val="22"/>
          <w:szCs w:val="22"/>
        </w:rPr>
        <w:t xml:space="preserve">11.4 Effect of Termination. Upon termination or expiration: (a) VAR shall immediately cease all new distribution of the Software and Integrated Products; (b) VAR shall remove Licensor branding from its materials and properties within [30] days; (c) VAR shall return or destroy all Licensor Confidential Information, Software copies, and materials within [30] days and certify destruction in writing; (d) VAR shall submit a final Transaction report and pay all outstanding fees within [30] days; and (e) VAR shall cooperate with Licensor in transitioning End User relationships as directed.</w:t>
      </w:r>
    </w:p>
    <w:p>
      <w:pPr>
        <w:spacing w:after="160"/>
        <w:jc w:val="left"/>
      </w:pPr>
      <w:r>
        <w:rPr>
          <w:rFonts w:ascii="Calibri" w:cs="Calibri" w:eastAsia="Calibri" w:hAnsi="Calibri"/>
          <w:color w:val="333333"/>
          <w:sz w:val="22"/>
          <w:szCs w:val="22"/>
        </w:rPr>
        <w:t xml:space="preserve">11.5 End-User Continuity. Upon termination, existing End User licenses shall [SURVIVE for the remainder of their then-current subscription term / TERMINATE upon [90] days' notice to End Users / MIGRATE to a direct Licensor relationship upon mutual agreement], as specified in Exhibit B. VAR may continue to fulfill committed orders placed before the termination date for a sell-off period of [30] days, subject to continued compliance with this Agreement and payment of applicable fees.</w:t>
      </w:r>
    </w:p>
    <w:p>
      <w:pPr>
        <w:spacing w:after="160"/>
        <w:jc w:val="left"/>
      </w:pPr>
      <w:r>
        <w:rPr>
          <w:rFonts w:ascii="Calibri" w:cs="Calibri" w:eastAsia="Calibri" w:hAnsi="Calibri"/>
          <w:color w:val="333333"/>
          <w:sz w:val="22"/>
          <w:szCs w:val="22"/>
        </w:rPr>
        <w:t xml:space="preserve">11.6 Survival. Sections 1, 7 (IP), 8 (Confidentiality), 9.3–9.6 (Disclaimer, Indemnity), 10 (Liability), 11.4–11.6 (Post-Termination), and 12 (General) survive termination.</w:t>
      </w:r>
    </w:p>
    <w:p>
      <w:pPr>
        <w:pStyle w:val="Heading2"/>
        <w:spacing w:after="120" w:before="240"/>
      </w:pPr>
      <w:r>
        <w:rPr>
          <w:rFonts w:ascii="Calibri" w:cs="Calibri" w:eastAsia="Calibri" w:hAnsi="Calibri"/>
          <w:b/>
          <w:bCs/>
          <w:color w:val="1a1a2e"/>
          <w:sz w:val="24"/>
          <w:szCs w:val="24"/>
        </w:rPr>
        <w:t xml:space="preserve">12. General Provisions</w:t>
      </w:r>
    </w:p>
    <w:p>
      <w:pPr>
        <w:spacing w:after="160"/>
        <w:jc w:val="left"/>
      </w:pPr>
      <w:r>
        <w:rPr>
          <w:rFonts w:ascii="Calibri" w:cs="Calibri" w:eastAsia="Calibri" w:hAnsi="Calibri"/>
          <w:color w:val="333333"/>
          <w:sz w:val="22"/>
          <w:szCs w:val="22"/>
        </w:rPr>
        <w:t xml:space="preserve">12.1 Independent Contractors. The parties are independent contractors. Nothing in this Agreement creates an employment, agency, joint venture, partnership, or franchise relationship. Neither party may bind the other without express written authority.</w:t>
      </w:r>
    </w:p>
    <w:p>
      <w:pPr>
        <w:spacing w:after="160"/>
        <w:jc w:val="left"/>
      </w:pPr>
      <w:r>
        <w:rPr>
          <w:rFonts w:ascii="Calibri" w:cs="Calibri" w:eastAsia="Calibri" w:hAnsi="Calibri"/>
          <w:color w:val="333333"/>
          <w:sz w:val="22"/>
          <w:szCs w:val="22"/>
        </w:rPr>
        <w:t xml:space="preserve">12.2 Assignment. Neither party may assign without prior written consent (not unreasonably withheld), except in connection with a merger, acquisition, or sale of substantially all relevant assets, provided the successor assumes all obligations and is not a direct competitor of the non-assigning party.</w:t>
      </w:r>
    </w:p>
    <w:p>
      <w:pPr>
        <w:spacing w:after="160"/>
        <w:jc w:val="left"/>
      </w:pPr>
      <w:r>
        <w:rPr>
          <w:rFonts w:ascii="Calibri" w:cs="Calibri" w:eastAsia="Calibri" w:hAnsi="Calibri"/>
          <w:color w:val="333333"/>
          <w:sz w:val="22"/>
          <w:szCs w:val="22"/>
        </w:rPr>
        <w:t xml:space="preserve">12.3 Export Compliance. Each party shall comply with applicable export-control and economic-sanctions laws. VAR shall not distribute the Software to prohibited destinations, entities, or persons, and shall screen End Users as required by law.</w:t>
      </w:r>
    </w:p>
    <w:p>
      <w:pPr>
        <w:spacing w:after="160"/>
        <w:jc w:val="left"/>
      </w:pPr>
      <w:r>
        <w:rPr>
          <w:rFonts w:ascii="Calibri" w:cs="Calibri" w:eastAsia="Calibri" w:hAnsi="Calibri"/>
          <w:color w:val="333333"/>
          <w:sz w:val="22"/>
          <w:szCs w:val="22"/>
        </w:rPr>
        <w:t xml:space="preserve">12.4 Anti-Corruption. Each party shall comply with applicable anti-corruption laws, including the U.S. Foreign Corrupt Practices Act and the UK Bribery Act, and shall not make or receive improper payments in connection with this Agreement.</w:t>
      </w:r>
    </w:p>
    <w:p>
      <w:pPr>
        <w:spacing w:after="160"/>
        <w:jc w:val="left"/>
      </w:pPr>
      <w:r>
        <w:rPr>
          <w:rFonts w:ascii="Calibri" w:cs="Calibri" w:eastAsia="Calibri" w:hAnsi="Calibri"/>
          <w:color w:val="333333"/>
          <w:sz w:val="22"/>
          <w:szCs w:val="22"/>
        </w:rPr>
        <w:t xml:space="preserve">12.5 Force Majeure. Neither party is liable for delay caused by events beyond reasonable control, provided the affected party gives prompt notice and uses reasonable mitigation efforts. Force majeure does not excuse payment obligations.</w:t>
      </w:r>
    </w:p>
    <w:p>
      <w:pPr>
        <w:spacing w:after="160"/>
        <w:jc w:val="left"/>
      </w:pPr>
      <w:r>
        <w:rPr>
          <w:rFonts w:ascii="Calibri" w:cs="Calibri" w:eastAsia="Calibri" w:hAnsi="Calibri"/>
          <w:color w:val="333333"/>
          <w:sz w:val="22"/>
          <w:szCs w:val="22"/>
        </w:rPr>
        <w:t xml:space="preserve">12.6 Governing Law. This Agreement is governed by the laws of the State of [STATE], without regard to conflict-of-laws principles. The parties consent to exclusive jurisdiction in the [state and federal] courts of [COUNTY, STATE].</w:t>
      </w:r>
    </w:p>
    <w:p>
      <w:pPr>
        <w:spacing w:after="160"/>
        <w:jc w:val="left"/>
      </w:pPr>
      <w:r>
        <w:rPr>
          <w:rFonts w:ascii="Calibri" w:cs="Calibri" w:eastAsia="Calibri" w:hAnsi="Calibri"/>
          <w:color w:val="333333"/>
          <w:sz w:val="22"/>
          <w:szCs w:val="22"/>
        </w:rPr>
        <w:t xml:space="preserve">12.7 Order of Precedence. In the event of conflict: (1) Exhibit E (Data/Security); (2) this Agreement; (3) Exhibit A (Software/Products); (4) Exhibit C (Fees/Territory); (5) Exhibit D (Support/Warranty); (6) Exhibit B (EULA); (7) Exhibit F (Marks). Purchase orders are administrative only.</w:t>
      </w:r>
    </w:p>
    <w:p>
      <w:pPr>
        <w:spacing w:after="160"/>
        <w:jc w:val="left"/>
      </w:pPr>
      <w:r>
        <w:rPr>
          <w:rFonts w:ascii="Calibri" w:cs="Calibri" w:eastAsia="Calibri" w:hAnsi="Calibri"/>
          <w:color w:val="333333"/>
          <w:sz w:val="22"/>
          <w:szCs w:val="22"/>
        </w:rPr>
        <w:t xml:space="preserve">12.8 Notices. Written notices to addresses in the Agreement Summary by personal delivery, overnight courier, or email with confirmation. Notices are effective upon receipt.</w:t>
      </w:r>
    </w:p>
    <w:p>
      <w:pPr>
        <w:spacing w:after="160"/>
        <w:jc w:val="left"/>
      </w:pPr>
      <w:r>
        <w:rPr>
          <w:rFonts w:ascii="Calibri" w:cs="Calibri" w:eastAsia="Calibri" w:hAnsi="Calibri"/>
          <w:color w:val="333333"/>
          <w:sz w:val="22"/>
          <w:szCs w:val="22"/>
        </w:rPr>
        <w:t xml:space="preserve">12.9 Insurance. VAR shall maintain commercial general liability insurance of at least $[1,000,000] per occurrence and cyber liability insurance of at least $[1,000,000] per claim if processing End User data. Certificates provided upon request.</w:t>
      </w:r>
    </w:p>
    <w:p>
      <w:pPr>
        <w:spacing w:after="160"/>
        <w:jc w:val="left"/>
      </w:pPr>
      <w:r>
        <w:rPr>
          <w:rFonts w:ascii="Calibri" w:cs="Calibri" w:eastAsia="Calibri" w:hAnsi="Calibri"/>
          <w:color w:val="333333"/>
          <w:sz w:val="22"/>
          <w:szCs w:val="22"/>
        </w:rPr>
        <w:t xml:space="preserve">12.10 Entire Agreement. This Agreement and Exhibits constitute the entire agreement and supersede all prior negotiations. Amendments require signed writing.</w:t>
      </w:r>
    </w:p>
    <w:p>
      <w:pPr>
        <w:spacing w:after="160"/>
        <w:jc w:val="left"/>
      </w:pPr>
      <w:r>
        <w:rPr>
          <w:rFonts w:ascii="Calibri" w:cs="Calibri" w:eastAsia="Calibri" w:hAnsi="Calibri"/>
          <w:color w:val="333333"/>
          <w:sz w:val="22"/>
          <w:szCs w:val="22"/>
        </w:rPr>
        <w:t xml:space="preserve">12.11 Severability; Waiver; Counterparts. Standard provisions apply. Electronic signatures are effective.</w:t>
      </w:r>
    </w:p>
    <w:p>
      <w:pPr>
        <w:spacing w:before="480"/>
      </w:pPr>
    </w:p>
    <w:p>
      <w:pPr>
        <w:pStyle w:val="Heading2"/>
        <w:spacing w:after="120" w:before="240"/>
      </w:pPr>
      <w:r>
        <w:rPr>
          <w:rFonts w:ascii="Calibri" w:cs="Calibri" w:eastAsia="Calibri" w:hAnsi="Calibri"/>
          <w:b/>
          <w:bCs/>
          <w:color w:val="1a1a2e"/>
          <w:sz w:val="24"/>
          <w:szCs w:val="24"/>
        </w:rPr>
        <w:t xml:space="preserve">Signatures</w:t>
      </w:r>
    </w:p>
    <w:p>
      <w:pPr>
        <w:spacing w:before="240"/>
      </w:pPr>
    </w:p>
    <w:p>
      <w:pPr>
        <w:spacing w:after="160"/>
        <w:jc w:val="left"/>
      </w:pPr>
      <w:r>
        <w:rPr>
          <w:rFonts w:ascii="Calibri" w:cs="Calibri" w:eastAsia="Calibri" w:hAnsi="Calibri"/>
          <w:b/>
          <w:bCs/>
          <w:color w:val="333333"/>
          <w:sz w:val="22"/>
          <w:szCs w:val="22"/>
        </w:rPr>
        <w:t xml:space="preserve">LICENSOR</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[NAME]  |  Title: [TITLE]  |  Date: [DATE]</w:t>
      </w:r>
    </w:p>
    <w:p>
      <w:pPr>
        <w:spacing w:before="360"/>
      </w:pPr>
    </w:p>
    <w:p>
      <w:pPr>
        <w:spacing w:after="160"/>
        <w:jc w:val="left"/>
      </w:pPr>
      <w:r>
        <w:rPr>
          <w:rFonts w:ascii="Calibri" w:cs="Calibri" w:eastAsia="Calibri" w:hAnsi="Calibri"/>
          <w:b/>
          <w:bCs/>
          <w:color w:val="333333"/>
          <w:sz w:val="22"/>
          <w:szCs w:val="22"/>
        </w:rPr>
        <w:t xml:space="preserve">VAR</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[NAME]  |  Title: [TITLE]  |  Date: [DATE]</w:t>
      </w:r>
    </w:p>
    <w:p>
      <w:r>
        <w:br w:type="page"/>
      </w:r>
    </w:p>
    <w:p>
      <w:pPr>
        <w:pStyle w:val="Heading2"/>
        <w:spacing w:after="120" w:before="240"/>
      </w:pPr>
      <w:r>
        <w:rPr>
          <w:rFonts w:ascii="Calibri" w:cs="Calibri" w:eastAsia="Calibri" w:hAnsi="Calibri"/>
          <w:b/>
          <w:bCs/>
          <w:color w:val="1a1a2e"/>
          <w:sz w:val="24"/>
          <w:szCs w:val="24"/>
        </w:rPr>
        <w:t xml:space="preserve">Exhibit A — Software, Integrated Products, and IP Allocation</w:t>
      </w:r>
    </w:p>
    <w:p>
      <w:pPr>
        <w:spacing w:after="160"/>
        <w:jc w:val="left"/>
      </w:pPr>
      <w:r>
        <w:rPr>
          <w:rFonts w:ascii="Calibri" w:cs="Calibri" w:eastAsia="Calibri" w:hAnsi="Calibri"/>
          <w:color w:val="333333"/>
          <w:sz w:val="22"/>
          <w:szCs w:val="22"/>
        </w:rPr>
        <w:t xml:space="preserve">[Identify: Software name, version, and components licensed; permitted Integrated Products and integration methods; Field of use; permitted modifications, API/SDK usage, and localization rights; integration code ownership allocation; documentation and technical specifications; export classification.]</w:t>
      </w:r>
    </w:p>
    <w:p>
      <w:pPr>
        <w:spacing w:before="300"/>
      </w:pPr>
    </w:p>
    <w:p>
      <w:pPr>
        <w:pStyle w:val="Heading2"/>
        <w:spacing w:after="120" w:before="240"/>
      </w:pPr>
      <w:r>
        <w:rPr>
          <w:rFonts w:ascii="Calibri" w:cs="Calibri" w:eastAsia="Calibri" w:hAnsi="Calibri"/>
          <w:b/>
          <w:bCs/>
          <w:color w:val="1a1a2e"/>
          <w:sz w:val="24"/>
          <w:szCs w:val="24"/>
        </w:rPr>
        <w:t xml:space="preserve">Exhibit B — Minimum EULA Terms</w:t>
      </w:r>
    </w:p>
    <w:p>
      <w:pPr>
        <w:spacing w:after="160"/>
        <w:jc w:val="left"/>
      </w:pPr>
      <w:r>
        <w:rPr>
          <w:rFonts w:ascii="Calibri" w:cs="Calibri" w:eastAsia="Calibri" w:hAnsi="Calibri"/>
          <w:color w:val="333333"/>
          <w:sz w:val="22"/>
          <w:szCs w:val="22"/>
        </w:rPr>
        <w:t xml:space="preserve">[Include complete minimum EULA clauses that VAR must incorporate: license grant and scope, ownership and IP notices, use restrictions and prohibited conduct, confidentiality (where applicable), warranty disclaimers, limitation of liability, export/sanctions compliance, termination and post-termination obligations, Licensor enforcement rights as third-party beneficiary, governing law. Specify assent method and record-retention requirements.]</w:t>
      </w:r>
    </w:p>
    <w:p>
      <w:pPr>
        <w:spacing w:before="300"/>
      </w:pPr>
    </w:p>
    <w:p>
      <w:pPr>
        <w:pStyle w:val="Heading2"/>
        <w:spacing w:after="120" w:before="240"/>
      </w:pPr>
      <w:r>
        <w:rPr>
          <w:rFonts w:ascii="Calibri" w:cs="Calibri" w:eastAsia="Calibri" w:hAnsi="Calibri"/>
          <w:b/>
          <w:bCs/>
          <w:color w:val="1a1a2e"/>
          <w:sz w:val="24"/>
          <w:szCs w:val="24"/>
        </w:rPr>
        <w:t xml:space="preserve">Exhibit C — Territory, Fees, and Reporting</w:t>
      </w:r>
    </w:p>
    <w:p>
      <w:pPr>
        <w:spacing w:after="160"/>
        <w:jc w:val="left"/>
      </w:pPr>
      <w:r>
        <w:rPr>
          <w:rFonts w:ascii="Calibri" w:cs="Calibri" w:eastAsia="Calibri" w:hAnsi="Calibri"/>
          <w:color w:val="333333"/>
          <w:sz w:val="22"/>
          <w:szCs w:val="22"/>
        </w:rPr>
        <w:t xml:space="preserve">[Specify: Territory boundaries and customer segments; exclusivity terms and minimum performance targets (if applicable); fee structure (per-unit, revenue share percentage, minimums); payment schedule and currency; discount and bundle rules; refund, chargeback, and credit treatment; reporting template and deadlines; renewal pricing; merchant-of-record allocation by Transaction type.]</w:t>
      </w:r>
    </w:p>
    <w:p>
      <w:pPr>
        <w:spacing w:before="300"/>
      </w:pPr>
    </w:p>
    <w:p>
      <w:pPr>
        <w:pStyle w:val="Heading2"/>
        <w:spacing w:after="120" w:before="240"/>
      </w:pPr>
      <w:r>
        <w:rPr>
          <w:rFonts w:ascii="Calibri" w:cs="Calibri" w:eastAsia="Calibri" w:hAnsi="Calibri"/>
          <w:b/>
          <w:bCs/>
          <w:color w:val="1a1a2e"/>
          <w:sz w:val="24"/>
          <w:szCs w:val="24"/>
        </w:rPr>
        <w:t xml:space="preserve">Exhibit D — Support and Warranty</w:t>
      </w:r>
    </w:p>
    <w:p>
      <w:pPr>
        <w:spacing w:after="160"/>
        <w:jc w:val="left"/>
      </w:pPr>
      <w:r>
        <w:rPr>
          <w:rFonts w:ascii="Calibri" w:cs="Calibri" w:eastAsia="Calibri" w:hAnsi="Calibri"/>
          <w:color w:val="333333"/>
          <w:sz w:val="22"/>
          <w:szCs w:val="22"/>
        </w:rPr>
        <w:t xml:space="preserve">[Include: first-line (VAR) and second-line (Licensor) support RACI; escalation procedures; response times by severity; Licensor's limited Software warranty (scope, duration, remedy); update and maintenance schedule; end-of-life and migration support commitments.]</w:t>
      </w:r>
    </w:p>
    <w:p>
      <w:pPr>
        <w:spacing w:before="300"/>
      </w:pPr>
    </w:p>
    <w:p>
      <w:pPr>
        <w:pStyle w:val="Heading2"/>
        <w:spacing w:after="120" w:before="240"/>
      </w:pPr>
      <w:r>
        <w:rPr>
          <w:rFonts w:ascii="Calibri" w:cs="Calibri" w:eastAsia="Calibri" w:hAnsi="Calibri"/>
          <w:b/>
          <w:bCs/>
          <w:color w:val="1a1a2e"/>
          <w:sz w:val="24"/>
          <w:szCs w:val="24"/>
        </w:rPr>
        <w:t xml:space="preserve">Exhibit E — Data, Security, and Privacy</w:t>
      </w:r>
    </w:p>
    <w:p>
      <w:pPr>
        <w:spacing w:after="160"/>
        <w:jc w:val="left"/>
      </w:pPr>
      <w:r>
        <w:rPr>
          <w:rFonts w:ascii="Calibri" w:cs="Calibri" w:eastAsia="Calibri" w:hAnsi="Calibri"/>
          <w:color w:val="333333"/>
          <w:sz w:val="22"/>
          <w:szCs w:val="22"/>
        </w:rPr>
        <w:t xml:space="preserve">[Specify: data-processing roles (controller/processor); categories of data processed; lawful purpose for each data flow; security controls and standards; incident notification procedures and timelines; subprocessor approval process; data retention and deletion; cross-border transfer mechanisms; End User data-request handling and routing; audit rights.]</w:t>
      </w:r>
    </w:p>
    <w:p>
      <w:pPr>
        <w:spacing w:before="300"/>
      </w:pPr>
    </w:p>
    <w:p>
      <w:pPr>
        <w:pStyle w:val="Heading2"/>
        <w:spacing w:after="120" w:before="240"/>
      </w:pPr>
      <w:r>
        <w:rPr>
          <w:rFonts w:ascii="Calibri" w:cs="Calibri" w:eastAsia="Calibri" w:hAnsi="Calibri"/>
          <w:b/>
          <w:bCs/>
          <w:color w:val="1a1a2e"/>
          <w:sz w:val="24"/>
          <w:szCs w:val="24"/>
        </w:rPr>
        <w:t xml:space="preserve">Exhibit F — Trademark Usage and Brand Guidelines</w:t>
      </w:r>
    </w:p>
    <w:p>
      <w:pPr>
        <w:spacing w:after="160"/>
        <w:jc w:val="left"/>
      </w:pPr>
      <w:r>
        <w:rPr>
          <w:rFonts w:ascii="Calibri" w:cs="Calibri" w:eastAsia="Calibri" w:hAnsi="Calibri"/>
          <w:color w:val="333333"/>
          <w:sz w:val="22"/>
          <w:szCs w:val="22"/>
        </w:rPr>
        <w:t xml:space="preserve">[Include: approved Marks and logos with usage specifications; brand guidelines and quality-control standards; approved marketing materials; co-branding rules; social media and domain-name restrictions; approval process for new materials; review and correction procedures.]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Montague Law  |  montague.law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555555"/>
        <w:sz w:val="18"/>
        <w:szCs w:val="18"/>
      </w:rPr>
      <w:t xml:space="preserve">Software Value-Added Reseller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2026-08-22T17:26:30.684Z</dcterms:created>
  <dcterms:modified xsi:type="dcterms:W3CDTF">2026-08-22T17:26:30.685Z</dcterms:modified>
</cp:coreProperties>
</file>

<file path=docProps/custom.xml><?xml version="1.0" encoding="utf-8"?>
<Properties xmlns="http://schemas.openxmlformats.org/officeDocument/2006/custom-properties" xmlns:vt="http://schemas.openxmlformats.org/officeDocument/2006/docPropsVTypes"/>
</file>