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SOFTWARE DEVELOPMENT AGREEMENT</w:t>
      </w:r>
    </w:p>
    <w:p>
      <w:pPr>
        <w:spacing w:after="360"/>
        <w:jc w:val="center"/>
      </w:pPr>
      <w:r>
        <w:rPr>
          <w:rFonts w:ascii="Calibri" w:cs="Calibri" w:eastAsia="Calibri" w:hAnsi="Calibri"/>
          <w:i/>
          <w:iCs/>
          <w:color w:val="555555"/>
          <w:sz w:val="24"/>
          <w:szCs w:val="24"/>
        </w:rPr>
        <w:t xml:space="preserve">Custom Software Engagement</w:t>
      </w:r>
    </w:p>
    <w:p>
      <w:pPr>
        <w:pStyle w:val="Heading2"/>
        <w:spacing w:after="120" w:before="240"/>
      </w:pPr>
      <w:r>
        <w:rPr>
          <w:rFonts w:ascii="Calibri" w:cs="Calibri" w:eastAsia="Calibri" w:hAnsi="Calibri"/>
          <w:b/>
          <w:bCs/>
          <w:color w:val="1a1a2e"/>
          <w:sz w:val="24"/>
          <w:szCs w:val="24"/>
        </w:rPr>
        <w:t xml:space="preserve">Agreement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Effective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Developer: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[DEVELOPER LEGAL 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Customer: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[CUSTOMER LEGAL 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Project:</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[PROJECT NAME / DESCRIPTION]</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IP Model:</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[Developer-Owned / Customer-Owned / Split]</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Total Fees: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$[AMOUNT] [Fixed Price / T&amp;M / Hybrid]</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Governing Law:</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[STATE]</w:t>
            </w:r>
          </w:p>
        </w:tc>
      </w:tr>
    </w:tbl>
    <w:p>
      <w:pPr>
        <w:spacing w:after="240"/>
      </w:pPr>
    </w:p>
    <w:p>
      <w:pPr>
        <w:spacing w:after="160"/>
        <w:jc w:val="left"/>
      </w:pPr>
      <w:r>
        <w:rPr>
          <w:rFonts w:ascii="Calibri" w:cs="Calibri" w:eastAsia="Calibri" w:hAnsi="Calibri"/>
          <w:color w:val="333333"/>
          <w:sz w:val="22"/>
          <w:szCs w:val="22"/>
        </w:rPr>
        <w:t xml:space="preserve">This Software Development Agreement (this "Agreement") is entered into as of the Effective Date stated above between Developer and Customer. Developer is engaged in the business of software development and related services. Customer desires to engage Developer to design, develop, and deliver the software and related deliverables described in the Development Plan (Exhibit A). The parties agree as follows.</w:t>
      </w:r>
    </w:p>
    <w:p>
      <w:pPr>
        <w:pStyle w:val="Heading2"/>
        <w:spacing w:after="120" w:before="240"/>
      </w:pPr>
      <w:r>
        <w:rPr>
          <w:rFonts w:ascii="Calibri" w:cs="Calibri" w:eastAsia="Calibri" w:hAnsi="Calibri"/>
          <w:b/>
          <w:bCs/>
          <w:color w:val="1a1a2e"/>
          <w:sz w:val="24"/>
          <w:szCs w:val="24"/>
        </w:rPr>
        <w:t xml:space="preserve">1. Definitions</w:t>
      </w:r>
    </w:p>
    <w:p>
      <w:pPr>
        <w:spacing w:after="160"/>
        <w:jc w:val="left"/>
      </w:pPr>
      <w:r>
        <w:rPr>
          <w:rFonts w:ascii="Calibri" w:cs="Calibri" w:eastAsia="Calibri" w:hAnsi="Calibri"/>
          <w:color w:val="333333"/>
          <w:sz w:val="22"/>
          <w:szCs w:val="22"/>
        </w:rPr>
        <w:t xml:space="preserve">"Acceptance" means written confirmation that a Deliverable materially conforms to its acceptance criteria under Section 4, deemed acceptance under Section 4.4, or production use other than testing.</w:t>
      </w:r>
    </w:p>
    <w:p>
      <w:pPr>
        <w:spacing w:after="160"/>
        <w:jc w:val="left"/>
      </w:pPr>
      <w:r>
        <w:rPr>
          <w:rFonts w:ascii="Calibri" w:cs="Calibri" w:eastAsia="Calibri" w:hAnsi="Calibri"/>
          <w:color w:val="333333"/>
          <w:sz w:val="22"/>
          <w:szCs w:val="22"/>
        </w:rPr>
        <w:t xml:space="preserve">"Business Day" means a day other than a Saturday, Sunday, or federal holiday on which banks in [CITY, STATE] are open for business.</w:t>
      </w:r>
    </w:p>
    <w:p>
      <w:pPr>
        <w:spacing w:after="160"/>
        <w:jc w:val="left"/>
      </w:pPr>
      <w:r>
        <w:rPr>
          <w:rFonts w:ascii="Calibri" w:cs="Calibri" w:eastAsia="Calibri" w:hAnsi="Calibri"/>
          <w:color w:val="333333"/>
          <w:sz w:val="22"/>
          <w:szCs w:val="22"/>
        </w:rPr>
        <w:t xml:space="preserve">"Change Order" means a written amendment signed by both parties' Authorized Representatives that modifies scope, schedule, fees, acceptance criteria, or other material terms of a Development Plan.</w:t>
      </w:r>
    </w:p>
    <w:p>
      <w:pPr>
        <w:spacing w:after="160"/>
        <w:jc w:val="left"/>
      </w:pPr>
      <w:r>
        <w:rPr>
          <w:rFonts w:ascii="Calibri" w:cs="Calibri" w:eastAsia="Calibri" w:hAnsi="Calibri"/>
          <w:color w:val="333333"/>
          <w:sz w:val="22"/>
          <w:szCs w:val="22"/>
        </w:rPr>
        <w:t xml:space="preserve">"Customer Materials" means all content, data, trademarks, specifications, credentials, test data, and other materials provided by Customer for use in the project, together with all intellectual property rights therein.</w:t>
      </w:r>
    </w:p>
    <w:p>
      <w:pPr>
        <w:spacing w:after="160"/>
        <w:jc w:val="left"/>
      </w:pPr>
      <w:r>
        <w:rPr>
          <w:rFonts w:ascii="Calibri" w:cs="Calibri" w:eastAsia="Calibri" w:hAnsi="Calibri"/>
          <w:color w:val="333333"/>
          <w:sz w:val="22"/>
          <w:szCs w:val="22"/>
        </w:rPr>
        <w:t xml:space="preserve">"Deliverables" means the software, documentation, and other items identified for delivery in Exhibit A, as modified by any Change Order.</w:t>
      </w:r>
    </w:p>
    <w:p>
      <w:pPr>
        <w:spacing w:after="160"/>
        <w:jc w:val="left"/>
      </w:pPr>
      <w:r>
        <w:rPr>
          <w:rFonts w:ascii="Calibri" w:cs="Calibri" w:eastAsia="Calibri" w:hAnsi="Calibri"/>
          <w:color w:val="333333"/>
          <w:sz w:val="22"/>
          <w:szCs w:val="22"/>
        </w:rPr>
        <w:t xml:space="preserve">"Developer Materials" means Developer's pre-existing technology, tools, libraries, frameworks, models, templates, generic routines, methodologies, and know-how, including improvements thereto that do not uniquely embody Customer Confidential Information, together with all intellectual property rights therein.</w:t>
      </w:r>
    </w:p>
    <w:p>
      <w:pPr>
        <w:spacing w:after="160"/>
        <w:jc w:val="left"/>
      </w:pPr>
      <w:r>
        <w:rPr>
          <w:rFonts w:ascii="Calibri" w:cs="Calibri" w:eastAsia="Calibri" w:hAnsi="Calibri"/>
          <w:color w:val="333333"/>
          <w:sz w:val="22"/>
          <w:szCs w:val="22"/>
        </w:rPr>
        <w:t xml:space="preserve">"Documentation" means user guides, technical specifications, API references, architecture diagrams, build/deploy instructions, and other written materials delivered with the software.</w:t>
      </w:r>
    </w:p>
    <w:p>
      <w:pPr>
        <w:spacing w:after="160"/>
        <w:jc w:val="left"/>
      </w:pPr>
      <w:r>
        <w:rPr>
          <w:rFonts w:ascii="Calibri" w:cs="Calibri" w:eastAsia="Calibri" w:hAnsi="Calibri"/>
          <w:color w:val="333333"/>
          <w:sz w:val="22"/>
          <w:szCs w:val="22"/>
        </w:rPr>
        <w:t xml:space="preserve">"Milestone" means a defined phase of work in Exhibit A with specified deliverables, acceptance criteria, target date, and associated fees.</w:t>
      </w:r>
    </w:p>
    <w:p>
      <w:pPr>
        <w:spacing w:after="160"/>
        <w:jc w:val="left"/>
      </w:pPr>
      <w:r>
        <w:rPr>
          <w:rFonts w:ascii="Calibri" w:cs="Calibri" w:eastAsia="Calibri" w:hAnsi="Calibri"/>
          <w:color w:val="333333"/>
          <w:sz w:val="22"/>
          <w:szCs w:val="22"/>
        </w:rPr>
        <w:t xml:space="preserve">"Open Source Software" means software distributed under a license approved by the Open Source Initiative or a substantially similar license, including permissive licenses (MIT, BSD, Apache 2.0) and copyleft licenses (GPL, LGPL, AGPL, MPL).</w:t>
      </w:r>
    </w:p>
    <w:p>
      <w:pPr>
        <w:spacing w:after="160"/>
        <w:jc w:val="left"/>
      </w:pPr>
      <w:r>
        <w:rPr>
          <w:rFonts w:ascii="Calibri" w:cs="Calibri" w:eastAsia="Calibri" w:hAnsi="Calibri"/>
          <w:color w:val="333333"/>
          <w:sz w:val="22"/>
          <w:szCs w:val="22"/>
        </w:rPr>
        <w:t xml:space="preserve">"Services" means all development, configuration, integration, testing, training, and support services to be performed by Developer under this Agreement and Exhibit A.</w:t>
      </w:r>
    </w:p>
    <w:p>
      <w:pPr>
        <w:spacing w:after="160"/>
        <w:jc w:val="left"/>
      </w:pPr>
      <w:r>
        <w:rPr>
          <w:rFonts w:ascii="Calibri" w:cs="Calibri" w:eastAsia="Calibri" w:hAnsi="Calibri"/>
          <w:color w:val="333333"/>
          <w:sz w:val="22"/>
          <w:szCs w:val="22"/>
        </w:rPr>
        <w:t xml:space="preserve">"Work Product" means all software, code, scripts, configurations, designs, inventions, discoveries, and other materials created by Developer specifically for Customer in performing the Services, excluding Developer Materials and third-party components.</w:t>
      </w:r>
    </w:p>
    <w:p>
      <w:r>
        <w:br w:type="page"/>
      </w:r>
    </w:p>
    <w:p>
      <w:pPr>
        <w:pStyle w:val="Heading2"/>
        <w:spacing w:after="120" w:before="240"/>
      </w:pPr>
      <w:r>
        <w:rPr>
          <w:rFonts w:ascii="Calibri" w:cs="Calibri" w:eastAsia="Calibri" w:hAnsi="Calibri"/>
          <w:b/>
          <w:bCs/>
          <w:color w:val="1a1a2e"/>
          <w:sz w:val="24"/>
          <w:szCs w:val="24"/>
        </w:rPr>
        <w:t xml:space="preserve">2. Project Scope and Governance</w:t>
      </w:r>
    </w:p>
    <w:p>
      <w:pPr>
        <w:spacing w:after="160"/>
        <w:jc w:val="left"/>
      </w:pPr>
      <w:r>
        <w:rPr>
          <w:rFonts w:ascii="Calibri" w:cs="Calibri" w:eastAsia="Calibri" w:hAnsi="Calibri"/>
          <w:color w:val="333333"/>
          <w:sz w:val="22"/>
          <w:szCs w:val="22"/>
        </w:rPr>
        <w:t xml:space="preserve">2.1 Development Plan. Developer shall perform the Services and deliver the Deliverables described in Exhibit A (the "Development Plan"). Each Milestone must state functional and technical requirements, dependencies, delivery format, objective acceptance tests, target date, and associated fees.</w:t>
      </w:r>
    </w:p>
    <w:p>
      <w:pPr>
        <w:spacing w:after="160"/>
        <w:jc w:val="left"/>
      </w:pPr>
      <w:r>
        <w:rPr>
          <w:rFonts w:ascii="Calibri" w:cs="Calibri" w:eastAsia="Calibri" w:hAnsi="Calibri"/>
          <w:color w:val="333333"/>
          <w:sz w:val="22"/>
          <w:szCs w:val="22"/>
        </w:rPr>
        <w:t xml:space="preserve">2.2 Customer Responsibilities. Customer shall timely provide decisions, access, credentials, test data, personnel, content, and lawful materials reasonably necessary for Developer to perform the Services. Customer-caused delay extending beyond [5] Business Days shall extend affected Milestone dates by an equivalent period, subject to a Change Order if the delay materially affects scope or cost.</w:t>
      </w:r>
    </w:p>
    <w:p>
      <w:pPr>
        <w:spacing w:after="160"/>
        <w:jc w:val="left"/>
      </w:pPr>
      <w:r>
        <w:rPr>
          <w:rFonts w:ascii="Calibri" w:cs="Calibri" w:eastAsia="Calibri" w:hAnsi="Calibri"/>
          <w:color w:val="333333"/>
          <w:sz w:val="22"/>
          <w:szCs w:val="22"/>
        </w:rPr>
        <w:t xml:space="preserve">2.3 Project Managers. Each party shall designate an Authorized Representative ("Project Manager") with authority to make day-to-day project decisions, approve deliveries, and execute Change Orders. The parties' Project Managers shall meet [WEEKLY / BI-WEEKLY] and maintain a written decisions, risks, and issues log.</w:t>
      </w:r>
    </w:p>
    <w:p>
      <w:pPr>
        <w:spacing w:after="160"/>
        <w:jc w:val="left"/>
      </w:pPr>
      <w:r>
        <w:rPr>
          <w:rFonts w:ascii="Calibri" w:cs="Calibri" w:eastAsia="Calibri" w:hAnsi="Calibri"/>
          <w:color w:val="333333"/>
          <w:sz w:val="22"/>
          <w:szCs w:val="22"/>
        </w:rPr>
        <w:t xml:space="preserve">2.4 Change Control. No change to scope, architecture, schedule, fees, acceptance criteria, or security requirements is binding unless documented in a Change Order signed by both Project Managers. A Change Order must identify the change, its effect on schedule and fees, any impact on previously accepted work, and any revised acceptance criteria. Developer may suspend affected work while a material Change Order remains unresolved.</w:t>
      </w:r>
    </w:p>
    <w:p>
      <w:pPr>
        <w:spacing w:after="160"/>
        <w:jc w:val="left"/>
      </w:pPr>
      <w:r>
        <w:rPr>
          <w:rFonts w:ascii="Calibri" w:cs="Calibri" w:eastAsia="Calibri" w:hAnsi="Calibri"/>
          <w:color w:val="333333"/>
          <w:sz w:val="22"/>
          <w:szCs w:val="22"/>
        </w:rPr>
        <w:t xml:space="preserve">2.5 Subcontractors. Developer may engage subcontractors with Customer's prior written consent, not to be unreasonably withheld. Developer remains responsible for subcontractor performance and shall ensure each subcontractor is bound by confidentiality, IP assignment, and security obligations no less protective than this Agreement. Developer shall notify Customer of any key-person changes and use commercially reasonable efforts to minimize disruption.</w:t>
      </w:r>
    </w:p>
    <w:p>
      <w:pPr>
        <w:pStyle w:val="Heading2"/>
        <w:spacing w:after="120" w:before="240"/>
      </w:pPr>
      <w:r>
        <w:rPr>
          <w:rFonts w:ascii="Calibri" w:cs="Calibri" w:eastAsia="Calibri" w:hAnsi="Calibri"/>
          <w:b/>
          <w:bCs/>
          <w:color w:val="1a1a2e"/>
          <w:sz w:val="24"/>
          <w:szCs w:val="24"/>
        </w:rPr>
        <w:t xml:space="preserve">3. Fees and Payment</w:t>
      </w:r>
    </w:p>
    <w:p>
      <w:pPr>
        <w:spacing w:after="160"/>
        <w:jc w:val="left"/>
      </w:pPr>
      <w:r>
        <w:rPr>
          <w:rFonts w:ascii="Calibri" w:cs="Calibri" w:eastAsia="Calibri" w:hAnsi="Calibri"/>
          <w:color w:val="333333"/>
          <w:sz w:val="22"/>
          <w:szCs w:val="22"/>
        </w:rPr>
        <w:t xml:space="preserve">3.1 Fees. Customer shall pay the fees stated in Exhibit B in accordance with the payment schedule set forth therein. Fixed-price Milestones are invoiced upon Acceptance. Time-and-materials work is invoiced [MONTHLY] with reasonably detailed time records.</w:t>
      </w:r>
    </w:p>
    <w:p>
      <w:pPr>
        <w:spacing w:after="160"/>
        <w:jc w:val="left"/>
      </w:pPr>
      <w:r>
        <w:rPr>
          <w:rFonts w:ascii="Calibri" w:cs="Calibri" w:eastAsia="Calibri" w:hAnsi="Calibri"/>
          <w:color w:val="333333"/>
          <w:sz w:val="22"/>
          <w:szCs w:val="22"/>
        </w:rPr>
        <w:t xml:space="preserve">3.2 Payment Terms. Invoices are due within [30] days of receipt. Customer shall not withhold or set off undisputed amounts. Customer reimburses pre-approved, documented expenses at cost. Applicable transaction taxes (other than Developer's income taxes) are Customer's responsibility.</w:t>
      </w:r>
    </w:p>
    <w:p>
      <w:pPr>
        <w:spacing w:after="160"/>
        <w:jc w:val="left"/>
      </w:pPr>
      <w:r>
        <w:rPr>
          <w:rFonts w:ascii="Calibri" w:cs="Calibri" w:eastAsia="Calibri" w:hAnsi="Calibri"/>
          <w:color w:val="333333"/>
          <w:sz w:val="22"/>
          <w:szCs w:val="22"/>
        </w:rPr>
        <w:t xml:space="preserve">3.3 Late Payment. Overdue undisputed amounts bear interest at the lesser of [1.0]% per month or the maximum rate permitted by law. Developer may suspend Services upon [10] Business Days' written notice if a material payment remains outstanding, without waiving any other remedy.</w:t>
      </w:r>
    </w:p>
    <w:p>
      <w:pPr>
        <w:spacing w:after="160"/>
        <w:jc w:val="left"/>
      </w:pPr>
      <w:r>
        <w:rPr>
          <w:rFonts w:ascii="Calibri" w:cs="Calibri" w:eastAsia="Calibri" w:hAnsi="Calibri"/>
          <w:color w:val="333333"/>
          <w:sz w:val="22"/>
          <w:szCs w:val="22"/>
        </w:rPr>
        <w:t xml:space="preserve">3.4 Holdback. Customer may withhold [10]% of each Milestone payment as a holdback, payable upon final Acceptance of all Deliverables. [Delete if not applicable.]</w:t>
      </w:r>
    </w:p>
    <w:p>
      <w:pPr>
        <w:pStyle w:val="Heading2"/>
        <w:spacing w:after="120" w:before="240"/>
      </w:pPr>
      <w:r>
        <w:rPr>
          <w:rFonts w:ascii="Calibri" w:cs="Calibri" w:eastAsia="Calibri" w:hAnsi="Calibri"/>
          <w:b/>
          <w:bCs/>
          <w:color w:val="1a1a2e"/>
          <w:sz w:val="24"/>
          <w:szCs w:val="24"/>
        </w:rPr>
        <w:t xml:space="preserve">4. Delivery and Acceptance</w:t>
      </w:r>
    </w:p>
    <w:p>
      <w:pPr>
        <w:spacing w:after="160"/>
        <w:jc w:val="left"/>
      </w:pPr>
      <w:r>
        <w:rPr>
          <w:rFonts w:ascii="Calibri" w:cs="Calibri" w:eastAsia="Calibri" w:hAnsi="Calibri"/>
          <w:color w:val="333333"/>
          <w:sz w:val="22"/>
          <w:szCs w:val="22"/>
        </w:rPr>
        <w:t xml:space="preserve">4.1 Delivery. Developer shall deliver each Milestone deliverable in the format and to the environment specified in Exhibit A, together with test results, release notes, and updated Documentation.</w:t>
      </w:r>
    </w:p>
    <w:p>
      <w:pPr>
        <w:spacing w:after="160"/>
        <w:jc w:val="left"/>
      </w:pPr>
      <w:r>
        <w:rPr>
          <w:rFonts w:ascii="Calibri" w:cs="Calibri" w:eastAsia="Calibri" w:hAnsi="Calibri"/>
          <w:color w:val="333333"/>
          <w:sz w:val="22"/>
          <w:szCs w:val="22"/>
        </w:rPr>
        <w:t xml:space="preserve">4.2 Review Period. Customer has [10] Business Days after each delivery to run the acceptance tests specified in Exhibit A and either issue written Acceptance or deliver a single written rejection notice identifying each material nonconformity with reasonable specificity and reproducible steps.</w:t>
      </w:r>
    </w:p>
    <w:p>
      <w:pPr>
        <w:spacing w:after="160"/>
        <w:jc w:val="left"/>
      </w:pPr>
      <w:r>
        <w:rPr>
          <w:rFonts w:ascii="Calibri" w:cs="Calibri" w:eastAsia="Calibri" w:hAnsi="Calibri"/>
          <w:color w:val="333333"/>
          <w:sz w:val="22"/>
          <w:szCs w:val="22"/>
        </w:rPr>
        <w:t xml:space="preserve">4.3 Correction and Retest. Developer shall use commercially reasonable efforts to correct identified nonconformities and redeliver within [10] Business Days. Customer receives [5] Business Days to retest only the corrected items and directly affected functions. If a Deliverable fails acceptance after [2] correction cycles, Customer may: (a) accept with a negotiated fee adjustment; (b) terminate the affected Milestone and recover fees paid for it; or (c) grant an additional correction cycle by mutual agreement.</w:t>
      </w:r>
    </w:p>
    <w:p>
      <w:pPr>
        <w:spacing w:after="160"/>
        <w:jc w:val="left"/>
      </w:pPr>
      <w:r>
        <w:rPr>
          <w:rFonts w:ascii="Calibri" w:cs="Calibri" w:eastAsia="Calibri" w:hAnsi="Calibri"/>
          <w:color w:val="333333"/>
          <w:sz w:val="22"/>
          <w:szCs w:val="22"/>
        </w:rPr>
        <w:t xml:space="preserve">4.4 Deemed Acceptance. A Deliverable is deemed accepted upon: (a) written Acceptance; (b) Customer's production use other than testing; or (c) expiration of the review period without a valid rejection notice, provided Developer has sent a reminder notice at least [3] Business Days before expiration. Minor cosmetic or documentation defects that do not prevent material use do not constitute grounds for rejection and shall be addressed through the support process.</w:t>
      </w:r>
    </w:p>
    <w:p>
      <w:pPr>
        <w:spacing w:after="160"/>
        <w:jc w:val="left"/>
      </w:pPr>
      <w:r>
        <w:rPr>
          <w:rFonts w:ascii="Calibri" w:cs="Calibri" w:eastAsia="Calibri" w:hAnsi="Calibri"/>
          <w:color w:val="333333"/>
          <w:sz w:val="22"/>
          <w:szCs w:val="22"/>
        </w:rPr>
        <w:t xml:space="preserve">4.5 Partial Acceptance. Customer may accept conforming components of a Milestone while rejecting nonconforming components, provided the accepted components are independently functional. Fees allocate proportionally based on the component breakdown in Exhibit A.</w:t>
      </w:r>
    </w:p>
    <w:p>
      <w:r>
        <w:br w:type="page"/>
      </w:r>
    </w:p>
    <w:p>
      <w:pPr>
        <w:pStyle w:val="Heading2"/>
        <w:spacing w:after="120" w:before="240"/>
      </w:pPr>
      <w:r>
        <w:rPr>
          <w:rFonts w:ascii="Calibri" w:cs="Calibri" w:eastAsia="Calibri" w:hAnsi="Calibri"/>
          <w:b/>
          <w:bCs/>
          <w:color w:val="1a1a2e"/>
          <w:sz w:val="24"/>
          <w:szCs w:val="24"/>
        </w:rPr>
        <w:t xml:space="preserve">5. Intellectual Property</w:t>
      </w:r>
    </w:p>
    <w:p>
      <w:pPr>
        <w:spacing w:after="160"/>
        <w:jc w:val="left"/>
      </w:pPr>
      <w:r>
        <w:rPr>
          <w:rFonts w:ascii="Calibri" w:cs="Calibri" w:eastAsia="Calibri" w:hAnsi="Calibri"/>
          <w:color w:val="333333"/>
          <w:sz w:val="22"/>
          <w:szCs w:val="22"/>
        </w:rPr>
        <w:t xml:space="preserve">5.1 Developer Materials. Developer owns and retains all right, title, and interest in Developer Materials. Developer grants Customer a nonexclusive, worldwide license to use Developer Materials solely as embedded in or necessary to operate the accepted Deliverables, subject to the scope and term specified in Section 5.3.</w:t>
      </w:r>
    </w:p>
    <w:p>
      <w:pPr>
        <w:spacing w:after="160"/>
        <w:jc w:val="left"/>
      </w:pPr>
      <w:r>
        <w:rPr>
          <w:rFonts w:ascii="Calibri" w:cs="Calibri" w:eastAsia="Calibri" w:hAnsi="Calibri"/>
          <w:color w:val="333333"/>
          <w:sz w:val="22"/>
          <w:szCs w:val="22"/>
        </w:rPr>
        <w:t xml:space="preserve">5.2 Customer Materials. Customer owns all right, title, and interest in Customer Materials. Customer grants Developer a limited, revocable license to use Customer Materials solely to perform the Services during the term of this Agreement.</w:t>
      </w:r>
    </w:p>
    <w:p>
      <w:pPr>
        <w:spacing w:after="160"/>
        <w:jc w:val="left"/>
      </w:pPr>
      <w:r>
        <w:rPr>
          <w:rFonts w:ascii="Calibri" w:cs="Calibri" w:eastAsia="Calibri" w:hAnsi="Calibri"/>
          <w:color w:val="333333"/>
          <w:sz w:val="22"/>
          <w:szCs w:val="22"/>
        </w:rPr>
        <w:t xml:space="preserve">5.3 IP Model Election. The parties select one of the following models as indicated in the Agreement Summary:</w:t>
      </w:r>
    </w:p>
    <w:p>
      <w:pPr>
        <w:spacing w:after="160"/>
        <w:jc w:val="left"/>
      </w:pPr>
      <w:r>
        <w:rPr>
          <w:rFonts w:ascii="Calibri" w:cs="Calibri" w:eastAsia="Calibri" w:hAnsi="Calibri"/>
          <w:i/>
          <w:iCs/>
          <w:color w:val="333333"/>
          <w:sz w:val="22"/>
          <w:szCs w:val="22"/>
        </w:rPr>
        <w:t xml:space="preserve">Option A — Developer-Owned, Customer-Licensed. Developer owns the Deliverables and Work Product. Upon full payment, Developer grants Customer a perpetual (or subscription-term, as stated in Exhibit B), nonexclusive, nontransferable (except with a permitted assignment), worldwide license to use, copy, modify, and create derivative works of the accepted Deliverables for Customer's internal business purposes and [STATED PURPOSE]. Developer may reuse generic elements in other engagements.</w:t>
      </w:r>
    </w:p>
    <w:p>
      <w:pPr>
        <w:spacing w:after="160"/>
        <w:jc w:val="left"/>
      </w:pPr>
      <w:r>
        <w:rPr>
          <w:rFonts w:ascii="Calibri" w:cs="Calibri" w:eastAsia="Calibri" w:hAnsi="Calibri"/>
          <w:i/>
          <w:iCs/>
          <w:color w:val="333333"/>
          <w:sz w:val="22"/>
          <w:szCs w:val="22"/>
        </w:rPr>
        <w:t xml:space="preserve">Option B — Customer-Owned Bespoke Work. Upon full payment, Developer assigns to Customer all right, title, and interest in Work Product, including all intellectual property rights. To the extent any Work Product constitutes a "work made for hire" under applicable law, it is so designated; to the extent it does not, Developer irrevocably assigns it. Developer retains a perpetual, nonexclusive, royalty-free license to use generic elements, methods, techniques, and know-how (excluding Customer Confidential Information) in Developer's other engagements. Developer waives or consents to the non-assertion of moral rights to the extent permitted by law. Developer shall execute further assurances reasonably requested to perfect Customer's ownership.</w:t>
      </w:r>
    </w:p>
    <w:p>
      <w:pPr>
        <w:spacing w:after="160"/>
        <w:jc w:val="left"/>
      </w:pPr>
      <w:r>
        <w:rPr>
          <w:rFonts w:ascii="Calibri" w:cs="Calibri" w:eastAsia="Calibri" w:hAnsi="Calibri"/>
          <w:i/>
          <w:iCs/>
          <w:color w:val="333333"/>
          <w:sz w:val="22"/>
          <w:szCs w:val="22"/>
        </w:rPr>
        <w:t xml:space="preserve">Option C — Split by Component Table. Ownership of each component is allocated in the Exhibit C Component Register. Components designated "Customer" are assigned per Option B; components designated "Developer" are licensed per Option A. Each party grants the other the licenses necessary to use, maintain, and support the integrated Deliverables.</w:t>
      </w:r>
    </w:p>
    <w:p>
      <w:pPr>
        <w:spacing w:after="160"/>
        <w:jc w:val="left"/>
      </w:pPr>
      <w:r>
        <w:rPr>
          <w:rFonts w:ascii="Calibri" w:cs="Calibri" w:eastAsia="Calibri" w:hAnsi="Calibri"/>
          <w:color w:val="333333"/>
          <w:sz w:val="22"/>
          <w:szCs w:val="22"/>
        </w:rPr>
        <w:t xml:space="preserve">5.4 Third-Party and Open Source Components. Developer shall list all material third-party commercial and Open Source Software components in Exhibit C, including license type, version, and Customer obligations. Developer shall not knowingly incorporate any component that would require Customer to disclose proprietary source code without prior written approval. Developer shall maintain a reasonable intake and scanning process for dependency licensing and shall promptly disclose any exceptions. Third-party components are governed by their respective licenses; Developer passes through available warranties and indemnities.</w:t>
      </w:r>
    </w:p>
    <w:p>
      <w:pPr>
        <w:spacing w:after="160"/>
        <w:jc w:val="left"/>
      </w:pPr>
      <w:r>
        <w:rPr>
          <w:rFonts w:ascii="Calibri" w:cs="Calibri" w:eastAsia="Calibri" w:hAnsi="Calibri"/>
          <w:color w:val="333333"/>
          <w:sz w:val="22"/>
          <w:szCs w:val="22"/>
        </w:rPr>
        <w:t xml:space="preserve">5.5 AI-Generated and AI-Assisted Code. Developer shall disclose in Exhibit C any use of generative AI tools (code generators, large language models, or automated code-completion tools) in creating Deliverables. Developer represents that AI-assisted output has been reviewed for accuracy, licensing compliance, and security, and that Developer is not aware of any third-party IP claim arising from such use. Developer bears the risk of any failure of AI-generated code to meet the acceptance criteria.</w:t>
      </w:r>
    </w:p>
    <w:p>
      <w:pPr>
        <w:spacing w:after="160"/>
        <w:jc w:val="left"/>
      </w:pPr>
      <w:r>
        <w:rPr>
          <w:rFonts w:ascii="Calibri" w:cs="Calibri" w:eastAsia="Calibri" w:hAnsi="Calibri"/>
          <w:color w:val="333333"/>
          <w:sz w:val="22"/>
          <w:szCs w:val="22"/>
        </w:rPr>
        <w:t xml:space="preserve">5.6 No Implied Licenses. Except as expressly granted, no license or right is implied under any intellectual property right of either party.</w:t>
      </w:r>
    </w:p>
    <w:p>
      <w:r>
        <w:br w:type="page"/>
      </w:r>
    </w:p>
    <w:p>
      <w:pPr>
        <w:pStyle w:val="Heading2"/>
        <w:spacing w:after="120" w:before="240"/>
      </w:pPr>
      <w:r>
        <w:rPr>
          <w:rFonts w:ascii="Calibri" w:cs="Calibri" w:eastAsia="Calibri" w:hAnsi="Calibri"/>
          <w:b/>
          <w:bCs/>
          <w:color w:val="1a1a2e"/>
          <w:sz w:val="24"/>
          <w:szCs w:val="24"/>
        </w:rPr>
        <w:t xml:space="preserve">6. Confidentiality and Data Protection</w:t>
      </w:r>
    </w:p>
    <w:p>
      <w:pPr>
        <w:spacing w:after="160"/>
        <w:jc w:val="left"/>
      </w:pPr>
      <w:r>
        <w:rPr>
          <w:rFonts w:ascii="Calibri" w:cs="Calibri" w:eastAsia="Calibri" w:hAnsi="Calibri"/>
          <w:color w:val="333333"/>
          <w:sz w:val="22"/>
          <w:szCs w:val="22"/>
        </w:rPr>
        <w:t xml:space="preserve">6.1 Confidential Information. "Confidential Information" means nonpublic information disclosed by either party that is marked as confidential, identified as confidential at disclosure, or that a reasonable person would understand to be confidential given its nature and the circumstances of disclosure. Source code, algorithms, pricing, customer lists, and security configurations are Confidential Information whether or not marked.</w:t>
      </w:r>
    </w:p>
    <w:p>
      <w:pPr>
        <w:spacing w:after="160"/>
        <w:jc w:val="left"/>
      </w:pPr>
      <w:r>
        <w:rPr>
          <w:rFonts w:ascii="Calibri" w:cs="Calibri" w:eastAsia="Calibri" w:hAnsi="Calibri"/>
          <w:color w:val="333333"/>
          <w:sz w:val="22"/>
          <w:szCs w:val="22"/>
        </w:rPr>
        <w:t xml:space="preserve">6.2 Obligations. Each receiving party shall: (a) use Confidential Information only for performing or receiving the Services; (b) protect it with at least the same care used for its own confidential information (and no less than reasonable care); (c) disclose it only to employees, contractors, and advisors who need to know and are bound by obligations at least as restrictive as this Section; and (d) not reverse-engineer, decompile, or disassemble the disclosing party's Confidential Information except as expressly permitted.</w:t>
      </w:r>
    </w:p>
    <w:p>
      <w:pPr>
        <w:spacing w:after="160"/>
        <w:jc w:val="left"/>
      </w:pPr>
      <w:r>
        <w:rPr>
          <w:rFonts w:ascii="Calibri" w:cs="Calibri" w:eastAsia="Calibri" w:hAnsi="Calibri"/>
          <w:color w:val="333333"/>
          <w:sz w:val="22"/>
          <w:szCs w:val="22"/>
        </w:rPr>
        <w:t xml:space="preserve">6.3 Exclusions. Information is not Confidential Information if it: (a) is or becomes publicly available without breach; (b) was known to the receiving party before disclosure without restriction; (c) is independently developed without use of or reference to Confidential Information; or (d) is received from a third party without breach of any obligation.</w:t>
      </w:r>
    </w:p>
    <w:p>
      <w:pPr>
        <w:spacing w:after="160"/>
        <w:jc w:val="left"/>
      </w:pPr>
      <w:r>
        <w:rPr>
          <w:rFonts w:ascii="Calibri" w:cs="Calibri" w:eastAsia="Calibri" w:hAnsi="Calibri"/>
          <w:color w:val="333333"/>
          <w:sz w:val="22"/>
          <w:szCs w:val="22"/>
        </w:rPr>
        <w:t xml:space="preserve">6.4 Compelled Disclosure. A receiving party may disclose Confidential Information if compelled by law, regulation, or court order, provided it gives prompt notice (where legally permitted), cooperates with protective measures, and limits disclosure to what is legally required.</w:t>
      </w:r>
    </w:p>
    <w:p>
      <w:pPr>
        <w:spacing w:after="160"/>
        <w:jc w:val="left"/>
      </w:pPr>
      <w:r>
        <w:rPr>
          <w:rFonts w:ascii="Calibri" w:cs="Calibri" w:eastAsia="Calibri" w:hAnsi="Calibri"/>
          <w:color w:val="333333"/>
          <w:sz w:val="22"/>
          <w:szCs w:val="22"/>
        </w:rPr>
        <w:t xml:space="preserve">6.5 Data Protection. If Developer will access, process, or store personal data or regulated data on Customer's behalf, the parties shall execute a Data Processing Addendum or Security Exhibit as referenced in [DPA / SECURITY EXHIBIT], which shall govern data processing, security controls, breach notification, subprocessor approval, and data return/deletion.</w:t>
      </w:r>
    </w:p>
    <w:p>
      <w:pPr>
        <w:pStyle w:val="Heading2"/>
        <w:spacing w:after="120" w:before="240"/>
      </w:pPr>
      <w:r>
        <w:rPr>
          <w:rFonts w:ascii="Calibri" w:cs="Calibri" w:eastAsia="Calibri" w:hAnsi="Calibri"/>
          <w:b/>
          <w:bCs/>
          <w:color w:val="1a1a2e"/>
          <w:sz w:val="24"/>
          <w:szCs w:val="24"/>
        </w:rPr>
        <w:t xml:space="preserve">7. Secure Development Practices</w:t>
      </w:r>
    </w:p>
    <w:p>
      <w:pPr>
        <w:spacing w:after="160"/>
        <w:jc w:val="left"/>
      </w:pPr>
      <w:r>
        <w:rPr>
          <w:rFonts w:ascii="Calibri" w:cs="Calibri" w:eastAsia="Calibri" w:hAnsi="Calibri"/>
          <w:color w:val="333333"/>
          <w:sz w:val="22"/>
          <w:szCs w:val="22"/>
        </w:rPr>
        <w:t xml:space="preserve">7.1 Development Standards. Developer shall follow commercially reasonable secure-development practices appropriate to the risk profile of the project, including code review, input validation, authentication and authorization controls, encryption of data in transit and at rest where applicable, and secure configuration of development and deployment environments.</w:t>
      </w:r>
    </w:p>
    <w:p>
      <w:pPr>
        <w:spacing w:after="160"/>
        <w:jc w:val="left"/>
      </w:pPr>
      <w:r>
        <w:rPr>
          <w:rFonts w:ascii="Calibri" w:cs="Calibri" w:eastAsia="Calibri" w:hAnsi="Calibri"/>
          <w:color w:val="333333"/>
          <w:sz w:val="22"/>
          <w:szCs w:val="22"/>
        </w:rPr>
        <w:t xml:space="preserve">7.2 Dependency Management. Developer shall maintain an inventory of third-party and open-source dependencies (a software bill of materials or "SBOM") and deliver an updated SBOM with [EACH RELEASE / FINAL ACCEPTANCE / ON REQUEST]. Developer shall monitor dependencies for known vulnerabilities and apply patches or updates within commercially reasonable timeframes based on severity.</w:t>
      </w:r>
    </w:p>
    <w:p>
      <w:pPr>
        <w:spacing w:after="160"/>
        <w:jc w:val="left"/>
      </w:pPr>
      <w:r>
        <w:rPr>
          <w:rFonts w:ascii="Calibri" w:cs="Calibri" w:eastAsia="Calibri" w:hAnsi="Calibri"/>
          <w:color w:val="333333"/>
          <w:sz w:val="22"/>
          <w:szCs w:val="22"/>
        </w:rPr>
        <w:t xml:space="preserve">7.3 Vulnerability Remediation. Critical vulnerabilities (CVSS 9.0+) in Developer-authored code shall be remediated within [5] Business Days of discovery. High vulnerabilities (CVSS 7.0–8.9) within [15] Business Days. Medium and lower within the next scheduled release. These timelines apply during the warranty period and any active support engagement.</w:t>
      </w:r>
    </w:p>
    <w:p>
      <w:pPr>
        <w:spacing w:after="160"/>
        <w:jc w:val="left"/>
      </w:pPr>
      <w:r>
        <w:rPr>
          <w:rFonts w:ascii="Calibri" w:cs="Calibri" w:eastAsia="Calibri" w:hAnsi="Calibri"/>
          <w:color w:val="333333"/>
          <w:sz w:val="22"/>
          <w:szCs w:val="22"/>
        </w:rPr>
        <w:t xml:space="preserve">7.4 Incident Notification. Developer shall notify Customer within [48] hours of discovering any security incident involving Customer data or Customer environments accessed by Developer. Notification shall include the nature of the incident, affected data or systems, and remediation steps taken or planned.</w:t>
      </w:r>
    </w:p>
    <w:p>
      <w:pPr>
        <w:spacing w:after="160"/>
        <w:jc w:val="left"/>
      </w:pPr>
      <w:r>
        <w:rPr>
          <w:rFonts w:ascii="Calibri" w:cs="Calibri" w:eastAsia="Calibri" w:hAnsi="Calibri"/>
          <w:color w:val="333333"/>
          <w:sz w:val="22"/>
          <w:szCs w:val="22"/>
        </w:rPr>
        <w:t xml:space="preserve">7.5 Access Controls. Developer personnel shall access Customer environments only through named, least-privilege accounts with logging enabled. Production access requires Customer approval and shall be limited to maintenance and support activities.</w:t>
      </w:r>
    </w:p>
    <w:p>
      <w:r>
        <w:br w:type="page"/>
      </w:r>
    </w:p>
    <w:p>
      <w:pPr>
        <w:pStyle w:val="Heading2"/>
        <w:spacing w:after="120" w:before="240"/>
      </w:pPr>
      <w:r>
        <w:rPr>
          <w:rFonts w:ascii="Calibri" w:cs="Calibri" w:eastAsia="Calibri" w:hAnsi="Calibri"/>
          <w:b/>
          <w:bCs/>
          <w:color w:val="1a1a2e"/>
          <w:sz w:val="24"/>
          <w:szCs w:val="24"/>
        </w:rPr>
        <w:t xml:space="preserve">8. Representations and Warranties</w:t>
      </w:r>
    </w:p>
    <w:p>
      <w:pPr>
        <w:spacing w:after="160"/>
        <w:jc w:val="left"/>
      </w:pPr>
      <w:r>
        <w:rPr>
          <w:rFonts w:ascii="Calibri" w:cs="Calibri" w:eastAsia="Calibri" w:hAnsi="Calibri"/>
          <w:color w:val="333333"/>
          <w:sz w:val="22"/>
          <w:szCs w:val="22"/>
        </w:rPr>
        <w:t xml:space="preserve">8.1 Developer Warranties. Developer represents and warrants that: (a) the Services will be performed in a professional and workmanlike manner consistent with generally accepted industry standards; (b) accepted Deliverables will materially conform to the acceptance criteria in Exhibit A for a period of [90] days following Acceptance (the "Warranty Period"); (c) Developer has the right to grant the licenses and, where applicable, the assignments contemplated by this Agreement; (d) the Deliverables, as delivered and unmodified, will not infringe any third-party intellectual property rights known to Developer; and (e) Developer personnel performing the Services are bound by invention assignment and confidentiality agreements.</w:t>
      </w:r>
    </w:p>
    <w:p>
      <w:pPr>
        <w:spacing w:after="160"/>
        <w:jc w:val="left"/>
      </w:pPr>
      <w:r>
        <w:rPr>
          <w:rFonts w:ascii="Calibri" w:cs="Calibri" w:eastAsia="Calibri" w:hAnsi="Calibri"/>
          <w:color w:val="333333"/>
          <w:sz w:val="22"/>
          <w:szCs w:val="22"/>
        </w:rPr>
        <w:t xml:space="preserve">8.2 Warranty Remedies. During the Warranty Period, Developer shall, at no additional charge, correct any Deliverable that fails to materially conform to the acceptance criteria upon Customer's written notice with reasonable detail. If Developer is unable to correct the nonconformity after commercially reasonable efforts, Customer may terminate the affected Milestone and recover fees paid for the nonconforming Deliverable.</w:t>
      </w:r>
    </w:p>
    <w:p>
      <w:pPr>
        <w:spacing w:after="160"/>
        <w:jc w:val="left"/>
      </w:pPr>
      <w:r>
        <w:rPr>
          <w:rFonts w:ascii="Calibri" w:cs="Calibri" w:eastAsia="Calibri" w:hAnsi="Calibri"/>
          <w:color w:val="333333"/>
          <w:sz w:val="22"/>
          <w:szCs w:val="22"/>
        </w:rPr>
        <w:t xml:space="preserve">8.3 Customer Warranties. Customer represents and warrants that: (a) it has all rights necessary to provide Customer Materials for use in the project; (b) Customer Materials and instructions will not cause Developer to infringe third-party rights; and (c) Customer has authority to enter into this Agreement.</w:t>
      </w:r>
    </w:p>
    <w:p>
      <w:pPr>
        <w:spacing w:after="160"/>
        <w:jc w:val="left"/>
      </w:pPr>
      <w:r>
        <w:rPr>
          <w:rFonts w:ascii="Calibri" w:cs="Calibri" w:eastAsia="Calibri" w:hAnsi="Calibri"/>
          <w:color w:val="333333"/>
          <w:sz w:val="22"/>
          <w:szCs w:val="22"/>
        </w:rPr>
        <w:t xml:space="preserve">8.4 Disclaimer. EXCEPT AS EXPRESSLY SET FORTH IN THIS AGREEMENT, EACH PARTY DISCLAIMS ALL WARRANTIES, WHETHER EXPRESS, IMPLIED, OR STATUTORY, INCLUDING WARRANTIES OF MERCHANTABILITY, FITNESS FOR A PARTICULAR PURPOSE, AND NON-INFRINGEMENT, TO THE MAXIMUM EXTENT PERMITTED BY APPLICABLE LAW.</w:t>
      </w:r>
    </w:p>
    <w:p>
      <w:pPr>
        <w:pStyle w:val="Heading2"/>
        <w:spacing w:after="120" w:before="240"/>
      </w:pPr>
      <w:r>
        <w:rPr>
          <w:rFonts w:ascii="Calibri" w:cs="Calibri" w:eastAsia="Calibri" w:hAnsi="Calibri"/>
          <w:b/>
          <w:bCs/>
          <w:color w:val="1a1a2e"/>
          <w:sz w:val="24"/>
          <w:szCs w:val="24"/>
        </w:rPr>
        <w:t xml:space="preserve">9. Indemnification</w:t>
      </w:r>
    </w:p>
    <w:p>
      <w:pPr>
        <w:spacing w:after="160"/>
        <w:jc w:val="left"/>
      </w:pPr>
      <w:r>
        <w:rPr>
          <w:rFonts w:ascii="Calibri" w:cs="Calibri" w:eastAsia="Calibri" w:hAnsi="Calibri"/>
          <w:color w:val="333333"/>
          <w:sz w:val="22"/>
          <w:szCs w:val="22"/>
        </w:rPr>
        <w:t xml:space="preserve">9.1 Developer Indemnity. Developer shall defend, indemnify, and hold harmless Customer from third-party claims alleging that an unmodified, accepted Deliverable infringes a United States patent, copyright, or trade secret. Developer may, at its option and expense: (a) procure the right to continue use; (b) modify the Deliverable to be non-infringing without material loss of functionality; (c) replace it with a non-infringing equivalent; or (d) if none of the foregoing is commercially practicable, terminate the affected license and refund fees paid for the infringing Deliverable.</w:t>
      </w:r>
    </w:p>
    <w:p>
      <w:pPr>
        <w:spacing w:after="160"/>
        <w:jc w:val="left"/>
      </w:pPr>
      <w:r>
        <w:rPr>
          <w:rFonts w:ascii="Calibri" w:cs="Calibri" w:eastAsia="Calibri" w:hAnsi="Calibri"/>
          <w:color w:val="333333"/>
          <w:sz w:val="22"/>
          <w:szCs w:val="22"/>
        </w:rPr>
        <w:t xml:space="preserve">9.2 Developer Indemnity Exclusions. Developer has no obligation for claims arising from: (a) Customer Materials or Customer instructions; (b) modifications not made or approved by Developer; (c) combination with non-Developer products not contemplated by the Development Plan; or (d) continued use after Developer provides a non-infringing alternative.</w:t>
      </w:r>
    </w:p>
    <w:p>
      <w:pPr>
        <w:spacing w:after="160"/>
        <w:jc w:val="left"/>
      </w:pPr>
      <w:r>
        <w:rPr>
          <w:rFonts w:ascii="Calibri" w:cs="Calibri" w:eastAsia="Calibri" w:hAnsi="Calibri"/>
          <w:color w:val="333333"/>
          <w:sz w:val="22"/>
          <w:szCs w:val="22"/>
        </w:rPr>
        <w:t xml:space="preserve">9.3 Customer Indemnity. Customer shall defend, indemnify, and hold harmless Developer from third-party claims arising from: (a) Customer Materials; (b) Customer's unlawful instructions; or (c) Customer's use of Deliverables in violation of this Agreement.</w:t>
      </w:r>
    </w:p>
    <w:p>
      <w:pPr>
        <w:spacing w:after="160"/>
        <w:jc w:val="left"/>
      </w:pPr>
      <w:r>
        <w:rPr>
          <w:rFonts w:ascii="Calibri" w:cs="Calibri" w:eastAsia="Calibri" w:hAnsi="Calibri"/>
          <w:color w:val="333333"/>
          <w:sz w:val="22"/>
          <w:szCs w:val="22"/>
        </w:rPr>
        <w:t xml:space="preserve">9.4 Indemnity Procedures. The indemnified party shall: (a) give prompt written notice; (b) grant sole control of the defense and settlement (provided no settlement imposes nonmonetary obligations without consent); and (c) provide reasonable cooperation at the indemnifying party's expense.</w:t>
      </w:r>
    </w:p>
    <w:p>
      <w:r>
        <w:br w:type="page"/>
      </w:r>
    </w:p>
    <w:p>
      <w:pPr>
        <w:pStyle w:val="Heading2"/>
        <w:spacing w:after="120" w:before="240"/>
      </w:pPr>
      <w:r>
        <w:rPr>
          <w:rFonts w:ascii="Calibri" w:cs="Calibri" w:eastAsia="Calibri" w:hAnsi="Calibri"/>
          <w:b/>
          <w:bCs/>
          <w:color w:val="1a1a2e"/>
          <w:sz w:val="24"/>
          <w:szCs w:val="24"/>
        </w:rPr>
        <w:t xml:space="preserve">10. Limitation of Liability</w:t>
      </w:r>
    </w:p>
    <w:p>
      <w:pPr>
        <w:spacing w:after="160"/>
        <w:jc w:val="left"/>
      </w:pPr>
      <w:r>
        <w:rPr>
          <w:rFonts w:ascii="Calibri" w:cs="Calibri" w:eastAsia="Calibri" w:hAnsi="Calibri"/>
          <w:color w:val="333333"/>
          <w:sz w:val="22"/>
          <w:szCs w:val="22"/>
        </w:rPr>
        <w:t xml:space="preserve">10.1 Consequential Damages Exclusion. NEITHER PARTY SHALL BE LIABLE FOR INDIRECT, INCIDENTAL, SPECIAL, CONSEQUENTIAL, EXEMPLARY, OR PUNITIVE DAMAGES, OR LOSS OF PROFITS, REVENUE, DATA, OR BUSINESS OPPORTUNITY, ARISING OUT OF OR RELATED TO THIS AGREEMENT, REGARDLESS OF THE THEORY OF LIABILITY, EVEN IF ADVISED OF THE POSSIBILITY.</w:t>
      </w:r>
    </w:p>
    <w:p>
      <w:pPr>
        <w:spacing w:after="160"/>
        <w:jc w:val="left"/>
      </w:pPr>
      <w:r>
        <w:rPr>
          <w:rFonts w:ascii="Calibri" w:cs="Calibri" w:eastAsia="Calibri" w:hAnsi="Calibri"/>
          <w:color w:val="333333"/>
          <w:sz w:val="22"/>
          <w:szCs w:val="22"/>
        </w:rPr>
        <w:t xml:space="preserve">10.2 Aggregate Cap. EACH PARTY'S TOTAL AGGREGATE LIABILITY UNDER THIS AGREEMENT SHALL NOT EXCEED THE FEES PAID OR PAYABLE BY CUSTOMER IN THE [12]-MONTH PERIOD PRECEDING THE EVENT GIVING RISE TO THE CLAIM.</w:t>
      </w:r>
    </w:p>
    <w:p>
      <w:pPr>
        <w:spacing w:after="160"/>
        <w:jc w:val="left"/>
      </w:pPr>
      <w:r>
        <w:rPr>
          <w:rFonts w:ascii="Calibri" w:cs="Calibri" w:eastAsia="Calibri" w:hAnsi="Calibri"/>
          <w:color w:val="333333"/>
          <w:sz w:val="22"/>
          <w:szCs w:val="22"/>
        </w:rPr>
        <w:t xml:space="preserve">10.3 Carve-Outs. The limitations in Sections 10.1 and 10.2 do not apply to: (a) payment obligations; (b) breach of confidentiality obligations (subject to a super-cap of [2x] the aggregate cap); (c) IP indemnification obligations; (d) data-security obligations under Section 7 (subject to a super-cap of [2x] the aggregate cap); or (e) liability arising from gross negligence or willful misconduct, to the extent such carve-outs are enforceable under applicable law.</w:t>
      </w:r>
    </w:p>
    <w:p>
      <w:pPr>
        <w:pStyle w:val="Heading2"/>
        <w:spacing w:after="120" w:before="240"/>
      </w:pPr>
      <w:r>
        <w:rPr>
          <w:rFonts w:ascii="Calibri" w:cs="Calibri" w:eastAsia="Calibri" w:hAnsi="Calibri"/>
          <w:b/>
          <w:bCs/>
          <w:color w:val="1a1a2e"/>
          <w:sz w:val="24"/>
          <w:szCs w:val="24"/>
        </w:rPr>
        <w:t xml:space="preserve">11. Term and Termination</w:t>
      </w:r>
    </w:p>
    <w:p>
      <w:pPr>
        <w:spacing w:after="160"/>
        <w:jc w:val="left"/>
      </w:pPr>
      <w:r>
        <w:rPr>
          <w:rFonts w:ascii="Calibri" w:cs="Calibri" w:eastAsia="Calibri" w:hAnsi="Calibri"/>
          <w:color w:val="333333"/>
          <w:sz w:val="22"/>
          <w:szCs w:val="22"/>
        </w:rPr>
        <w:t xml:space="preserve">11.1 Term. This Agreement commences on the Effective Date and continues until all Services are completed and accepted, or until terminated as provided below.</w:t>
      </w:r>
    </w:p>
    <w:p>
      <w:pPr>
        <w:spacing w:after="160"/>
        <w:jc w:val="left"/>
      </w:pPr>
      <w:r>
        <w:rPr>
          <w:rFonts w:ascii="Calibri" w:cs="Calibri" w:eastAsia="Calibri" w:hAnsi="Calibri"/>
          <w:color w:val="333333"/>
          <w:sz w:val="22"/>
          <w:szCs w:val="22"/>
        </w:rPr>
        <w:t xml:space="preserve">11.2 Termination for Cause. Either party may terminate this Agreement upon [15] days' written notice if the other party materially breaches this Agreement and fails to cure within the notice period. Either party may terminate immediately upon the other party's insolvency, bankruptcy filing, or assignment for the benefit of creditors, to the extent permitted by law.</w:t>
      </w:r>
    </w:p>
    <w:p>
      <w:pPr>
        <w:spacing w:after="160"/>
        <w:jc w:val="left"/>
      </w:pPr>
      <w:r>
        <w:rPr>
          <w:rFonts w:ascii="Calibri" w:cs="Calibri" w:eastAsia="Calibri" w:hAnsi="Calibri"/>
          <w:color w:val="333333"/>
          <w:sz w:val="22"/>
          <w:szCs w:val="22"/>
        </w:rPr>
        <w:t xml:space="preserve">11.3 Termination for Convenience. Customer may terminate this Agreement for convenience upon [30] days' written notice, subject to payment for: (a) Services performed and Deliverables accepted through the termination date; (b) non-cancellable costs and commitments reasonably incurred; and (c) a wind-down fee of $[AMOUNT], if applicable. [Delete or modify if convenience termination is not available.]</w:t>
      </w:r>
    </w:p>
    <w:p>
      <w:pPr>
        <w:spacing w:after="160"/>
        <w:jc w:val="left"/>
      </w:pPr>
      <w:r>
        <w:rPr>
          <w:rFonts w:ascii="Calibri" w:cs="Calibri" w:eastAsia="Calibri" w:hAnsi="Calibri"/>
          <w:color w:val="333333"/>
          <w:sz w:val="22"/>
          <w:szCs w:val="22"/>
        </w:rPr>
        <w:t xml:space="preserve">11.4 Effect of Termination. Upon termination: (a) Customer shall pay all accrued, undisputed fees within [30] days; (b) each party shall return or destroy the other's Confidential Information (except records required by law or reasonable backup copies, which remain subject to confidentiality obligations); (c) licenses granted to Customer survive only as to Deliverables that have been accepted and fully paid for; and (d) transition obligations follow Exhibit D.</w:t>
      </w:r>
    </w:p>
    <w:p>
      <w:pPr>
        <w:spacing w:after="160"/>
        <w:jc w:val="left"/>
      </w:pPr>
      <w:r>
        <w:rPr>
          <w:rFonts w:ascii="Calibri" w:cs="Calibri" w:eastAsia="Calibri" w:hAnsi="Calibri"/>
          <w:color w:val="333333"/>
          <w:sz w:val="22"/>
          <w:szCs w:val="22"/>
        </w:rPr>
        <w:t xml:space="preserve">11.5 Work-in-Progress. Upon termination, Developer shall deliver to Customer all work-in-progress in its then-current state, including source code, documentation, and build instructions. Under the Customer-Owned IP model, ownership vests in Customer upon payment for completed work. Under the Developer-Owned model, Customer receives a license to work-in-progress to the extent paid for, solely for internal use and completion by a successor developer.</w:t>
      </w:r>
    </w:p>
    <w:p>
      <w:pPr>
        <w:spacing w:after="160"/>
        <w:jc w:val="left"/>
      </w:pPr>
      <w:r>
        <w:rPr>
          <w:rFonts w:ascii="Calibri" w:cs="Calibri" w:eastAsia="Calibri" w:hAnsi="Calibri"/>
          <w:color w:val="333333"/>
          <w:sz w:val="22"/>
          <w:szCs w:val="22"/>
        </w:rPr>
        <w:t xml:space="preserve">11.6 Survival. Sections 1 (Definitions), 5 (IP), 6 (Confidentiality), 8.4 (Disclaimer), 9 (Indemnification), 10 (Liability), 11.4–11.6 (Post-Termination), and 12 (General) survive termination.</w:t>
      </w:r>
    </w:p>
    <w:p>
      <w:r>
        <w:br w:type="page"/>
      </w:r>
    </w:p>
    <w:p>
      <w:pPr>
        <w:pStyle w:val="Heading2"/>
        <w:spacing w:after="120" w:before="240"/>
      </w:pPr>
      <w:r>
        <w:rPr>
          <w:rFonts w:ascii="Calibri" w:cs="Calibri" w:eastAsia="Calibri" w:hAnsi="Calibri"/>
          <w:b/>
          <w:bCs/>
          <w:color w:val="1a1a2e"/>
          <w:sz w:val="24"/>
          <w:szCs w:val="24"/>
        </w:rPr>
        <w:t xml:space="preserve">12. General Provisions</w:t>
      </w:r>
    </w:p>
    <w:p>
      <w:pPr>
        <w:spacing w:after="160"/>
        <w:jc w:val="left"/>
      </w:pPr>
      <w:r>
        <w:rPr>
          <w:rFonts w:ascii="Calibri" w:cs="Calibri" w:eastAsia="Calibri" w:hAnsi="Calibri"/>
          <w:color w:val="333333"/>
          <w:sz w:val="22"/>
          <w:szCs w:val="22"/>
        </w:rPr>
        <w:t xml:space="preserve">12.1 Independent Contractor. Developer is an independent contractor. Nothing creates an employment, agency, joint venture, or partnership relationship. Developer is responsible for its own taxes, benefits, and insurance.</w:t>
      </w:r>
    </w:p>
    <w:p>
      <w:pPr>
        <w:spacing w:after="160"/>
        <w:jc w:val="left"/>
      </w:pPr>
      <w:r>
        <w:rPr>
          <w:rFonts w:ascii="Calibri" w:cs="Calibri" w:eastAsia="Calibri" w:hAnsi="Calibri"/>
          <w:color w:val="333333"/>
          <w:sz w:val="22"/>
          <w:szCs w:val="22"/>
        </w:rPr>
        <w:t xml:space="preserve">12.2 Assignment. Neither party may assign this Agreement without the other's prior written consent, not to be unreasonably withheld, except in connection with a merger, acquisition, or sale of substantially all relevant assets, provided the successor assumes all obligations. Any purported assignment in violation of this Section is void.</w:t>
      </w:r>
    </w:p>
    <w:p>
      <w:pPr>
        <w:spacing w:after="160"/>
        <w:jc w:val="left"/>
      </w:pPr>
      <w:r>
        <w:rPr>
          <w:rFonts w:ascii="Calibri" w:cs="Calibri" w:eastAsia="Calibri" w:hAnsi="Calibri"/>
          <w:color w:val="333333"/>
          <w:sz w:val="22"/>
          <w:szCs w:val="22"/>
        </w:rPr>
        <w:t xml:space="preserve">12.3 Force Majeure. Neither party is liable for delay caused by events beyond its reasonable control, including natural disaster, pandemic, war, terrorism, government action, or infrastructure failure, provided the affected party gives prompt notice, uses reasonable efforts to mitigate, and the excuse does not apply to payment obligations.</w:t>
      </w:r>
    </w:p>
    <w:p>
      <w:pPr>
        <w:spacing w:after="160"/>
        <w:jc w:val="left"/>
      </w:pPr>
      <w:r>
        <w:rPr>
          <w:rFonts w:ascii="Calibri" w:cs="Calibri" w:eastAsia="Calibri" w:hAnsi="Calibri"/>
          <w:color w:val="333333"/>
          <w:sz w:val="22"/>
          <w:szCs w:val="22"/>
        </w:rPr>
        <w:t xml:space="preserve">12.4 Governing Law. This Agreement is governed by and construed in accordance with the laws of the State of [STATE], without regard to conflict-of-laws principles. The parties consent to exclusive jurisdiction and venue in the [state and federal] courts located in [COUNTY, STATE].</w:t>
      </w:r>
    </w:p>
    <w:p>
      <w:pPr>
        <w:spacing w:after="160"/>
        <w:jc w:val="left"/>
      </w:pPr>
      <w:r>
        <w:rPr>
          <w:rFonts w:ascii="Calibri" w:cs="Calibri" w:eastAsia="Calibri" w:hAnsi="Calibri"/>
          <w:color w:val="333333"/>
          <w:sz w:val="22"/>
          <w:szCs w:val="22"/>
        </w:rPr>
        <w:t xml:space="preserve">12.5 Dispute Resolution. Before initiating litigation, the parties shall attempt to resolve disputes through good-faith negotiation between senior executives for [30] days. [OPTIONAL: If unresolved, disputes shall be submitted to binding arbitration under [RULES] in [LOCATION], conducted by [1/3] arbitrator(s).]</w:t>
      </w:r>
    </w:p>
    <w:p>
      <w:pPr>
        <w:spacing w:after="160"/>
        <w:jc w:val="left"/>
      </w:pPr>
      <w:r>
        <w:rPr>
          <w:rFonts w:ascii="Calibri" w:cs="Calibri" w:eastAsia="Calibri" w:hAnsi="Calibri"/>
          <w:color w:val="333333"/>
          <w:sz w:val="22"/>
          <w:szCs w:val="22"/>
        </w:rPr>
        <w:t xml:space="preserve">12.6 Order of Precedence. In the event of conflict among this Agreement, a Development Plan, a Change Order, the DPA/Security Exhibit, and a Support Schedule, the order of precedence is: (1) DPA/Security Exhibit (for data protection matters); (2) Change Orders (most recent first); (3) this Agreement; (4) Development Plan; (5) Support Schedule. Purchase orders are for administrative convenience only and do not modify terms.</w:t>
      </w:r>
    </w:p>
    <w:p>
      <w:pPr>
        <w:spacing w:after="160"/>
        <w:jc w:val="left"/>
      </w:pPr>
      <w:r>
        <w:rPr>
          <w:rFonts w:ascii="Calibri" w:cs="Calibri" w:eastAsia="Calibri" w:hAnsi="Calibri"/>
          <w:color w:val="333333"/>
          <w:sz w:val="22"/>
          <w:szCs w:val="22"/>
        </w:rPr>
        <w:t xml:space="preserve">12.7 Notices. All notices under this Agreement shall be in writing and delivered to the addresses set forth in the Agreement Summary (or updated by notice) by personal delivery, nationally recognized overnight courier, or email with delivery confirmation. Notices are effective upon receipt.</w:t>
      </w:r>
    </w:p>
    <w:p>
      <w:pPr>
        <w:spacing w:after="160"/>
        <w:jc w:val="left"/>
      </w:pPr>
      <w:r>
        <w:rPr>
          <w:rFonts w:ascii="Calibri" w:cs="Calibri" w:eastAsia="Calibri" w:hAnsi="Calibri"/>
          <w:color w:val="333333"/>
          <w:sz w:val="22"/>
          <w:szCs w:val="22"/>
        </w:rPr>
        <w:t xml:space="preserve">12.8 Insurance. Developer shall maintain: (a) commercial general liability insurance of at least $[1,000,000] per occurrence; (b) professional liability / errors and omissions insurance of at least $[1,000,000] per claim; and (c) cyber liability insurance of at least $[1,000,000] per claim, if Developer processes personal data. Developer shall provide certificates upon request.</w:t>
      </w:r>
    </w:p>
    <w:p>
      <w:pPr>
        <w:spacing w:after="160"/>
        <w:jc w:val="left"/>
      </w:pPr>
      <w:r>
        <w:rPr>
          <w:rFonts w:ascii="Calibri" w:cs="Calibri" w:eastAsia="Calibri" w:hAnsi="Calibri"/>
          <w:color w:val="333333"/>
          <w:sz w:val="22"/>
          <w:szCs w:val="22"/>
        </w:rPr>
        <w:t xml:space="preserve">12.9 Entire Agreement. This Agreement, together with all Exhibits and Change Orders, constitutes the entire agreement between the parties regarding its subject matter and supersedes all prior negotiations, representations, and agreements.</w:t>
      </w:r>
    </w:p>
    <w:p>
      <w:pPr>
        <w:spacing w:after="160"/>
        <w:jc w:val="left"/>
      </w:pPr>
      <w:r>
        <w:rPr>
          <w:rFonts w:ascii="Calibri" w:cs="Calibri" w:eastAsia="Calibri" w:hAnsi="Calibri"/>
          <w:color w:val="333333"/>
          <w:sz w:val="22"/>
          <w:szCs w:val="22"/>
        </w:rPr>
        <w:t xml:space="preserve">12.10 Amendment. No amendment is effective unless in writing and signed by both parties' Authorized Representatives.</w:t>
      </w:r>
    </w:p>
    <w:p>
      <w:pPr>
        <w:spacing w:after="160"/>
        <w:jc w:val="left"/>
      </w:pPr>
      <w:r>
        <w:rPr>
          <w:rFonts w:ascii="Calibri" w:cs="Calibri" w:eastAsia="Calibri" w:hAnsi="Calibri"/>
          <w:color w:val="333333"/>
          <w:sz w:val="22"/>
          <w:szCs w:val="22"/>
        </w:rPr>
        <w:t xml:space="preserve">12.11 Severability. If any provision is held invalid or unenforceable, it shall be modified to the minimum extent necessary, and the remaining provisions shall continue in full force.</w:t>
      </w:r>
    </w:p>
    <w:p>
      <w:pPr>
        <w:spacing w:after="160"/>
        <w:jc w:val="left"/>
      </w:pPr>
      <w:r>
        <w:rPr>
          <w:rFonts w:ascii="Calibri" w:cs="Calibri" w:eastAsia="Calibri" w:hAnsi="Calibri"/>
          <w:color w:val="333333"/>
          <w:sz w:val="22"/>
          <w:szCs w:val="22"/>
        </w:rPr>
        <w:t xml:space="preserve">12.12 Waiver. Failure to enforce any provision is not a waiver of future enforcement.</w:t>
      </w:r>
    </w:p>
    <w:p>
      <w:pPr>
        <w:spacing w:after="160"/>
        <w:jc w:val="left"/>
      </w:pPr>
      <w:r>
        <w:rPr>
          <w:rFonts w:ascii="Calibri" w:cs="Calibri" w:eastAsia="Calibri" w:hAnsi="Calibri"/>
          <w:color w:val="333333"/>
          <w:sz w:val="22"/>
          <w:szCs w:val="22"/>
        </w:rPr>
        <w:t xml:space="preserve">12.13 Counterparts. This Agreement may be executed in counterparts, including by electronic signature, each of which constitutes an original.</w:t>
      </w:r>
    </w:p>
    <w:p>
      <w:pPr>
        <w:spacing w:after="160"/>
        <w:jc w:val="left"/>
      </w:pPr>
      <w:r>
        <w:rPr>
          <w:rFonts w:ascii="Calibri" w:cs="Calibri" w:eastAsia="Calibri" w:hAnsi="Calibri"/>
          <w:color w:val="333333"/>
          <w:sz w:val="22"/>
          <w:szCs w:val="22"/>
        </w:rPr>
        <w:t xml:space="preserve">12.14 Publicity. Neither party may use the other's name, logo, or trademarks in publicity without prior written consent, except that Developer may include Customer's name in a confidential client list.</w:t>
      </w:r>
    </w:p>
    <w:p>
      <w:pPr>
        <w:spacing w:after="160"/>
        <w:jc w:val="left"/>
      </w:pPr>
      <w:r>
        <w:rPr>
          <w:rFonts w:ascii="Calibri" w:cs="Calibri" w:eastAsia="Calibri" w:hAnsi="Calibri"/>
          <w:color w:val="333333"/>
          <w:sz w:val="22"/>
          <w:szCs w:val="22"/>
        </w:rPr>
        <w:t xml:space="preserve">12.15 Export Compliance. Each party shall comply with applicable export control and sanctions laws. Neither party shall export or re-export Deliverables to prohibited destinations or persons.</w:t>
      </w:r>
    </w:p>
    <w:p>
      <w:pPr>
        <w:spacing w:before="480"/>
      </w:pPr>
    </w:p>
    <w:p>
      <w:pPr>
        <w:pStyle w:val="Heading2"/>
        <w:spacing w:after="120" w:before="240"/>
      </w:pPr>
      <w:r>
        <w:rPr>
          <w:rFonts w:ascii="Calibri" w:cs="Calibri" w:eastAsia="Calibri" w:hAnsi="Calibri"/>
          <w:b/>
          <w:bCs/>
          <w:color w:val="1a1a2e"/>
          <w:sz w:val="24"/>
          <w:szCs w:val="24"/>
        </w:rPr>
        <w:t xml:space="preserve">Signatures</w:t>
      </w:r>
    </w:p>
    <w:p>
      <w:pPr>
        <w:spacing w:before="240"/>
      </w:pPr>
    </w:p>
    <w:p>
      <w:pPr>
        <w:spacing w:after="160"/>
        <w:jc w:val="left"/>
      </w:pPr>
      <w:r>
        <w:rPr>
          <w:rFonts w:ascii="Calibri" w:cs="Calibri" w:eastAsia="Calibri" w:hAnsi="Calibri"/>
          <w:b/>
          <w:bCs/>
          <w:color w:val="333333"/>
          <w:sz w:val="22"/>
          <w:szCs w:val="22"/>
        </w:rPr>
        <w:t xml:space="preserve">DEVELOPER</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  |  Title: [TITLE]  |  Date: [DATE]</w:t>
      </w:r>
    </w:p>
    <w:p>
      <w:pPr>
        <w:spacing w:before="360"/>
      </w:pPr>
    </w:p>
    <w:p>
      <w:pPr>
        <w:spacing w:after="160"/>
        <w:jc w:val="left"/>
      </w:pPr>
      <w:r>
        <w:rPr>
          <w:rFonts w:ascii="Calibri" w:cs="Calibri" w:eastAsia="Calibri" w:hAnsi="Calibri"/>
          <w:b/>
          <w:bCs/>
          <w:color w:val="333333"/>
          <w:sz w:val="22"/>
          <w:szCs w:val="22"/>
        </w:rPr>
        <w:t xml:space="preserve">CUSTOMER</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  |  Title: [TITLE]  |  Date: [DATE]</w:t>
      </w:r>
    </w:p>
    <w:p>
      <w:r>
        <w:br w:type="page"/>
      </w:r>
    </w:p>
    <w:p>
      <w:pPr>
        <w:pStyle w:val="Heading2"/>
        <w:spacing w:after="120" w:before="240"/>
      </w:pPr>
      <w:r>
        <w:rPr>
          <w:rFonts w:ascii="Calibri" w:cs="Calibri" w:eastAsia="Calibri" w:hAnsi="Calibri"/>
          <w:b/>
          <w:bCs/>
          <w:color w:val="1a1a2e"/>
          <w:sz w:val="24"/>
          <w:szCs w:val="24"/>
        </w:rPr>
        <w:t xml:space="preserve">Exhibit A — Development Plan and Acceptance Criteria</w:t>
      </w:r>
    </w:p>
    <w:p>
      <w:pPr>
        <w:spacing w:after="160"/>
        <w:jc w:val="left"/>
      </w:pPr>
      <w:r>
        <w:rPr>
          <w:rFonts w:ascii="Calibri" w:cs="Calibri" w:eastAsia="Calibri" w:hAnsi="Calibri"/>
          <w:color w:val="333333"/>
          <w:sz w:val="22"/>
          <w:szCs w:val="22"/>
        </w:rPr>
        <w:t xml:space="preserve">[For each Milestone, include: functional and technical requirements, architecture and environment, dependencies, delivery format, objective acceptance tests (with pass/fail criteria, test data, and expected results), target delivery date, associated fees, documentation requirements, and training deliverables. Include a requirements-to-test traceability matrix.]</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Milestone 1:</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[DESCRIPTION]</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Requirements: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[FUNCTIONAL AND TECHNICAL REQUIREMENTS]</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Acceptance Tests: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[OBJECTIVE PASS/FAIL CRITERIA]</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Target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Fee: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$[AMOUNT]</w:t>
            </w:r>
          </w:p>
        </w:tc>
      </w:tr>
    </w:tbl>
    <w:p>
      <w:pPr>
        <w:spacing w:after="200"/>
      </w:pPr>
    </w:p>
    <w:p>
      <w:pPr>
        <w:spacing w:after="160"/>
        <w:jc w:val="left"/>
      </w:pPr>
      <w:r>
        <w:rPr>
          <w:rFonts w:ascii="Calibri" w:cs="Calibri" w:eastAsia="Calibri" w:hAnsi="Calibri"/>
          <w:color w:val="333333"/>
          <w:sz w:val="22"/>
          <w:szCs w:val="22"/>
        </w:rPr>
        <w:t xml:space="preserve">[Repeat for each additional Milestone.]</w:t>
      </w:r>
    </w:p>
    <w:p>
      <w:pPr>
        <w:spacing w:before="360"/>
      </w:pPr>
    </w:p>
    <w:p>
      <w:pPr>
        <w:pStyle w:val="Heading2"/>
        <w:spacing w:after="120" w:before="240"/>
      </w:pPr>
      <w:r>
        <w:rPr>
          <w:rFonts w:ascii="Calibri" w:cs="Calibri" w:eastAsia="Calibri" w:hAnsi="Calibri"/>
          <w:b/>
          <w:bCs/>
          <w:color w:val="1a1a2e"/>
          <w:sz w:val="24"/>
          <w:szCs w:val="24"/>
        </w:rPr>
        <w:t xml:space="preserve">Exhibit B — Fee Schedule</w:t>
      </w:r>
    </w:p>
    <w:p>
      <w:pPr>
        <w:spacing w:after="160"/>
        <w:jc w:val="left"/>
      </w:pPr>
      <w:r>
        <w:rPr>
          <w:rFonts w:ascii="Calibri" w:cs="Calibri" w:eastAsia="Calibri" w:hAnsi="Calibri"/>
          <w:color w:val="333333"/>
          <w:sz w:val="22"/>
          <w:szCs w:val="22"/>
        </w:rPr>
        <w:t xml:space="preserve">[State total project fees, payment schedule (milestone-based, monthly T&amp;M, or hybrid), hourly/daily rates for T&amp;M work, expense policy, holdback percentage, and currency. Include rate card for additional services, change-order rates, and overtime provisions if applicable.]</w:t>
      </w:r>
    </w:p>
    <w:p>
      <w:pPr>
        <w:spacing w:before="360"/>
      </w:pPr>
    </w:p>
    <w:p>
      <w:pPr>
        <w:pStyle w:val="Heading2"/>
        <w:spacing w:after="120" w:before="240"/>
      </w:pPr>
      <w:r>
        <w:rPr>
          <w:rFonts w:ascii="Calibri" w:cs="Calibri" w:eastAsia="Calibri" w:hAnsi="Calibri"/>
          <w:b/>
          <w:bCs/>
          <w:color w:val="1a1a2e"/>
          <w:sz w:val="24"/>
          <w:szCs w:val="24"/>
        </w:rPr>
        <w:t xml:space="preserve">Exhibit C — IP and Component Register</w:t>
      </w:r>
    </w:p>
    <w:p>
      <w:pPr>
        <w:spacing w:after="160"/>
        <w:jc w:val="left"/>
      </w:pPr>
      <w:r>
        <w:rPr>
          <w:rFonts w:ascii="Calibri" w:cs="Calibri" w:eastAsia="Calibri" w:hAnsi="Calibri"/>
          <w:color w:val="333333"/>
          <w:sz w:val="22"/>
          <w:szCs w:val="22"/>
        </w:rPr>
        <w:t xml:space="preserve">[List each component of the Deliverables with the following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Component:</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[NAME / DESCRIPTION]</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Type: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[Developer Background / Customer Material / New Work Product / Third-Party Commercial / Open Source / AI-Assisted]</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License: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[License type, version, and obligations]</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Ownership:</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[Developer / Customer / Third Party]</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Restrictions: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[Copyleft obligations, attribution, distribution limits]</w:t>
            </w:r>
          </w:p>
        </w:tc>
      </w:tr>
    </w:tbl>
    <w:p>
      <w:pPr>
        <w:spacing w:after="200"/>
      </w:pPr>
    </w:p>
    <w:p>
      <w:pPr>
        <w:spacing w:after="160"/>
        <w:jc w:val="left"/>
      </w:pPr>
      <w:r>
        <w:rPr>
          <w:rFonts w:ascii="Calibri" w:cs="Calibri" w:eastAsia="Calibri" w:hAnsi="Calibri"/>
          <w:color w:val="333333"/>
          <w:sz w:val="22"/>
          <w:szCs w:val="22"/>
        </w:rPr>
        <w:t xml:space="preserve">[Repeat for each component. Include AI tools used and their terms of service.]</w:t>
      </w:r>
    </w:p>
    <w:p>
      <w:pPr>
        <w:spacing w:before="360"/>
      </w:pPr>
    </w:p>
    <w:p>
      <w:pPr>
        <w:pStyle w:val="Heading2"/>
        <w:spacing w:after="120" w:before="240"/>
      </w:pPr>
      <w:r>
        <w:rPr>
          <w:rFonts w:ascii="Calibri" w:cs="Calibri" w:eastAsia="Calibri" w:hAnsi="Calibri"/>
          <w:b/>
          <w:bCs/>
          <w:color w:val="1a1a2e"/>
          <w:sz w:val="24"/>
          <w:szCs w:val="24"/>
        </w:rPr>
        <w:t xml:space="preserve">Exhibit D — Support, Transition, and Exit</w:t>
      </w:r>
    </w:p>
    <w:p>
      <w:pPr>
        <w:spacing w:after="160"/>
        <w:jc w:val="left"/>
      </w:pPr>
      <w:r>
        <w:rPr>
          <w:rFonts w:ascii="Calibri" w:cs="Calibri" w:eastAsia="Calibri" w:hAnsi="Calibri"/>
          <w:color w:val="333333"/>
          <w:sz w:val="22"/>
          <w:szCs w:val="22"/>
        </w:rPr>
        <w:t xml:space="preserve">[Include: post-acceptance support terms and SLA (if applicable), transition assistance upon termination (hours, rates, duration), repository and source-code handoff procedures, credential and account transfer, knowledge-transfer sessions, open-defect list and resolution plan, data export format and timeline, documentation delivery, deletion certificate timeline and process, and work-in-progress delivery format.]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Software Development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2026-08-22T17:22:15.026Z</dcterms:created>
  <dcterms:modified xsi:type="dcterms:W3CDTF">2026-08-22T17:22:15.027Z</dcterms:modified>
</cp:coreProperties>
</file>

<file path=docProps/custom.xml><?xml version="1.0" encoding="utf-8"?>
<Properties xmlns="http://schemas.openxmlformats.org/officeDocument/2006/custom-properties" xmlns:vt="http://schemas.openxmlformats.org/officeDocument/2006/docPropsVTypes"/>
</file>