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p>
    <w:p>
      <w:pPr>
        <w:spacing w:after="80"/>
        <w:jc w:val="center"/>
      </w:pPr>
      <w:r>
        <w:rPr>
          <w:rFonts w:ascii="Calibri" w:cs="Calibri" w:eastAsia="Calibri" w:hAnsi="Calibri"/>
          <w:b/>
          <w:bCs/>
          <w:caps/>
          <w:color w:val="2E5090"/>
          <w:sz w:val="20"/>
          <w:szCs w:val="20"/>
        </w:rPr>
        <w:t xml:space="preserve">MONTAGUE LAW</w:t>
      </w:r>
    </w:p>
    <w:p>
      <w:pPr>
        <w:spacing w:after="80"/>
        <w:jc w:val="center"/>
      </w:pPr>
      <w:r>
        <w:rPr>
          <w:rFonts w:ascii="Calibri" w:cs="Calibri" w:eastAsia="Calibri" w:hAnsi="Calibri"/>
          <w:i/>
          <w:iCs/>
          <w:color w:val="666666"/>
          <w:sz w:val="20"/>
          <w:szCs w:val="20"/>
        </w:rPr>
        <w:t xml:space="preserve">Entrepreneur Forms Library</w:t>
      </w:r>
    </w:p>
    <w:p>
      <w:pPr>
        <w:spacing w:after="200"/>
      </w:pPr>
    </w:p>
    <w:p>
      <w:pPr>
        <w:pBdr>
          <w:bottom w:val="single" w:color="8DB4E2" w:sz="6" w:space="4"/>
        </w:pBdr>
        <w:spacing w:after="120" w:before="120"/>
      </w:pPr>
    </w:p>
    <w:p>
      <w:pPr>
        <w:spacing w:after="200"/>
      </w:pPr>
    </w:p>
    <w:p>
      <w:pPr>
        <w:spacing w:after="160"/>
        <w:jc w:val="center"/>
      </w:pPr>
      <w:r>
        <w:rPr>
          <w:rFonts w:ascii="Calibri" w:cs="Calibri" w:eastAsia="Calibri" w:hAnsi="Calibri"/>
          <w:b/>
          <w:bCs/>
          <w:color w:val="1B2A4A"/>
          <w:sz w:val="48"/>
          <w:szCs w:val="48"/>
        </w:rPr>
        <w:t xml:space="preserve">RULE 701 DISCLOSURE</w:t>
      </w:r>
    </w:p>
    <w:p>
      <w:pPr>
        <w:spacing w:after="80"/>
        <w:jc w:val="center"/>
      </w:pPr>
      <w:r>
        <w:rPr>
          <w:rFonts w:ascii="Calibri" w:cs="Calibri" w:eastAsia="Calibri" w:hAnsi="Calibri"/>
          <w:b/>
          <w:bCs/>
          <w:color w:val="1B2A4A"/>
          <w:sz w:val="48"/>
          <w:szCs w:val="48"/>
        </w:rPr>
        <w:t xml:space="preserve">AND DELIVERY PACKAGE</w:t>
      </w:r>
    </w:p>
    <w:p>
      <w:pPr>
        <w:spacing w:after="120"/>
      </w:pPr>
    </w:p>
    <w:p>
      <w:pPr>
        <w:spacing w:after="200"/>
        <w:jc w:val="center"/>
      </w:pPr>
      <w:r>
        <w:rPr>
          <w:rFonts w:ascii="Calibri" w:cs="Calibri" w:eastAsia="Calibri" w:hAnsi="Calibri"/>
          <w:i/>
          <w:iCs/>
          <w:color w:val="2E5090"/>
          <w:sz w:val="24"/>
          <w:szCs w:val="24"/>
        </w:rPr>
        <w:t xml:space="preserve">Securities Act Rule 701 — Compensatory Securities Compliance</w:t>
      </w:r>
    </w:p>
    <w:p>
      <w:pPr>
        <w:pBdr>
          <w:bottom w:val="single" w:color="8DB4E2" w:sz="6" w:space="4"/>
        </w:pBdr>
        <w:spacing w:after="120" w:before="120"/>
      </w:pPr>
    </w:p>
    <w:p>
      <w:pPr>
        <w:spacing w:after="200"/>
      </w:pPr>
    </w:p>
    <w:p>
      <w:pPr>
        <w:spacing w:after="120"/>
        <w:jc w:val="center"/>
      </w:pPr>
      <w:r>
        <w:rPr>
          <w:rFonts w:ascii="Calibri" w:cs="Calibri" w:eastAsia="Calibri" w:hAnsi="Calibri"/>
          <w:b/>
          <w:bCs/>
          <w:color w:val="1B2A4A"/>
          <w:sz w:val="22"/>
          <w:szCs w:val="22"/>
        </w:rPr>
        <w:t xml:space="preserve">Form EF-035</w:t>
      </w:r>
    </w:p>
    <w:p>
      <w:pPr>
        <w:spacing w:after="120"/>
        <w:jc w:val="center"/>
      </w:pPr>
      <w:r>
        <w:rPr>
          <w:rFonts w:ascii="Calibri" w:cs="Calibri" w:eastAsia="Calibri" w:hAnsi="Calibri"/>
          <w:color w:val="1B2A4A"/>
          <w:sz w:val="22"/>
          <w:szCs w:val="22"/>
        </w:rPr>
        <w:t xml:space="preserve">Prepared for: [ISSUER LEGAL NAME]</w:t>
      </w:r>
    </w:p>
    <w:p>
      <w:pPr>
        <w:spacing w:after="120"/>
        <w:jc w:val="center"/>
      </w:pPr>
      <w:r>
        <w:rPr>
          <w:rFonts w:ascii="Calibri" w:cs="Calibri" w:eastAsia="Calibri" w:hAnsi="Calibri"/>
          <w:color w:val="1B2A4A"/>
          <w:sz w:val="22"/>
          <w:szCs w:val="22"/>
        </w:rPr>
        <w:t xml:space="preserve">Effective Date: [DATE]</w:t>
      </w:r>
    </w:p>
    <w:p>
      <w:pPr>
        <w:spacing w:after="120"/>
        <w:jc w:val="center"/>
      </w:pPr>
      <w:r>
        <w:rPr>
          <w:rFonts w:ascii="Calibri" w:cs="Calibri" w:eastAsia="Calibri" w:hAnsi="Calibri"/>
          <w:color w:val="1B2A4A"/>
          <w:sz w:val="22"/>
          <w:szCs w:val="22"/>
        </w:rPr>
        <w:t xml:space="preserve">Package Version: [VERSION NUMBER]</w:t>
      </w:r>
    </w:p>
    <w:p>
      <w:pPr>
        <w:spacing w:after="300"/>
      </w:pPr>
    </w:p>
    <w:p>
      <w:pPr>
        <w:spacing w:after="80"/>
        <w:jc w:val="center"/>
      </w:pPr>
      <w:r>
        <w:rPr>
          <w:rFonts w:ascii="Calibri" w:cs="Calibri" w:eastAsia="Calibri" w:hAnsi="Calibri"/>
          <w:b/>
          <w:bCs/>
          <w:caps/>
          <w:color w:val="2E5090"/>
          <w:sz w:val="18"/>
          <w:szCs w:val="18"/>
        </w:rPr>
        <w:t xml:space="preserve">CONFIDENTIAL — FOR AUTHORIZED RECIPIENTS ONLY</w:t>
      </w:r>
    </w:p>
    <w:p>
      <w:pPr>
        <w:spacing w:after="80"/>
        <w:jc w:val="center"/>
      </w:pPr>
      <w:r>
        <w:rPr>
          <w:rFonts w:ascii="Calibri" w:cs="Calibri" w:eastAsia="Calibri" w:hAnsi="Calibri"/>
          <w:i/>
          <w:iCs/>
          <w:color w:val="666666"/>
          <w:sz w:val="16"/>
          <w:szCs w:val="16"/>
        </w:rPr>
        <w:t xml:space="preserve">This document contains proprietary financial information and is provided solely for the purpose of complying with Securities Act Rule 701.</w:t>
      </w:r>
    </w:p>
    <w:p>
      <w:pPr>
        <w:spacing w:after="80"/>
        <w:jc w:val="center"/>
      </w:pPr>
      <w:r>
        <w:rPr>
          <w:rFonts w:ascii="Calibri" w:cs="Calibri" w:eastAsia="Calibri" w:hAnsi="Calibri"/>
          <w:i/>
          <w:iCs/>
          <w:color w:val="666666"/>
          <w:sz w:val="16"/>
          <w:szCs w:val="16"/>
        </w:rPr>
        <w:t xml:space="preserve">Any redistribution, reproduction, or use for purposes other than Rule 701 compliance is strictly prohibited.</w:t>
      </w:r>
    </w:p>
    <w:p>
      <w:r>
        <w:br w:type="page"/>
      </w:r>
    </w:p>
    <w:p>
      <w:pPr>
        <w:pStyle w:val="Heading1"/>
        <w:spacing w:after="200" w:before="360"/>
      </w:pPr>
      <w:r>
        <w:rPr>
          <w:rFonts w:ascii="Calibri" w:cs="Calibri" w:eastAsia="Calibri" w:hAnsi="Calibri"/>
          <w:b/>
          <w:bCs/>
          <w:color w:val="1B2A4A"/>
          <w:sz w:val="28"/>
          <w:szCs w:val="28"/>
        </w:rPr>
        <w:t xml:space="preserve">TABLE OF CONTENTS</w:t>
      </w:r>
    </w:p>
    <w:p>
      <w:pPr>
        <w:spacing w:after="80"/>
      </w:pPr>
    </w:p>
    <w:sdt>
      <w:sdtPr>
        <w:alias w:val="Table of Contents"/>
      </w:sdtPr>
      <w:sdtContent>
        <w:p>
          <w:r>
            <w:fldChar w:fldCharType="begin" w:dirty="true"/>
            <w:instrText xml:space="preserve">TOC \h \o "1-4" \t "Heading1,1,Heading2,2,Heading3,3,Heading4,4"</w:instrText>
            <w:fldChar w:fldCharType="separate"/>
          </w:r>
        </w:p>
        <w:p>
          <w:r>
            <w:fldChar w:fldCharType="end"/>
          </w:r>
        </w:p>
      </w:sdtContent>
    </w:sdt>
    <w:p>
      <w:pPr>
        <w:spacing w:after="80"/>
      </w:pPr>
    </w:p>
    <w:p>
      <w:pPr>
        <w:spacing w:after="160" w:line="276"/>
        <w:jc w:val="both"/>
      </w:pPr>
      <w:r>
        <w:rPr>
          <w:rFonts w:ascii="Calibri" w:cs="Calibri" w:eastAsia="Calibri" w:hAnsi="Calibri"/>
          <w:b/>
          <w:bCs/>
          <w:i/>
          <w:iCs/>
          <w:color w:val="2E5090"/>
          <w:sz w:val="19"/>
          <w:szCs w:val="19"/>
        </w:rPr>
        <w:t xml:space="preserve">Note: </w:t>
      </w:r>
      <w:r>
        <w:rPr>
          <w:rFonts w:ascii="Calibri" w:cs="Calibri" w:eastAsia="Calibri" w:hAnsi="Calibri"/>
          <w:b w:val="false"/>
          <w:bCs w:val="false"/>
          <w:i/>
          <w:iCs/>
          <w:color w:val="666666"/>
          <w:sz w:val="19"/>
          <w:szCs w:val="19"/>
        </w:rPr>
        <w:t xml:space="preserve">Update this table of contents by right-clicking and selecting "Update Field" after all bracket placeholders have been completed.</w:t>
      </w:r>
    </w:p>
    <w:p>
      <w:r>
        <w:br w:type="page"/>
      </w:r>
    </w:p>
    <w:p>
      <w:pPr>
        <w:pStyle w:val="Heading1"/>
        <w:spacing w:after="200" w:before="360"/>
      </w:pPr>
      <w:r>
        <w:rPr>
          <w:rFonts w:ascii="Calibri" w:cs="Calibri" w:eastAsia="Calibri" w:hAnsi="Calibri"/>
          <w:b/>
          <w:bCs/>
          <w:color w:val="1B2A4A"/>
          <w:sz w:val="28"/>
          <w:szCs w:val="28"/>
        </w:rPr>
        <w:t xml:space="preserve">SECTION 1: SCOPE MEMORANDUM</w:t>
      </w:r>
    </w:p>
    <w:p>
      <w:pPr>
        <w:spacing w:after="160" w:line="276"/>
        <w:jc w:val="both"/>
      </w:pPr>
      <w:r>
        <w:rPr>
          <w:rFonts w:ascii="Calibri" w:cs="Calibri" w:eastAsia="Calibri" w:hAnsi="Calibri"/>
          <w:b w:val="false"/>
          <w:bCs w:val="false"/>
          <w:i w:val="false"/>
          <w:iCs w:val="false"/>
          <w:color w:val="000000"/>
          <w:sz w:val="20"/>
          <w:szCs w:val="20"/>
        </w:rPr>
        <w:t xml:space="preserve">This Scope Memorandum establishes the factual predicates for the Issuer's reliance on Securities Act Rule 701 (17 C.F.R. § 230.701) and defines the universe of compensatory securities transactions covered by this Disclosure and Delivery Package. Each factual assertion below must be verified by the responsible officer or outside counsel before any sale is recorded in the Rolling-Period Calculator (Section 2).</w:t>
      </w:r>
    </w:p>
    <w:p>
      <w:pPr>
        <w:pStyle w:val="Heading2"/>
        <w:spacing w:after="160" w:before="300"/>
      </w:pPr>
      <w:r>
        <w:rPr>
          <w:rFonts w:ascii="Calibri" w:cs="Calibri" w:eastAsia="Calibri" w:hAnsi="Calibri"/>
          <w:b/>
          <w:bCs/>
          <w:color w:val="2E5090"/>
          <w:sz w:val="24"/>
          <w:szCs w:val="24"/>
        </w:rPr>
        <w:t xml:space="preserve">1.1 Issuer Identification and Status</w:t>
      </w:r>
    </w:p>
    <w:p>
      <w:pPr>
        <w:spacing w:after="160" w:line="276"/>
        <w:jc w:val="both"/>
      </w:pPr>
      <w:r>
        <w:rPr>
          <w:rFonts w:ascii="Calibri" w:cs="Calibri" w:eastAsia="Calibri" w:hAnsi="Calibri"/>
          <w:b w:val="false"/>
          <w:bCs w:val="false"/>
          <w:i w:val="false"/>
          <w:iCs w:val="false"/>
          <w:color w:val="000000"/>
          <w:sz w:val="20"/>
          <w:szCs w:val="20"/>
        </w:rPr>
        <w:t xml:space="preserve">The following information identifies the Issuer and establishes that it satisfies the threshold eligibility requirements of Rule 701(a).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0"/>
        <w:gridCol w:w="3760"/>
      </w:tblGrid>
      <w:tr>
        <w:trPr>
          <w:tblHeader/>
        </w:trPr>
        <w:tc>
          <w:tcPr>
            <w:tcW w:type="dxa" w:w="5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Data Element</w:t>
            </w:r>
          </w:p>
        </w:tc>
        <w:tc>
          <w:tcPr>
            <w:tcW w:type="dxa" w:w="37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Entry</w:t>
            </w:r>
          </w:p>
        </w:tc>
      </w:tr>
      <w:tr>
        <w:tc>
          <w:tcPr>
            <w:tcW w:type="dxa" w:w="5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Legal Name of Issuer</w:t>
            </w:r>
          </w:p>
        </w:tc>
        <w:tc>
          <w:tcPr>
            <w:tcW w:type="dxa" w:w="37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[ISSUER LEGAL NAME]</w:t>
            </w:r>
          </w:p>
        </w:tc>
      </w:tr>
      <w:tr>
        <w:tc>
          <w:tcPr>
            <w:tcW w:type="dxa" w:w="5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State/Jurisdiction of Organization</w:t>
            </w:r>
          </w:p>
        </w:tc>
        <w:tc>
          <w:tcPr>
            <w:tcW w:type="dxa" w:w="37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[STATE/JURISDICTION]</w:t>
            </w:r>
          </w:p>
        </w:tc>
      </w:tr>
      <w:tr>
        <w:tc>
          <w:tcPr>
            <w:tcW w:type="dxa" w:w="5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Entity Type (Corporation, LLC, LP, etc.)</w:t>
            </w:r>
          </w:p>
        </w:tc>
        <w:tc>
          <w:tcPr>
            <w:tcW w:type="dxa" w:w="37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[ENTITY TYPE]</w:t>
            </w:r>
          </w:p>
        </w:tc>
      </w:tr>
      <w:tr>
        <w:tc>
          <w:tcPr>
            <w:tcW w:type="dxa" w:w="5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of Organization</w:t>
            </w:r>
          </w:p>
        </w:tc>
        <w:tc>
          <w:tcPr>
            <w:tcW w:type="dxa" w:w="37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[ORGANIZATION DATE]</w:t>
            </w:r>
          </w:p>
        </w:tc>
      </w:tr>
      <w:tr>
        <w:tc>
          <w:tcPr>
            <w:tcW w:type="dxa" w:w="5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Federal EIN</w:t>
            </w:r>
          </w:p>
        </w:tc>
        <w:tc>
          <w:tcPr>
            <w:tcW w:type="dxa" w:w="37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[EIN]</w:t>
            </w:r>
          </w:p>
        </w:tc>
      </w:tr>
      <w:tr>
        <w:tc>
          <w:tcPr>
            <w:tcW w:type="dxa" w:w="5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Principal Executive Offices Address</w:t>
            </w:r>
          </w:p>
        </w:tc>
        <w:tc>
          <w:tcPr>
            <w:tcW w:type="dxa" w:w="37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[ADDRESS]</w:t>
            </w:r>
          </w:p>
        </w:tc>
      </w:tr>
      <w:tr>
        <w:tc>
          <w:tcPr>
            <w:tcW w:type="dxa" w:w="5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SEC File Number (if any)</w:t>
            </w:r>
          </w:p>
        </w:tc>
        <w:tc>
          <w:tcPr>
            <w:tcW w:type="dxa" w:w="37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[FILE NUMBER OR "None"]</w:t>
            </w:r>
          </w:p>
        </w:tc>
      </w:tr>
      <w:tr>
        <w:tc>
          <w:tcPr>
            <w:tcW w:type="dxa" w:w="5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Is Issuer a Reporting Company under Exchange Act § 13 or 15(d)?</w:t>
            </w:r>
          </w:p>
        </w:tc>
        <w:tc>
          <w:tcPr>
            <w:tcW w:type="dxa" w:w="37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r>
        <w:tc>
          <w:tcPr>
            <w:tcW w:type="dxa" w:w="5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Is Issuer an Investment Company under Investment Company Act?</w:t>
            </w:r>
          </w:p>
        </w:tc>
        <w:tc>
          <w:tcPr>
            <w:tcW w:type="dxa" w:w="37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r>
        <w:tc>
          <w:tcPr>
            <w:tcW w:type="dxa" w:w="5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Is Issuer a Blank Check Company under Rule 419?</w:t>
            </w:r>
          </w:p>
        </w:tc>
        <w:tc>
          <w:tcPr>
            <w:tcW w:type="dxa" w:w="37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r>
        <w:tc>
          <w:tcPr>
            <w:tcW w:type="dxa" w:w="5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Is Issuer a Shell Company as defined in Rule 405?</w:t>
            </w:r>
          </w:p>
        </w:tc>
        <w:tc>
          <w:tcPr>
            <w:tcW w:type="dxa" w:w="37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bl>
    <w:p>
      <w:pPr>
        <w:spacing w:after="80"/>
      </w:pPr>
    </w:p>
    <w:p>
      <w:pPr>
        <w:spacing w:after="160" w:line="276"/>
        <w:jc w:val="both"/>
      </w:pPr>
      <w:r>
        <w:rPr>
          <w:rFonts w:ascii="Calibri" w:cs="Calibri" w:eastAsia="Calibri" w:hAnsi="Calibri"/>
          <w:b/>
          <w:bCs/>
          <w:i/>
          <w:iCs/>
          <w:color w:val="2E5090"/>
          <w:sz w:val="19"/>
          <w:szCs w:val="19"/>
        </w:rPr>
        <w:t xml:space="preserve">Note: </w:t>
      </w:r>
      <w:r>
        <w:rPr>
          <w:rFonts w:ascii="Calibri" w:cs="Calibri" w:eastAsia="Calibri" w:hAnsi="Calibri"/>
          <w:b w:val="false"/>
          <w:bCs w:val="false"/>
          <w:i/>
          <w:iCs/>
          <w:color w:val="666666"/>
          <w:sz w:val="19"/>
          <w:szCs w:val="19"/>
        </w:rPr>
        <w:t xml:space="preserve">Rule 701 is available only to issuers that are not subject to the reporting requirements of Section 13 or 15(d) of the Exchange Act. If the Issuer becomes a reporting company, Rule 701 ceases to be available for new offerings as of the date the registration statement or first report becomes effective or is required to be filed, whichever is earlier. See Rule 701(a).</w:t>
      </w:r>
    </w:p>
    <w:p>
      <w:pPr>
        <w:pStyle w:val="Heading2"/>
        <w:spacing w:after="160" w:before="300"/>
      </w:pPr>
      <w:r>
        <w:rPr>
          <w:rFonts w:ascii="Calibri" w:cs="Calibri" w:eastAsia="Calibri" w:hAnsi="Calibri"/>
          <w:b/>
          <w:bCs/>
          <w:color w:val="2E5090"/>
          <w:sz w:val="24"/>
          <w:szCs w:val="24"/>
        </w:rPr>
        <w:t xml:space="preserve">1.2 Covered Compensatory Plans, Contracts, and Arrangements</w:t>
      </w:r>
    </w:p>
    <w:p>
      <w:pPr>
        <w:spacing w:after="160" w:line="276"/>
        <w:jc w:val="both"/>
      </w:pPr>
      <w:r>
        <w:rPr>
          <w:rFonts w:ascii="Calibri" w:cs="Calibri" w:eastAsia="Calibri" w:hAnsi="Calibri"/>
          <w:b w:val="false"/>
          <w:bCs w:val="false"/>
          <w:i w:val="false"/>
          <w:iCs w:val="false"/>
          <w:color w:val="000000"/>
          <w:sz w:val="20"/>
          <w:szCs w:val="20"/>
        </w:rPr>
        <w:t xml:space="preserve">Rule 701(c) limits the exemption to offers and sales under written compensatory benefit plans or written compensation contracts. List every plan, contract, or arrangement under which the Issuer may issue securities in reliance on Rule 701: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1600"/>
        <w:gridCol w:w="900"/>
        <w:gridCol w:w="900"/>
        <w:gridCol w:w="1400"/>
        <w:gridCol w:w="1730"/>
        <w:gridCol w:w="1730"/>
      </w:tblGrid>
      <w:tr>
        <w:trPr>
          <w:tblHeader/>
        </w:trPr>
        <w:tc>
          <w:tcPr>
            <w:tcW w:type="dxa" w:w="11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Plan/Contract ID</w:t>
            </w:r>
          </w:p>
        </w:tc>
        <w:tc>
          <w:tcPr>
            <w:tcW w:type="dxa" w:w="1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Title</w:t>
            </w:r>
          </w:p>
        </w:tc>
        <w:tc>
          <w:tcPr>
            <w:tcW w:type="dxa" w:w="9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Date Adopted</w:t>
            </w:r>
          </w:p>
        </w:tc>
        <w:tc>
          <w:tcPr>
            <w:tcW w:type="dxa" w:w="9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Board Approval Date</w:t>
            </w:r>
          </w:p>
        </w:tc>
        <w:tc>
          <w:tcPr>
            <w:tcW w:type="dxa" w:w="14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Type</w:t>
            </w:r>
          </w:p>
        </w:tc>
        <w:tc>
          <w:tcPr>
            <w:tcW w:type="dxa" w:w="173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Securities Authorized</w:t>
            </w:r>
          </w:p>
        </w:tc>
        <w:tc>
          <w:tcPr>
            <w:tcW w:type="dxa" w:w="173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Securities Remaining</w:t>
            </w:r>
          </w:p>
        </w:tc>
      </w:tr>
      <w:tr>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[PLAN-001]</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[EQUITY INCENTIVE PLAN NAME]</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Equity Incentive Plan</w:t>
            </w:r>
          </w:p>
        </w:tc>
        <w:tc>
          <w:tcPr>
            <w:tcW w:type="dxa" w:w="173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 shares of [CLASS]</w:t>
            </w:r>
          </w:p>
        </w:tc>
        <w:tc>
          <w:tcPr>
            <w:tcW w:type="dxa" w:w="173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[PLAN-002]</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[ESPP NAME, IF ANY]</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Employee Stock Purchase Plan</w:t>
            </w:r>
          </w:p>
        </w:tc>
        <w:tc>
          <w:tcPr>
            <w:tcW w:type="dxa" w:w="173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 shares of [CLASS]</w:t>
            </w:r>
          </w:p>
        </w:tc>
        <w:tc>
          <w:tcPr>
            <w:tcW w:type="dxa" w:w="173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[CONTRACT-001]</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[INDIVIDUAL COMPENSATION CONTRACT]</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Written Compensation Contract</w:t>
            </w:r>
          </w:p>
        </w:tc>
        <w:tc>
          <w:tcPr>
            <w:tcW w:type="dxa" w:w="173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 shares/units</w:t>
            </w:r>
          </w:p>
        </w:tc>
        <w:tc>
          <w:tcPr>
            <w:tcW w:type="dxa" w:w="173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[CONTRACT-002]</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[RESTRICTED STOCK AGREEMENT]</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Restricted Stock Agreement</w:t>
            </w:r>
          </w:p>
        </w:tc>
        <w:tc>
          <w:tcPr>
            <w:tcW w:type="dxa" w:w="173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 shares of [CLASS]</w:t>
            </w:r>
          </w:p>
        </w:tc>
        <w:tc>
          <w:tcPr>
            <w:tcW w:type="dxa" w:w="173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 ROWS]</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[AS NEEDED]</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[TYPE]</w:t>
            </w:r>
          </w:p>
        </w:tc>
        <w:tc>
          <w:tcPr>
            <w:tcW w:type="dxa" w:w="173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173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bl>
    <w:p>
      <w:pPr>
        <w:spacing w:after="80"/>
      </w:pPr>
    </w:p>
    <w:p>
      <w:pPr>
        <w:spacing w:after="160" w:line="276"/>
        <w:jc w:val="both"/>
      </w:pPr>
      <w:r>
        <w:rPr>
          <w:rFonts w:ascii="Calibri" w:cs="Calibri" w:eastAsia="Calibri" w:hAnsi="Calibri"/>
          <w:b/>
          <w:bCs/>
          <w:i w:val="false"/>
          <w:iCs w:val="false"/>
          <w:color w:val="2E5090"/>
          <w:sz w:val="19"/>
          <w:szCs w:val="19"/>
        </w:rPr>
        <w:t xml:space="preserve">Drafting Instruction: </w:t>
      </w:r>
      <w:r>
        <w:rPr>
          <w:rFonts w:ascii="Calibri" w:cs="Calibri" w:eastAsia="Calibri" w:hAnsi="Calibri"/>
          <w:b w:val="false"/>
          <w:bCs w:val="false"/>
          <w:i/>
          <w:iCs/>
          <w:color w:val="666666"/>
          <w:sz w:val="19"/>
          <w:szCs w:val="19"/>
        </w:rPr>
        <w:t xml:space="preserve">Each plan or contract listed above must be a "written compensatory benefit plan" or "written compensation contract" within the meaning of Rule 701(c). Oral arrangements, informal understandings, and plans adopted without board or equivalent governing body approval do not qualify. Attach a complete copy of each plan or contract as part of the Controlled Disclosure Bundle (Section 5).</w:t>
      </w:r>
    </w:p>
    <w:p>
      <w:pPr>
        <w:pStyle w:val="Heading2"/>
        <w:spacing w:after="160" w:before="300"/>
      </w:pPr>
      <w:r>
        <w:rPr>
          <w:rFonts w:ascii="Calibri" w:cs="Calibri" w:eastAsia="Calibri" w:hAnsi="Calibri"/>
          <w:b/>
          <w:bCs/>
          <w:color w:val="2E5090"/>
          <w:sz w:val="24"/>
          <w:szCs w:val="24"/>
        </w:rPr>
        <w:t xml:space="preserve">1.3 Controlled-Group and Predecessor Facts</w:t>
      </w:r>
    </w:p>
    <w:p>
      <w:pPr>
        <w:spacing w:after="160" w:line="276"/>
        <w:jc w:val="both"/>
      </w:pPr>
      <w:r>
        <w:rPr>
          <w:rFonts w:ascii="Calibri" w:cs="Calibri" w:eastAsia="Calibri" w:hAnsi="Calibri"/>
          <w:b w:val="false"/>
          <w:bCs w:val="false"/>
          <w:i w:val="false"/>
          <w:iCs w:val="false"/>
          <w:color w:val="000000"/>
          <w:sz w:val="20"/>
          <w:szCs w:val="20"/>
        </w:rPr>
        <w:t xml:space="preserve">Rule 701 aggregates sales by the issuer, its predecessors, and all entities under common control for purposes of the aggregate-sales-price limitations. Complete the following: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600"/>
        <w:gridCol w:w="1400"/>
        <w:gridCol w:w="2200"/>
        <w:gridCol w:w="1960"/>
      </w:tblGrid>
      <w:tr>
        <w:trPr>
          <w:tblHeader/>
        </w:trPr>
        <w:tc>
          <w:tcPr>
            <w:tcW w:type="dxa" w:w="2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Entity Name</w:t>
            </w:r>
          </w:p>
        </w:tc>
        <w:tc>
          <w:tcPr>
            <w:tcW w:type="dxa" w:w="1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Relationship to Issuer</w:t>
            </w:r>
          </w:p>
        </w:tc>
        <w:tc>
          <w:tcPr>
            <w:tcW w:type="dxa" w:w="14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Jurisdiction</w:t>
            </w:r>
          </w:p>
        </w:tc>
        <w:tc>
          <w:tcPr>
            <w:tcW w:type="dxa" w:w="2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Common Control Basis</w:t>
            </w:r>
          </w:p>
        </w:tc>
        <w:tc>
          <w:tcPr>
            <w:tcW w:type="dxa" w:w="19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Rule 701 Sales in Rolling Period</w:t>
            </w:r>
          </w:p>
        </w:tc>
      </w:tr>
      <w:tr>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[ISSUER LEGAL NAME]</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Issuer</w:t>
            </w:r>
          </w:p>
        </w:tc>
        <w:tc>
          <w:tcPr>
            <w:tcW w:type="dxa" w:w="1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[JURISDICTION]</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19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r>
      <w:tr>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[PARENT ENTITY NAME]</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[Parent/Subsidiary/Affiliate]</w:t>
            </w:r>
          </w:p>
        </w:tc>
        <w:tc>
          <w:tcPr>
            <w:tcW w:type="dxa" w:w="1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[JURISDICTION]</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 CONTROL BASIS]</w:t>
            </w:r>
          </w:p>
        </w:tc>
        <w:tc>
          <w:tcPr>
            <w:tcW w:type="dxa" w:w="19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r>
      <w:tr>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[PREDECESSOR ENTITY NAME]</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Predecessor</w:t>
            </w:r>
          </w:p>
        </w:tc>
        <w:tc>
          <w:tcPr>
            <w:tcW w:type="dxa" w:w="1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[JURISDICTION]</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[MERGER/CONVERSION DATE]</w:t>
            </w:r>
          </w:p>
        </w:tc>
        <w:tc>
          <w:tcPr>
            <w:tcW w:type="dxa" w:w="19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r>
      <w:tr>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 ROWS AS NEEDED]</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[RELATIONSHIP]</w:t>
            </w:r>
          </w:p>
        </w:tc>
        <w:tc>
          <w:tcPr>
            <w:tcW w:type="dxa" w:w="1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[JURISDICTION]</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[CONTROL BASIS]</w:t>
            </w:r>
          </w:p>
        </w:tc>
        <w:tc>
          <w:tcPr>
            <w:tcW w:type="dxa" w:w="19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r>
    </w:tbl>
    <w:p>
      <w:pPr>
        <w:spacing w:after="80"/>
      </w:pPr>
    </w:p>
    <w:p>
      <w:pPr>
        <w:spacing w:after="160" w:line="276"/>
        <w:jc w:val="both"/>
      </w:pPr>
      <w:r>
        <w:rPr>
          <w:rFonts w:ascii="Calibri" w:cs="Calibri" w:eastAsia="Calibri" w:hAnsi="Calibri"/>
          <w:b/>
          <w:bCs/>
          <w:i w:val="false"/>
          <w:iCs w:val="false"/>
          <w:color w:val="000000"/>
          <w:sz w:val="20"/>
          <w:szCs w:val="20"/>
        </w:rPr>
        <w:t xml:space="preserve">Combined Controlled-Group Aggregate: $[COMBINED AGGREGATE AMOUNT]</w:t>
      </w:r>
    </w:p>
    <w:p>
      <w:pPr>
        <w:spacing w:after="160" w:line="276"/>
        <w:jc w:val="both"/>
      </w:pPr>
      <w:r>
        <w:rPr>
          <w:rFonts w:ascii="Calibri" w:cs="Calibri" w:eastAsia="Calibri" w:hAnsi="Calibri"/>
          <w:b/>
          <w:bCs/>
          <w:i/>
          <w:iCs/>
          <w:color w:val="2E5090"/>
          <w:sz w:val="19"/>
          <w:szCs w:val="19"/>
        </w:rPr>
        <w:t xml:space="preserve">Note: </w:t>
      </w:r>
      <w:r>
        <w:rPr>
          <w:rFonts w:ascii="Calibri" w:cs="Calibri" w:eastAsia="Calibri" w:hAnsi="Calibri"/>
          <w:b w:val="false"/>
          <w:bCs w:val="false"/>
          <w:i/>
          <w:iCs/>
          <w:color w:val="666666"/>
          <w:sz w:val="19"/>
          <w:szCs w:val="19"/>
        </w:rPr>
        <w:t xml:space="preserve">"Control" for this purpose means the possession, direct or indirect, of the power to direct or cause the direction of the management and policies of the entity, whether through the ownership of voting securities, by contract, or otherwise. See Rule 405 under the Securities Act.</w:t>
      </w:r>
    </w:p>
    <w:p>
      <w:pPr>
        <w:pStyle w:val="Heading2"/>
        <w:spacing w:after="160" w:before="300"/>
      </w:pPr>
      <w:r>
        <w:rPr>
          <w:rFonts w:ascii="Calibri" w:cs="Calibri" w:eastAsia="Calibri" w:hAnsi="Calibri"/>
          <w:b/>
          <w:bCs/>
          <w:color w:val="2E5090"/>
          <w:sz w:val="24"/>
          <w:szCs w:val="24"/>
        </w:rPr>
        <w:t xml:space="preserve">1.4 Recipient Categories</w:t>
      </w:r>
    </w:p>
    <w:p>
      <w:pPr>
        <w:spacing w:after="160" w:line="276"/>
        <w:jc w:val="both"/>
      </w:pPr>
      <w:r>
        <w:rPr>
          <w:rFonts w:ascii="Calibri" w:cs="Calibri" w:eastAsia="Calibri" w:hAnsi="Calibri"/>
          <w:b w:val="false"/>
          <w:bCs w:val="false"/>
          <w:i w:val="false"/>
          <w:iCs w:val="false"/>
          <w:color w:val="000000"/>
          <w:sz w:val="20"/>
          <w:szCs w:val="20"/>
        </w:rPr>
        <w:t xml:space="preserve">Rule 701(c) limits eligible recipients to the following categories. Indicate which categories are applicable to the Issuer's compensatory arrangements:</w:t>
      </w:r>
    </w:p>
    <w:tbl>
      <w:tblPr>
        <w:tblW w:type="dxa" w:w="7360"/>
        <w:tblBorders>
          <w:top w:val="single" w:color="auto" w:sz="4"/>
          <w:left w:val="single" w:color="auto" w:sz="4"/>
          <w:bottom w:val="single" w:color="auto" w:sz="4"/>
          <w:right w:val="single" w:color="auto" w:sz="4"/>
          <w:insideH w:val="single" w:color="auto" w:sz="4"/>
          <w:insideV w:val="single" w:color="auto" w:sz="4"/>
        </w:tblBorders>
      </w:tblPr>
      <w:tblGrid>
        <w:gridCol w:w="2000"/>
        <w:gridCol w:w="1200"/>
        <w:gridCol w:w="1000"/>
        <w:gridCol w:w="1560"/>
        <w:gridCol w:w="1600"/>
      </w:tblGrid>
      <w:tr>
        <w:trPr>
          <w:tblHeader/>
        </w:trPr>
        <w:tc>
          <w:tcPr>
            <w:tcW w:type="dxa" w:w="2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Recipient Category</w:t>
            </w:r>
          </w:p>
        </w:tc>
        <w:tc>
          <w:tcPr>
            <w:tcW w:type="dxa" w:w="1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Rule 701(c) Basis</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Applicable (Y/N)</w:t>
            </w:r>
          </w:p>
        </w:tc>
        <w:tc>
          <w:tcPr>
            <w:tcW w:type="dxa" w:w="15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Covered Plans/Contracts</w:t>
            </w:r>
          </w:p>
        </w:tc>
        <w:tc>
          <w:tcPr>
            <w:tcW w:type="dxa" w:w="1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Approx. Number of Recipients</w:t>
            </w:r>
          </w:p>
        </w:tc>
      </w:tr>
      <w:tr>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Employees</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701(c)(1)</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[Y/N]</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IDs]</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Directors</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701(c)(1)</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[Y/N]</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IDs]</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General Partners</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701(c)(1)</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[Y/N]</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IDs]</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Trustees (Business Trust)</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701(c)(1)</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[Y/N]</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IDs]</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Officers</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701(c)(1)</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[Y/N]</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IDs]</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Consultants and Advisors (Natural Persons)</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701(c)(1)</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[Y/N]</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IDs]</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Family Members (Transferees via Gift/QDRO)</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701(c)(2)</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[Y/N]</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IDs]</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Former Service Providers (Post-Termination Exercise)</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701(c)(3)</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[Y/N]</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IDs]</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Entities Controlled by Eligible Recipients</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SEC Guidance</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[Y/N]</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IDs]</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bl>
    <w:p>
      <w:pPr>
        <w:pStyle w:val="Heading2"/>
        <w:spacing w:after="160" w:before="300"/>
      </w:pPr>
      <w:r>
        <w:rPr>
          <w:rFonts w:ascii="Calibri" w:cs="Calibri" w:eastAsia="Calibri" w:hAnsi="Calibri"/>
          <w:b/>
          <w:bCs/>
          <w:color w:val="2E5090"/>
          <w:sz w:val="24"/>
          <w:szCs w:val="24"/>
        </w:rPr>
        <w:t xml:space="preserve">1.5 Exclusions and Ineligible Transactions</w:t>
      </w:r>
    </w:p>
    <w:p>
      <w:pPr>
        <w:spacing w:after="160" w:line="276"/>
        <w:jc w:val="both"/>
      </w:pPr>
      <w:r>
        <w:rPr>
          <w:rFonts w:ascii="Calibri" w:cs="Calibri" w:eastAsia="Calibri" w:hAnsi="Calibri"/>
          <w:b w:val="false"/>
          <w:bCs w:val="false"/>
          <w:i w:val="false"/>
          <w:iCs w:val="false"/>
          <w:color w:val="000000"/>
          <w:sz w:val="20"/>
          <w:szCs w:val="20"/>
        </w:rPr>
        <w:t xml:space="preserve">The following types of transactions are NOT covered by this Rule 701 package and must rely on a separate exemption or registration:</w:t>
      </w:r>
    </w:p>
    <w:p>
      <w:pPr>
        <w:pStyle w:val="ListParagraph"/>
        <w:numPr>
          <w:ilvl w:val="0"/>
          <w:numId w:val="2"/>
        </w:numPr>
        <w:spacing w:after="80" w:line="276"/>
      </w:pPr>
      <w:r>
        <w:rPr>
          <w:rFonts w:ascii="Calibri" w:cs="Calibri" w:eastAsia="Calibri" w:hAnsi="Calibri"/>
          <w:sz w:val="20"/>
          <w:szCs w:val="20"/>
        </w:rPr>
        <w:t xml:space="preserve">Sales to persons who are not in one of the recipient categories listed in Section 1.4</w:t>
      </w:r>
    </w:p>
    <w:p>
      <w:pPr>
        <w:pStyle w:val="ListParagraph"/>
        <w:numPr>
          <w:ilvl w:val="0"/>
          <w:numId w:val="2"/>
        </w:numPr>
        <w:spacing w:after="80" w:line="276"/>
      </w:pPr>
      <w:r>
        <w:rPr>
          <w:rFonts w:ascii="Calibri" w:cs="Calibri" w:eastAsia="Calibri" w:hAnsi="Calibri"/>
          <w:sz w:val="20"/>
          <w:szCs w:val="20"/>
        </w:rPr>
        <w:t xml:space="preserve">Sales under plans or contracts not approved by the Issuer's board of directors or equivalent governing body</w:t>
      </w:r>
    </w:p>
    <w:p>
      <w:pPr>
        <w:pStyle w:val="ListParagraph"/>
        <w:numPr>
          <w:ilvl w:val="0"/>
          <w:numId w:val="2"/>
        </w:numPr>
        <w:spacing w:after="80" w:line="276"/>
      </w:pPr>
      <w:r>
        <w:rPr>
          <w:rFonts w:ascii="Calibri" w:cs="Calibri" w:eastAsia="Calibri" w:hAnsi="Calibri"/>
          <w:sz w:val="20"/>
          <w:szCs w:val="20"/>
        </w:rPr>
        <w:t xml:space="preserve">Sales of securities that are not offered or sold for compensatory purposes</w:t>
      </w:r>
    </w:p>
    <w:p>
      <w:pPr>
        <w:pStyle w:val="ListParagraph"/>
        <w:numPr>
          <w:ilvl w:val="0"/>
          <w:numId w:val="2"/>
        </w:numPr>
        <w:spacing w:after="80" w:line="276"/>
      </w:pPr>
      <w:r>
        <w:rPr>
          <w:rFonts w:ascii="Calibri" w:cs="Calibri" w:eastAsia="Calibri" w:hAnsi="Calibri"/>
          <w:sz w:val="20"/>
          <w:szCs w:val="20"/>
        </w:rPr>
        <w:t xml:space="preserve">Sales to non-natural-person consultants or advisors (entities), unless the entity is controlled by an eligible natural person and the securities are issued for that person's services</w:t>
      </w:r>
    </w:p>
    <w:p>
      <w:pPr>
        <w:pStyle w:val="ListParagraph"/>
        <w:numPr>
          <w:ilvl w:val="0"/>
          <w:numId w:val="2"/>
        </w:numPr>
        <w:spacing w:after="80" w:line="276"/>
      </w:pPr>
      <w:r>
        <w:rPr>
          <w:rFonts w:ascii="Calibri" w:cs="Calibri" w:eastAsia="Calibri" w:hAnsi="Calibri"/>
          <w:sz w:val="20"/>
          <w:szCs w:val="20"/>
        </w:rPr>
        <w:t xml:space="preserve">Sales under oral or informal arrangements that do not constitute a "written compensatory benefit plan" or "written compensation contract"</w:t>
      </w:r>
    </w:p>
    <w:p>
      <w:pPr>
        <w:pStyle w:val="ListParagraph"/>
        <w:numPr>
          <w:ilvl w:val="0"/>
          <w:numId w:val="2"/>
        </w:numPr>
        <w:spacing w:after="80" w:line="276"/>
      </w:pPr>
      <w:r>
        <w:rPr>
          <w:rFonts w:ascii="Calibri" w:cs="Calibri" w:eastAsia="Calibri" w:hAnsi="Calibri"/>
          <w:sz w:val="20"/>
          <w:szCs w:val="20"/>
        </w:rPr>
        <w:t xml:space="preserve">Issuances in connection with capital-raising transactions, even if structured as convertible notes or warrants</w:t>
      </w:r>
    </w:p>
    <w:p>
      <w:pPr>
        <w:pStyle w:val="ListParagraph"/>
        <w:numPr>
          <w:ilvl w:val="0"/>
          <w:numId w:val="2"/>
        </w:numPr>
        <w:spacing w:after="80" w:line="276"/>
      </w:pPr>
      <w:r>
        <w:rPr>
          <w:rFonts w:ascii="Calibri" w:cs="Calibri" w:eastAsia="Calibri" w:hAnsi="Calibri"/>
          <w:sz w:val="20"/>
          <w:szCs w:val="20"/>
        </w:rPr>
        <w:t xml:space="preserve">[OTHER EXCLUSIONS SPECIFIC TO ISSUER]</w:t>
      </w:r>
    </w:p>
    <w:p>
      <w:pPr>
        <w:pStyle w:val="Heading2"/>
        <w:spacing w:after="160" w:before="300"/>
      </w:pPr>
      <w:r>
        <w:rPr>
          <w:rFonts w:ascii="Calibri" w:cs="Calibri" w:eastAsia="Calibri" w:hAnsi="Calibri"/>
          <w:b/>
          <w:bCs/>
          <w:color w:val="2E5090"/>
          <w:sz w:val="24"/>
          <w:szCs w:val="24"/>
        </w:rPr>
        <w:t xml:space="preserve">1.6 Alternative Exemption Fallback</w:t>
      </w:r>
    </w:p>
    <w:p>
      <w:pPr>
        <w:spacing w:after="160" w:line="276"/>
        <w:jc w:val="both"/>
      </w:pPr>
      <w:r>
        <w:rPr>
          <w:rFonts w:ascii="Calibri" w:cs="Calibri" w:eastAsia="Calibri" w:hAnsi="Calibri"/>
          <w:b w:val="false"/>
          <w:bCs w:val="false"/>
          <w:i w:val="false"/>
          <w:iCs w:val="false"/>
          <w:color w:val="000000"/>
          <w:sz w:val="20"/>
          <w:szCs w:val="20"/>
        </w:rPr>
        <w:t xml:space="preserve">If Rule 701 is unavailable for a particular transaction (e.g., the aggregate sales price limitations have been exceeded, the recipient is ineligible, or the Issuer has become a reporting company), the Issuer should consider the following alternative exemptions: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000"/>
        <w:gridCol w:w="3160"/>
        <w:gridCol w:w="2200"/>
      </w:tblGrid>
      <w:tr>
        <w:trPr>
          <w:tblHeader/>
        </w:trPr>
        <w:tc>
          <w:tcPr>
            <w:tcW w:type="dxa" w:w="2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Alternative Exemption</w:t>
            </w:r>
          </w:p>
        </w:tc>
        <w:tc>
          <w:tcPr>
            <w:tcW w:type="dxa" w:w="2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Statutory/Regulatory Basis</w:t>
            </w:r>
          </w:p>
        </w:tc>
        <w:tc>
          <w:tcPr>
            <w:tcW w:type="dxa" w:w="31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Key Requirements</w:t>
            </w:r>
          </w:p>
        </w:tc>
        <w:tc>
          <w:tcPr>
            <w:tcW w:type="dxa" w:w="2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Status/Notes</w:t>
            </w:r>
          </w:p>
        </w:tc>
      </w:tr>
      <w:tr>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Section 4(a)(2) Private Placement</w:t>
            </w:r>
          </w:p>
        </w:tc>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Securities Act § 4(a)(2)</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Sophisticated offerees, no general solicitation, limited number</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[AVAILABLE/NOT AVAILABLE]</w:t>
            </w:r>
          </w:p>
        </w:tc>
      </w:tr>
      <w:tr>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Regulation D Rule 506(b)</w:t>
            </w:r>
          </w:p>
        </w:tc>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17 C.F.R. § 230.506(b)</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Accredited investors, up to 35 sophisticated non-accredited, no general solicitation</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[AVAILABLE/NOT AVAILABLE]</w:t>
            </w:r>
          </w:p>
        </w:tc>
      </w:tr>
      <w:tr>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Regulation D Rule 506(c)</w:t>
            </w:r>
          </w:p>
        </w:tc>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17 C.F.R. § 230.506(c)</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Accredited investors only, verification required, general solicitation permitted</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[AVAILABLE/NOT AVAILABLE]</w:t>
            </w:r>
          </w:p>
        </w:tc>
      </w:tr>
      <w:tr>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Regulation A (Tier 1 or Tier 2)</w:t>
            </w:r>
          </w:p>
        </w:tc>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17 C.F.R. §§ 230.251–263</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SEC qualification required, ongoing reporting for Tier 2</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[AVAILABLE/NOT AVAILABLE]</w:t>
            </w:r>
          </w:p>
        </w:tc>
      </w:tr>
      <w:tr>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Regulation Crowdfunding</w:t>
            </w:r>
          </w:p>
        </w:tc>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17 C.F.R. §§ 227.100–503</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Through registered intermediary, aggregate limits</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[AVAILABLE/NOT AVAILABLE]</w:t>
            </w:r>
          </w:p>
        </w:tc>
      </w:tr>
      <w:tr>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State Exemptions</w:t>
            </w:r>
          </w:p>
        </w:tc>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[APPLICABLE STATE STATUTE]</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[STATE-SPECIFIC REQUIREMENTS]</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[AVAILABLE/NOT AVAILABLE]</w:t>
            </w:r>
          </w:p>
        </w:tc>
      </w:tr>
    </w:tbl>
    <w:p>
      <w:pPr>
        <w:spacing w:after="80"/>
      </w:pPr>
    </w:p>
    <w:p>
      <w:pPr>
        <w:spacing w:after="160" w:line="276"/>
        <w:jc w:val="both"/>
      </w:pPr>
      <w:r>
        <w:rPr>
          <w:rFonts w:ascii="Calibri" w:cs="Calibri" w:eastAsia="Calibri" w:hAnsi="Calibri"/>
          <w:b/>
          <w:bCs/>
          <w:i/>
          <w:iCs/>
          <w:color w:val="2E5090"/>
          <w:sz w:val="19"/>
          <w:szCs w:val="19"/>
        </w:rPr>
        <w:t xml:space="preserve">Note: </w:t>
      </w:r>
      <w:r>
        <w:rPr>
          <w:rFonts w:ascii="Calibri" w:cs="Calibri" w:eastAsia="Calibri" w:hAnsi="Calibri"/>
          <w:b w:val="false"/>
          <w:bCs w:val="false"/>
          <w:i/>
          <w:iCs/>
          <w:color w:val="666666"/>
          <w:sz w:val="19"/>
          <w:szCs w:val="19"/>
        </w:rPr>
        <w:t xml:space="preserve">The availability of an alternative exemption must be confirmed by counsel on a transaction-by-transaction basis. The fallback exemptions listed above are for reference only and do not constitute legal advice regarding their availability for any specific transaction.</w:t>
      </w:r>
    </w:p>
    <w:p>
      <w:r>
        <w:br w:type="page"/>
      </w:r>
    </w:p>
    <w:p>
      <w:pPr>
        <w:pStyle w:val="Heading1"/>
        <w:spacing w:after="200" w:before="360"/>
      </w:pPr>
      <w:r>
        <w:rPr>
          <w:rFonts w:ascii="Calibri" w:cs="Calibri" w:eastAsia="Calibri" w:hAnsi="Calibri"/>
          <w:b/>
          <w:bCs/>
          <w:color w:val="1B2A4A"/>
          <w:sz w:val="28"/>
          <w:szCs w:val="28"/>
        </w:rPr>
        <w:t xml:space="preserve">SECTION 2: ROLLING-PERIOD CALCULATOR</w:t>
      </w:r>
    </w:p>
    <w:p>
      <w:pPr>
        <w:spacing w:after="160" w:line="276"/>
        <w:jc w:val="both"/>
      </w:pPr>
      <w:r>
        <w:rPr>
          <w:rFonts w:ascii="Calibri" w:cs="Calibri" w:eastAsia="Calibri" w:hAnsi="Calibri"/>
          <w:b w:val="false"/>
          <w:bCs w:val="false"/>
          <w:i w:val="false"/>
          <w:iCs w:val="false"/>
          <w:color w:val="000000"/>
          <w:sz w:val="20"/>
          <w:szCs w:val="20"/>
        </w:rPr>
        <w:t xml:space="preserve">This section implements the aggregate sales price calculation required by Rule 701(d) and (e). Rule 701(d)(2) limits the aggregate sales price (or amount of securities sold) during any consecutive 12-month period to the greatest of three mathematical limbs. When aggregate sales exceed $10 million in a 12-month period, the enhanced disclosure requirements of Rule 701(e) are triggered.</w:t>
      </w:r>
    </w:p>
    <w:p>
      <w:pPr>
        <w:pStyle w:val="Heading2"/>
        <w:spacing w:after="160" w:before="300"/>
      </w:pPr>
      <w:r>
        <w:rPr>
          <w:rFonts w:ascii="Calibri" w:cs="Calibri" w:eastAsia="Calibri" w:hAnsi="Calibri"/>
          <w:b/>
          <w:bCs/>
          <w:color w:val="2E5090"/>
          <w:sz w:val="24"/>
          <w:szCs w:val="24"/>
        </w:rPr>
        <w:t xml:space="preserve">2.1 Mathematical Limbs — Rule 701(d)(2)</w:t>
      </w:r>
    </w:p>
    <w:p>
      <w:pPr>
        <w:spacing w:after="160" w:line="276"/>
        <w:jc w:val="both"/>
      </w:pPr>
      <w:r>
        <w:rPr>
          <w:rFonts w:ascii="Calibri" w:cs="Calibri" w:eastAsia="Calibri" w:hAnsi="Calibri"/>
          <w:b w:val="false"/>
          <w:bCs w:val="false"/>
          <w:i w:val="false"/>
          <w:iCs w:val="false"/>
          <w:color w:val="000000"/>
          <w:sz w:val="20"/>
          <w:szCs w:val="20"/>
        </w:rPr>
        <w:t xml:space="preserve">For each rolling 12-month period, the maximum aggregate offering price is the greatest of:</w:t>
      </w:r>
    </w:p>
    <w:p>
      <w:pPr>
        <w:pStyle w:val="ListParagraph"/>
        <w:numPr>
          <w:ilvl w:val="0"/>
          <w:numId w:val="3"/>
        </w:numPr>
        <w:spacing w:after="100" w:line="276"/>
      </w:pPr>
      <w:r>
        <w:rPr>
          <w:rFonts w:ascii="Calibri" w:cs="Calibri" w:eastAsia="Calibri" w:hAnsi="Calibri"/>
          <w:sz w:val="20"/>
          <w:szCs w:val="20"/>
        </w:rPr>
        <w:t xml:space="preserve">Limb 1 — $1,000,000 (the statutory floor);</w:t>
      </w:r>
    </w:p>
    <w:p>
      <w:pPr>
        <w:pStyle w:val="ListParagraph"/>
        <w:numPr>
          <w:ilvl w:val="0"/>
          <w:numId w:val="3"/>
        </w:numPr>
        <w:spacing w:after="100" w:line="276"/>
      </w:pPr>
      <w:r>
        <w:rPr>
          <w:rFonts w:ascii="Calibri" w:cs="Calibri" w:eastAsia="Calibri" w:hAnsi="Calibri"/>
          <w:sz w:val="20"/>
          <w:szCs w:val="20"/>
        </w:rPr>
        <w:t xml:space="preserve">Limb 2 — 15% of the total assets of the issuer (or of the issuer's parent if the issuer is a wholly owned subsidiary and the parent fully and unconditionally guarantees the obligations), measured as of the issuer's most recent annual balance sheet date (or, if the issuer has not had an annual balance sheet date, as of a date within 180 days before the first sale); or</w:t>
      </w:r>
    </w:p>
    <w:p>
      <w:pPr>
        <w:pStyle w:val="ListParagraph"/>
        <w:numPr>
          <w:ilvl w:val="0"/>
          <w:numId w:val="3"/>
        </w:numPr>
        <w:spacing w:after="100" w:line="276"/>
      </w:pPr>
      <w:r>
        <w:rPr>
          <w:rFonts w:ascii="Calibri" w:cs="Calibri" w:eastAsia="Calibri" w:hAnsi="Calibri"/>
          <w:sz w:val="20"/>
          <w:szCs w:val="20"/>
        </w:rPr>
        <w:t xml:space="preserve">Limb 3 — 15% of the outstanding amount of the class of securities being offered, measured as of the issuer's most recent annual balance sheet date (or, if the issuer has not had an annual balance sheet date, as of a date within 180 days before the first sale).</w:t>
      </w:r>
    </w:p>
    <w:p>
      <w:pPr>
        <w:spacing w:after="80"/>
      </w:pPr>
    </w:p>
    <w:p>
      <w:pPr>
        <w:pStyle w:val="Heading2"/>
        <w:spacing w:after="160" w:before="300"/>
      </w:pPr>
      <w:r>
        <w:rPr>
          <w:rFonts w:ascii="Calibri" w:cs="Calibri" w:eastAsia="Calibri" w:hAnsi="Calibri"/>
          <w:b/>
          <w:bCs/>
          <w:color w:val="2E5090"/>
          <w:sz w:val="24"/>
          <w:szCs w:val="24"/>
        </w:rPr>
        <w:t xml:space="preserve">2.2 Issuer Financial Data for Limb Calculations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100"/>
        <w:gridCol w:w="2160"/>
        <w:gridCol w:w="2100"/>
      </w:tblGrid>
      <w:tr>
        <w:trPr>
          <w:tblHeader/>
        </w:trPr>
        <w:tc>
          <w:tcPr>
            <w:tcW w:type="dxa" w:w="3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Data Element</w:t>
            </w:r>
          </w:p>
        </w:tc>
        <w:tc>
          <w:tcPr>
            <w:tcW w:type="dxa" w:w="21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Value</w:t>
            </w:r>
          </w:p>
        </w:tc>
        <w:tc>
          <w:tcPr>
            <w:tcW w:type="dxa" w:w="21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Source / Date</w:t>
            </w:r>
          </w:p>
        </w:tc>
        <w:tc>
          <w:tcPr>
            <w:tcW w:type="dxa" w:w="21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Responsible Officer</w:t>
            </w:r>
          </w:p>
        </w:tc>
      </w:tr>
      <w:tr>
        <w:tc>
          <w:tcPr>
            <w:tcW w:type="dxa" w:w="3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Total Assets (Most Recent Annual Balance Sheet)</w:t>
            </w:r>
          </w:p>
        </w:tc>
        <w:tc>
          <w:tcPr>
            <w:tcW w:type="dxa" w:w="2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$[TOTAL ASSETS]</w:t>
            </w:r>
          </w:p>
        </w:tc>
        <w:tc>
          <w:tcPr>
            <w:tcW w:type="dxa" w:w="2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[BALANCE SHEET DATE]</w:t>
            </w:r>
          </w:p>
        </w:tc>
        <w:tc>
          <w:tcPr>
            <w:tcW w:type="dxa" w:w="2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[CFO/CONTROLLER NAME]</w:t>
            </w:r>
          </w:p>
        </w:tc>
      </w:tr>
      <w:tr>
        <w:tc>
          <w:tcPr>
            <w:tcW w:type="dxa" w:w="3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15% of Total Assets (Limb 2 Ceiling)</w:t>
            </w:r>
          </w:p>
        </w:tc>
        <w:tc>
          <w:tcPr>
            <w:tcW w:type="dxa" w:w="2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$[LIMB 2 VALUE]</w:t>
            </w:r>
          </w:p>
        </w:tc>
        <w:tc>
          <w:tcPr>
            <w:tcW w:type="dxa" w:w="2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Calculated</w:t>
            </w:r>
          </w:p>
        </w:tc>
        <w:tc>
          <w:tcPr>
            <w:tcW w:type="dxa" w:w="2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[CFO/CONTROLLER NAME]</w:t>
            </w:r>
          </w:p>
        </w:tc>
      </w:tr>
      <w:tr>
        <w:tc>
          <w:tcPr>
            <w:tcW w:type="dxa" w:w="3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Outstanding Shares of [CLASS] (Balance Sheet Date)</w:t>
            </w:r>
          </w:p>
        </w:tc>
        <w:tc>
          <w:tcPr>
            <w:tcW w:type="dxa" w:w="2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2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[BALANCE SHEET DATE]</w:t>
            </w:r>
          </w:p>
        </w:tc>
        <w:tc>
          <w:tcPr>
            <w:tcW w:type="dxa" w:w="2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[CFO/CONTROLLER NAME]</w:t>
            </w:r>
          </w:p>
        </w:tc>
      </w:tr>
      <w:tr>
        <w:tc>
          <w:tcPr>
            <w:tcW w:type="dxa" w:w="3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15% of Outstanding [CLASS] Shares (Limb 3 Ceiling)</w:t>
            </w:r>
          </w:p>
        </w:tc>
        <w:tc>
          <w:tcPr>
            <w:tcW w:type="dxa" w:w="2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 shares</w:t>
            </w:r>
          </w:p>
        </w:tc>
        <w:tc>
          <w:tcPr>
            <w:tcW w:type="dxa" w:w="2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Calculated</w:t>
            </w:r>
          </w:p>
        </w:tc>
        <w:tc>
          <w:tcPr>
            <w:tcW w:type="dxa" w:w="2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[CFO/CONTROLLER NAME]</w:t>
            </w:r>
          </w:p>
        </w:tc>
      </w:tr>
      <w:tr>
        <w:tc>
          <w:tcPr>
            <w:tcW w:type="dxa" w:w="3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Fair Market Value per Share of [CLASS]</w:t>
            </w:r>
          </w:p>
        </w:tc>
        <w:tc>
          <w:tcPr>
            <w:tcW w:type="dxa" w:w="2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$[FMV]</w:t>
            </w:r>
          </w:p>
        </w:tc>
        <w:tc>
          <w:tcPr>
            <w:tcW w:type="dxa" w:w="2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[VALUATION DATE / 409A REPORT]</w:t>
            </w:r>
          </w:p>
        </w:tc>
        <w:tc>
          <w:tcPr>
            <w:tcW w:type="dxa" w:w="2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[CFO/CONTROLLER NAME]</w:t>
            </w:r>
          </w:p>
        </w:tc>
      </w:tr>
      <w:tr>
        <w:tc>
          <w:tcPr>
            <w:tcW w:type="dxa" w:w="3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Parent Guarantee (if applicable)</w:t>
            </w:r>
          </w:p>
        </w:tc>
        <w:tc>
          <w:tcPr>
            <w:tcW w:type="dxa" w:w="2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2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[GUARANTEE DATE, IF ANY]</w:t>
            </w:r>
          </w:p>
        </w:tc>
        <w:tc>
          <w:tcPr>
            <w:tcW w:type="dxa" w:w="2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[GENERAL COUNSEL]</w:t>
            </w:r>
          </w:p>
        </w:tc>
      </w:tr>
      <w:tr>
        <w:tc>
          <w:tcPr>
            <w:tcW w:type="dxa" w:w="3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Parent Total Assets (if guarantee)</w:t>
            </w:r>
          </w:p>
        </w:tc>
        <w:tc>
          <w:tcPr>
            <w:tcW w:type="dxa" w:w="2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$[PARENT TOTAL ASSETS]</w:t>
            </w:r>
          </w:p>
        </w:tc>
        <w:tc>
          <w:tcPr>
            <w:tcW w:type="dxa" w:w="2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[PARENT BALANCE SHEET DATE]</w:t>
            </w:r>
          </w:p>
        </w:tc>
        <w:tc>
          <w:tcPr>
            <w:tcW w:type="dxa" w:w="2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[PARENT CFO]</w:t>
            </w:r>
          </w:p>
        </w:tc>
      </w:tr>
    </w:tbl>
    <w:p>
      <w:pPr>
        <w:spacing w:after="80"/>
      </w:pPr>
    </w:p>
    <w:p>
      <w:pPr>
        <w:pStyle w:val="Heading2"/>
        <w:spacing w:after="160" w:before="300"/>
      </w:pPr>
      <w:r>
        <w:rPr>
          <w:rFonts w:ascii="Calibri" w:cs="Calibri" w:eastAsia="Calibri" w:hAnsi="Calibri"/>
          <w:b/>
          <w:bCs/>
          <w:color w:val="2E5090"/>
          <w:sz w:val="24"/>
          <w:szCs w:val="24"/>
        </w:rPr>
        <w:t xml:space="preserve">2.3 Transaction Ledger</w:t>
      </w:r>
    </w:p>
    <w:p>
      <w:pPr>
        <w:spacing w:after="160" w:line="276"/>
        <w:jc w:val="both"/>
      </w:pPr>
      <w:r>
        <w:rPr>
          <w:rFonts w:ascii="Calibri" w:cs="Calibri" w:eastAsia="Calibri" w:hAnsi="Calibri"/>
          <w:b w:val="false"/>
          <w:bCs w:val="false"/>
          <w:i w:val="false"/>
          <w:iCs w:val="false"/>
          <w:color w:val="000000"/>
          <w:sz w:val="20"/>
          <w:szCs w:val="20"/>
        </w:rPr>
        <w:t xml:space="preserve">Record every sale of securities under Rule 701 in the following ledger. A "sale" occurs at the time of grant for options and at the time of issuance for restricted stock. For each entry, calculate the contribution to the rolling 12-month aggregate.</w:t>
      </w:r>
    </w:p>
    <w:p>
      <w:pPr>
        <w:spacing w:after="160" w:line="276"/>
        <w:jc w:val="both"/>
      </w:pPr>
      <w:r>
        <w:rPr>
          <w:rFonts w:ascii="Calibri" w:cs="Calibri" w:eastAsia="Calibri" w:hAnsi="Calibri"/>
          <w:b/>
          <w:bCs/>
          <w:i w:val="false"/>
          <w:iCs w:val="false"/>
          <w:color w:val="2E5090"/>
          <w:sz w:val="19"/>
          <w:szCs w:val="19"/>
        </w:rPr>
        <w:t xml:space="preserve">Drafting Instruction: </w:t>
      </w:r>
      <w:r>
        <w:rPr>
          <w:rFonts w:ascii="Calibri" w:cs="Calibri" w:eastAsia="Calibri" w:hAnsi="Calibri"/>
          <w:b w:val="false"/>
          <w:bCs w:val="false"/>
          <w:i/>
          <w:iCs/>
          <w:color w:val="666666"/>
          <w:sz w:val="19"/>
          <w:szCs w:val="19"/>
        </w:rPr>
        <w:t xml:space="preserve">The "Aggregate Sales Price" for options is the exercise price times the number of underlying shares. For stock grants or purchases, it is the purchase price (or, if less than fair market value, the fair market value) times the number of shares. See Rule 701(d)(1). For non-cash consideration, use the fair market value of the consideration received.</w:t>
      </w:r>
    </w:p>
    <w:p>
      <w:pPr>
        <w:spacing w:after="40"/>
      </w:pPr>
    </w:p>
    <w:tbl>
      <w:tblPr>
        <w:tblW w:type="dxa" w:w="9860"/>
        <w:tblBorders>
          <w:top w:val="single" w:color="auto" w:sz="4"/>
          <w:left w:val="single" w:color="auto" w:sz="4"/>
          <w:bottom w:val="single" w:color="auto" w:sz="4"/>
          <w:right w:val="single" w:color="auto" w:sz="4"/>
          <w:insideH w:val="single" w:color="auto" w:sz="4"/>
          <w:insideV w:val="single" w:color="auto" w:sz="4"/>
        </w:tblBorders>
      </w:tblPr>
      <w:tblGrid>
        <w:gridCol w:w="600"/>
        <w:gridCol w:w="750"/>
        <w:gridCol w:w="900"/>
        <w:gridCol w:w="900"/>
        <w:gridCol w:w="900"/>
        <w:gridCol w:w="900"/>
        <w:gridCol w:w="650"/>
        <w:gridCol w:w="700"/>
        <w:gridCol w:w="850"/>
        <w:gridCol w:w="950"/>
        <w:gridCol w:w="650"/>
        <w:gridCol w:w="1110"/>
      </w:tblGrid>
      <w:tr>
        <w:trPr>
          <w:tblHeader/>
        </w:trPr>
        <w:tc>
          <w:tcPr>
            <w:tcW w:type="dxa" w:w="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Txn #</w:t>
            </w:r>
          </w:p>
        </w:tc>
        <w:tc>
          <w:tcPr>
            <w:tcW w:type="dxa" w:w="7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Sale Date</w:t>
            </w:r>
          </w:p>
        </w:tc>
        <w:tc>
          <w:tcPr>
            <w:tcW w:type="dxa" w:w="9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Recipient</w:t>
            </w:r>
          </w:p>
        </w:tc>
        <w:tc>
          <w:tcPr>
            <w:tcW w:type="dxa" w:w="9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Category</w:t>
            </w:r>
          </w:p>
        </w:tc>
        <w:tc>
          <w:tcPr>
            <w:tcW w:type="dxa" w:w="9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Plan/Contract</w:t>
            </w:r>
          </w:p>
        </w:tc>
        <w:tc>
          <w:tcPr>
            <w:tcW w:type="dxa" w:w="9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Security Type</w:t>
            </w:r>
          </w:p>
        </w:tc>
        <w:tc>
          <w:tcPr>
            <w:tcW w:type="dxa" w:w="6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Quantity</w:t>
            </w:r>
          </w:p>
        </w:tc>
        <w:tc>
          <w:tcPr>
            <w:tcW w:type="dxa" w:w="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Price/Share</w:t>
            </w:r>
          </w:p>
        </w:tc>
        <w:tc>
          <w:tcPr>
            <w:tcW w:type="dxa" w:w="8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Agg. Sale Price</w:t>
            </w:r>
          </w:p>
        </w:tc>
        <w:tc>
          <w:tcPr>
            <w:tcW w:type="dxa" w:w="9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Rolling 12-Mo Total</w:t>
            </w:r>
          </w:p>
        </w:tc>
        <w:tc>
          <w:tcPr>
            <w:tcW w:type="dxa" w:w="6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Limb Used</w:t>
            </w:r>
          </w:p>
        </w:tc>
        <w:tc>
          <w:tcPr>
            <w:tcW w:type="dxa" w:w="111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Threshold Status</w:t>
            </w:r>
          </w:p>
        </w:tc>
      </w:tr>
      <w:tr>
        <w:tc>
          <w:tcPr>
            <w:tcW w:type="dxa" w:w="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001</w:t>
            </w:r>
          </w:p>
        </w:tc>
        <w:tc>
          <w:tcPr>
            <w:tcW w:type="dxa" w:w="7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[EMPLOYEE/DIR/etc.]</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[PLAN-001]</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[ISO/NSO/RSA/RSU]</w:t>
            </w:r>
          </w:p>
        </w:tc>
        <w:tc>
          <w:tcPr>
            <w:tcW w:type="dxa" w:w="6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$[PRICE]</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9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$[ROLLING]</w:t>
            </w:r>
          </w:p>
        </w:tc>
        <w:tc>
          <w:tcPr>
            <w:tcW w:type="dxa" w:w="6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[1/2/3]</w:t>
            </w:r>
          </w:p>
        </w:tc>
        <w:tc>
          <w:tcPr>
            <w:tcW w:type="dxa" w:w="111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[BELOW/NEAR/ABOVE $10M]</w:t>
            </w:r>
          </w:p>
        </w:tc>
      </w:tr>
      <w:tr>
        <w:tc>
          <w:tcPr>
            <w:tcW w:type="dxa" w:w="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002</w:t>
            </w:r>
          </w:p>
        </w:tc>
        <w:tc>
          <w:tcPr>
            <w:tcW w:type="dxa" w:w="7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[CATEGORY]</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ID]</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[TYPE]</w:t>
            </w:r>
          </w:p>
        </w:tc>
        <w:tc>
          <w:tcPr>
            <w:tcW w:type="dxa" w:w="6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$[PRICE]</w:t>
            </w:r>
          </w:p>
        </w:tc>
        <w:tc>
          <w:tcPr>
            <w:tcW w:type="dxa" w:w="8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9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$[ROLLING]</w:t>
            </w:r>
          </w:p>
        </w:tc>
        <w:tc>
          <w:tcPr>
            <w:tcW w:type="dxa" w:w="6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[1/2/3]</w:t>
            </w:r>
          </w:p>
        </w:tc>
        <w:tc>
          <w:tcPr>
            <w:tcW w:type="dxa" w:w="111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[STATUS]</w:t>
            </w:r>
          </w:p>
        </w:tc>
      </w:tr>
      <w:tr>
        <w:tc>
          <w:tcPr>
            <w:tcW w:type="dxa" w:w="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003</w:t>
            </w:r>
          </w:p>
        </w:tc>
        <w:tc>
          <w:tcPr>
            <w:tcW w:type="dxa" w:w="7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[CATEGORY]</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ID]</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[TYPE]</w:t>
            </w:r>
          </w:p>
        </w:tc>
        <w:tc>
          <w:tcPr>
            <w:tcW w:type="dxa" w:w="6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$[PRICE]</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9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$[ROLLING]</w:t>
            </w:r>
          </w:p>
        </w:tc>
        <w:tc>
          <w:tcPr>
            <w:tcW w:type="dxa" w:w="6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[1/2/3]</w:t>
            </w:r>
          </w:p>
        </w:tc>
        <w:tc>
          <w:tcPr>
            <w:tcW w:type="dxa" w:w="111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[STATUS]</w:t>
            </w:r>
          </w:p>
        </w:tc>
      </w:tr>
      <w:tr>
        <w:tc>
          <w:tcPr>
            <w:tcW w:type="dxa" w:w="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004</w:t>
            </w:r>
          </w:p>
        </w:tc>
        <w:tc>
          <w:tcPr>
            <w:tcW w:type="dxa" w:w="7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[CATEGORY]</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ID]</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[TYPE]</w:t>
            </w:r>
          </w:p>
        </w:tc>
        <w:tc>
          <w:tcPr>
            <w:tcW w:type="dxa" w:w="6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$[PRICE]</w:t>
            </w:r>
          </w:p>
        </w:tc>
        <w:tc>
          <w:tcPr>
            <w:tcW w:type="dxa" w:w="8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9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$[ROLLING]</w:t>
            </w:r>
          </w:p>
        </w:tc>
        <w:tc>
          <w:tcPr>
            <w:tcW w:type="dxa" w:w="6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[1/2/3]</w:t>
            </w:r>
          </w:p>
        </w:tc>
        <w:tc>
          <w:tcPr>
            <w:tcW w:type="dxa" w:w="111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[STATUS]</w:t>
            </w:r>
          </w:p>
        </w:tc>
      </w:tr>
      <w:tr>
        <w:tc>
          <w:tcPr>
            <w:tcW w:type="dxa" w:w="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7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6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9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6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111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r>
    </w:tbl>
    <w:p>
      <w:pPr>
        <w:spacing w:after="80"/>
      </w:pPr>
    </w:p>
    <w:p>
      <w:pPr>
        <w:pStyle w:val="Heading2"/>
        <w:spacing w:after="160" w:before="300"/>
      </w:pPr>
      <w:r>
        <w:rPr>
          <w:rFonts w:ascii="Calibri" w:cs="Calibri" w:eastAsia="Calibri" w:hAnsi="Calibri"/>
          <w:b/>
          <w:bCs/>
          <w:color w:val="2E5090"/>
          <w:sz w:val="24"/>
          <w:szCs w:val="24"/>
        </w:rPr>
        <w:t xml:space="preserve">2.4 Aggregate Sales Price Formulas</w:t>
      </w:r>
    </w:p>
    <w:p>
      <w:pPr>
        <w:spacing w:after="160" w:line="276"/>
        <w:jc w:val="both"/>
      </w:pPr>
      <w:r>
        <w:rPr>
          <w:rFonts w:ascii="Calibri" w:cs="Calibri" w:eastAsia="Calibri" w:hAnsi="Calibri"/>
          <w:b w:val="false"/>
          <w:bCs w:val="false"/>
          <w:i w:val="false"/>
          <w:iCs w:val="false"/>
          <w:color w:val="000000"/>
          <w:sz w:val="20"/>
          <w:szCs w:val="20"/>
        </w:rPr>
        <w:t xml:space="preserve">The following formulas govern the aggregate sales price calculation for each security type:</w:t>
      </w:r>
    </w:p>
    <w:p>
      <w:pPr>
        <w:pStyle w:val="Heading3"/>
        <w:spacing w:after="120" w:before="240"/>
      </w:pPr>
      <w:r>
        <w:rPr>
          <w:rFonts w:ascii="Calibri" w:cs="Calibri" w:eastAsia="Calibri" w:hAnsi="Calibri"/>
          <w:b/>
          <w:bCs/>
          <w:color w:val="1B2A4A"/>
          <w:sz w:val="22"/>
          <w:szCs w:val="22"/>
        </w:rPr>
        <w:t xml:space="preserve">2.4.1 Stock Options (ISOs and NSOs)</w:t>
      </w:r>
    </w:p>
    <w:p>
      <w:pPr>
        <w:spacing w:after="160" w:line="276"/>
        <w:ind w:left="360"/>
        <w:jc w:val="both"/>
      </w:pPr>
      <w:r>
        <w:rPr>
          <w:rFonts w:ascii="Calibri" w:cs="Calibri" w:eastAsia="Calibri" w:hAnsi="Calibri"/>
          <w:b/>
          <w:bCs/>
          <w:i w:val="false"/>
          <w:iCs w:val="false"/>
          <w:color w:val="000000"/>
          <w:sz w:val="20"/>
          <w:szCs w:val="20"/>
        </w:rPr>
        <w:t xml:space="preserve">Aggregate Sales Price = Exercise Price per Share × Number of Shares Subject to Option</w:t>
      </w:r>
    </w:p>
    <w:p>
      <w:pPr>
        <w:spacing w:after="160" w:line="276"/>
        <w:ind w:left="360"/>
        <w:jc w:val="both"/>
      </w:pPr>
      <w:r>
        <w:rPr>
          <w:rFonts w:ascii="Calibri" w:cs="Calibri" w:eastAsia="Calibri" w:hAnsi="Calibri"/>
          <w:b w:val="false"/>
          <w:bCs w:val="false"/>
          <w:i/>
          <w:iCs/>
          <w:color w:val="000000"/>
          <w:sz w:val="20"/>
          <w:szCs w:val="20"/>
        </w:rPr>
        <w:t xml:space="preserve">Example: An option to purchase 10,000 shares at $1.50/share = $15,000 aggregate sales price.</w:t>
      </w:r>
    </w:p>
    <w:p>
      <w:pPr>
        <w:spacing w:after="160" w:line="276"/>
        <w:jc w:val="both"/>
      </w:pPr>
      <w:r>
        <w:rPr>
          <w:rFonts w:ascii="Calibri" w:cs="Calibri" w:eastAsia="Calibri" w:hAnsi="Calibri"/>
          <w:b/>
          <w:bCs/>
          <w:i/>
          <w:iCs/>
          <w:color w:val="2E5090"/>
          <w:sz w:val="19"/>
          <w:szCs w:val="19"/>
        </w:rPr>
        <w:t xml:space="preserve">Note: </w:t>
      </w:r>
      <w:r>
        <w:rPr>
          <w:rFonts w:ascii="Calibri" w:cs="Calibri" w:eastAsia="Calibri" w:hAnsi="Calibri"/>
          <w:b w:val="false"/>
          <w:bCs w:val="false"/>
          <w:i/>
          <w:iCs/>
          <w:color w:val="666666"/>
          <w:sz w:val="19"/>
          <w:szCs w:val="19"/>
        </w:rPr>
        <w:t xml:space="preserve">The aggregate sales price is calculated at the time of grant, not at the time of exercise. If the exercise price is subsequently repriced, the difference must be treated as a new sale on the repricing date.</w:t>
      </w:r>
    </w:p>
    <w:p>
      <w:pPr>
        <w:pStyle w:val="Heading3"/>
        <w:spacing w:after="120" w:before="240"/>
      </w:pPr>
      <w:r>
        <w:rPr>
          <w:rFonts w:ascii="Calibri" w:cs="Calibri" w:eastAsia="Calibri" w:hAnsi="Calibri"/>
          <w:b/>
          <w:bCs/>
          <w:color w:val="1B2A4A"/>
          <w:sz w:val="22"/>
          <w:szCs w:val="22"/>
        </w:rPr>
        <w:t xml:space="preserve">2.4.2 Restricted Stock Awards (RSAs)</w:t>
      </w:r>
    </w:p>
    <w:p>
      <w:pPr>
        <w:spacing w:after="160" w:line="276"/>
        <w:ind w:left="360"/>
        <w:jc w:val="both"/>
      </w:pPr>
      <w:r>
        <w:rPr>
          <w:rFonts w:ascii="Calibri" w:cs="Calibri" w:eastAsia="Calibri" w:hAnsi="Calibri"/>
          <w:b/>
          <w:bCs/>
          <w:i w:val="false"/>
          <w:iCs w:val="false"/>
          <w:color w:val="000000"/>
          <w:sz w:val="20"/>
          <w:szCs w:val="20"/>
        </w:rPr>
        <w:t xml:space="preserve">Aggregate Sales Price = Purchase Price per Share × Number of Shares</w:t>
      </w:r>
    </w:p>
    <w:p>
      <w:pPr>
        <w:spacing w:after="160" w:line="276"/>
        <w:ind w:left="360"/>
        <w:jc w:val="both"/>
      </w:pPr>
      <w:r>
        <w:rPr>
          <w:rFonts w:ascii="Calibri" w:cs="Calibri" w:eastAsia="Calibri" w:hAnsi="Calibri"/>
          <w:b/>
          <w:bCs/>
          <w:i w:val="false"/>
          <w:iCs w:val="false"/>
          <w:color w:val="000000"/>
          <w:sz w:val="20"/>
          <w:szCs w:val="20"/>
        </w:rPr>
        <w:t xml:space="preserve">If Purchase Price &lt; FMV: Aggregate Sales Price = FMV per Share × Number of Shares</w:t>
      </w:r>
    </w:p>
    <w:p>
      <w:pPr>
        <w:spacing w:after="160" w:line="276"/>
        <w:ind w:left="360"/>
        <w:jc w:val="both"/>
      </w:pPr>
      <w:r>
        <w:rPr>
          <w:rFonts w:ascii="Calibri" w:cs="Calibri" w:eastAsia="Calibri" w:hAnsi="Calibri"/>
          <w:b w:val="false"/>
          <w:bCs w:val="false"/>
          <w:i/>
          <w:iCs/>
          <w:color w:val="000000"/>
          <w:sz w:val="20"/>
          <w:szCs w:val="20"/>
        </w:rPr>
        <w:t xml:space="preserve">Example: 5,000 shares of restricted stock sold at $0.001/share when FMV is $2.00/share = $10,000 aggregate sales price (using FMV).</w:t>
      </w:r>
    </w:p>
    <w:p>
      <w:pPr>
        <w:pStyle w:val="Heading3"/>
        <w:spacing w:after="120" w:before="240"/>
      </w:pPr>
      <w:r>
        <w:rPr>
          <w:rFonts w:ascii="Calibri" w:cs="Calibri" w:eastAsia="Calibri" w:hAnsi="Calibri"/>
          <w:b/>
          <w:bCs/>
          <w:color w:val="1B2A4A"/>
          <w:sz w:val="22"/>
          <w:szCs w:val="22"/>
        </w:rPr>
        <w:t xml:space="preserve">2.4.3 Restricted Stock Units (RSUs)</w:t>
      </w:r>
    </w:p>
    <w:p>
      <w:pPr>
        <w:spacing w:after="160" w:line="276"/>
        <w:ind w:left="360"/>
        <w:jc w:val="both"/>
      </w:pPr>
      <w:r>
        <w:rPr>
          <w:rFonts w:ascii="Calibri" w:cs="Calibri" w:eastAsia="Calibri" w:hAnsi="Calibri"/>
          <w:b/>
          <w:bCs/>
          <w:i w:val="false"/>
          <w:iCs w:val="false"/>
          <w:color w:val="000000"/>
          <w:sz w:val="20"/>
          <w:szCs w:val="20"/>
        </w:rPr>
        <w:t xml:space="preserve">Aggregate Sales Price = FMV per Share on Settlement Date × Number of Shares Settled</w:t>
      </w:r>
    </w:p>
    <w:p>
      <w:pPr>
        <w:spacing w:after="160" w:line="276"/>
        <w:ind w:left="360"/>
        <w:jc w:val="both"/>
      </w:pPr>
      <w:r>
        <w:rPr>
          <w:rFonts w:ascii="Calibri" w:cs="Calibri" w:eastAsia="Calibri" w:hAnsi="Calibri"/>
          <w:b w:val="false"/>
          <w:bCs w:val="false"/>
          <w:i/>
          <w:iCs/>
          <w:color w:val="000000"/>
          <w:sz w:val="20"/>
          <w:szCs w:val="20"/>
        </w:rPr>
        <w:t xml:space="preserve">Example: Settlement of 3,000 RSUs when FMV is $5.00/share = $15,000 aggregate sales price.</w:t>
      </w:r>
    </w:p>
    <w:p>
      <w:pPr>
        <w:spacing w:after="160" w:line="276"/>
        <w:jc w:val="both"/>
      </w:pPr>
      <w:r>
        <w:rPr>
          <w:rFonts w:ascii="Calibri" w:cs="Calibri" w:eastAsia="Calibri" w:hAnsi="Calibri"/>
          <w:b/>
          <w:bCs/>
          <w:i/>
          <w:iCs/>
          <w:color w:val="2E5090"/>
          <w:sz w:val="19"/>
          <w:szCs w:val="19"/>
        </w:rPr>
        <w:t xml:space="preserve">Note: </w:t>
      </w:r>
      <w:r>
        <w:rPr>
          <w:rFonts w:ascii="Calibri" w:cs="Calibri" w:eastAsia="Calibri" w:hAnsi="Calibri"/>
          <w:b w:val="false"/>
          <w:bCs w:val="false"/>
          <w:i/>
          <w:iCs/>
          <w:color w:val="666666"/>
          <w:sz w:val="19"/>
          <w:szCs w:val="19"/>
        </w:rPr>
        <w:t xml:space="preserve">RSUs are a promise to deliver shares in the future. The "sale" for Rule 701 purposes occurs when the RSUs vest and are settled in shares.</w:t>
      </w:r>
    </w:p>
    <w:p>
      <w:pPr>
        <w:pStyle w:val="Heading3"/>
        <w:spacing w:after="120" w:before="240"/>
      </w:pPr>
      <w:r>
        <w:rPr>
          <w:rFonts w:ascii="Calibri" w:cs="Calibri" w:eastAsia="Calibri" w:hAnsi="Calibri"/>
          <w:b/>
          <w:bCs/>
          <w:color w:val="1B2A4A"/>
          <w:sz w:val="22"/>
          <w:szCs w:val="22"/>
        </w:rPr>
        <w:t xml:space="preserve">2.4.4 Other Securities (Warrants, Phantom Equity, SARs)</w:t>
      </w:r>
    </w:p>
    <w:p>
      <w:pPr>
        <w:spacing w:after="160" w:line="276"/>
        <w:jc w:val="both"/>
      </w:pPr>
      <w:r>
        <w:rPr>
          <w:rFonts w:ascii="Calibri" w:cs="Calibri" w:eastAsia="Calibri" w:hAnsi="Calibri"/>
          <w:b w:val="false"/>
          <w:bCs w:val="false"/>
          <w:i w:val="false"/>
          <w:iCs w:val="false"/>
          <w:color w:val="000000"/>
          <w:sz w:val="20"/>
          <w:szCs w:val="20"/>
        </w:rPr>
        <w:t xml:space="preserve">Aggregate Sales Price = the greater of (a) the purchase price of the security or (b) the exercise/conversion price times the number of underlying shares. For phantom equity and SARs settled in cash, no sale of a security occurs for Rule 701 purposes, but counsel should confirm.</w:t>
      </w:r>
    </w:p>
    <w:p>
      <w:pPr>
        <w:pStyle w:val="Heading2"/>
        <w:spacing w:after="160" w:before="300"/>
      </w:pPr>
      <w:r>
        <w:rPr>
          <w:rFonts w:ascii="Calibri" w:cs="Calibri" w:eastAsia="Calibri" w:hAnsi="Calibri"/>
          <w:b/>
          <w:bCs/>
          <w:color w:val="2E5090"/>
          <w:sz w:val="24"/>
          <w:szCs w:val="24"/>
        </w:rPr>
        <w:t xml:space="preserve">2.5 Rolling 12-Month Period Calculation</w:t>
      </w:r>
    </w:p>
    <w:p>
      <w:pPr>
        <w:spacing w:after="160" w:line="276"/>
        <w:jc w:val="both"/>
      </w:pPr>
      <w:r>
        <w:rPr>
          <w:rFonts w:ascii="Calibri" w:cs="Calibri" w:eastAsia="Calibri" w:hAnsi="Calibri"/>
          <w:b w:val="false"/>
          <w:bCs w:val="false"/>
          <w:i w:val="false"/>
          <w:iCs w:val="false"/>
          <w:color w:val="000000"/>
          <w:sz w:val="20"/>
          <w:szCs w:val="20"/>
        </w:rPr>
        <w:t xml:space="preserve">For each new sale, the rolling 12-month total is recalculated as follows:</w:t>
      </w:r>
    </w:p>
    <w:p>
      <w:pPr>
        <w:pStyle w:val="ListParagraph"/>
        <w:numPr>
          <w:ilvl w:val="0"/>
          <w:numId w:val="3"/>
        </w:numPr>
        <w:spacing w:after="100" w:line="276"/>
      </w:pPr>
      <w:r>
        <w:rPr>
          <w:rFonts w:ascii="Calibri" w:cs="Calibri" w:eastAsia="Calibri" w:hAnsi="Calibri"/>
          <w:sz w:val="20"/>
          <w:szCs w:val="20"/>
        </w:rPr>
        <w:t xml:space="preserve">Identify all sales with a sale date within the 12-month period ending on (and including) the current sale date.</w:t>
      </w:r>
    </w:p>
    <w:p>
      <w:pPr>
        <w:pStyle w:val="ListParagraph"/>
        <w:numPr>
          <w:ilvl w:val="0"/>
          <w:numId w:val="3"/>
        </w:numPr>
        <w:spacing w:after="100" w:line="276"/>
      </w:pPr>
      <w:r>
        <w:rPr>
          <w:rFonts w:ascii="Calibri" w:cs="Calibri" w:eastAsia="Calibri" w:hAnsi="Calibri"/>
          <w:sz w:val="20"/>
          <w:szCs w:val="20"/>
        </w:rPr>
        <w:t xml:space="preserve">Sum the aggregate sales prices of all identified sales (including the current sale).</w:t>
      </w:r>
    </w:p>
    <w:p>
      <w:pPr>
        <w:pStyle w:val="ListParagraph"/>
        <w:numPr>
          <w:ilvl w:val="0"/>
          <w:numId w:val="3"/>
        </w:numPr>
        <w:spacing w:after="100" w:line="276"/>
      </w:pPr>
      <w:r>
        <w:rPr>
          <w:rFonts w:ascii="Calibri" w:cs="Calibri" w:eastAsia="Calibri" w:hAnsi="Calibri"/>
          <w:sz w:val="20"/>
          <w:szCs w:val="20"/>
        </w:rPr>
        <w:t xml:space="preserve">Compare the rolling total to the applicable limb ceiling (the greatest of the three limbs).</w:t>
      </w:r>
    </w:p>
    <w:p>
      <w:pPr>
        <w:pStyle w:val="ListParagraph"/>
        <w:numPr>
          <w:ilvl w:val="0"/>
          <w:numId w:val="3"/>
        </w:numPr>
        <w:spacing w:after="100" w:line="276"/>
      </w:pPr>
      <w:r>
        <w:rPr>
          <w:rFonts w:ascii="Calibri" w:cs="Calibri" w:eastAsia="Calibri" w:hAnsi="Calibri"/>
          <w:sz w:val="20"/>
          <w:szCs w:val="20"/>
        </w:rPr>
        <w:t xml:space="preserve">If the rolling total would exceed the applicable limb ceiling, the transaction cannot be completed under Rule 701 without either (a) waiting until earlier sales "roll off" the 12-month window or (b) relying on an alternative exemption for the excess amount.</w:t>
      </w:r>
    </w:p>
    <w:p>
      <w:pPr>
        <w:pStyle w:val="Heading2"/>
        <w:spacing w:after="160" w:before="300"/>
      </w:pPr>
      <w:r>
        <w:rPr>
          <w:rFonts w:ascii="Calibri" w:cs="Calibri" w:eastAsia="Calibri" w:hAnsi="Calibri"/>
          <w:b/>
          <w:bCs/>
          <w:color w:val="2E5090"/>
          <w:sz w:val="24"/>
          <w:szCs w:val="24"/>
        </w:rPr>
        <w:t xml:space="preserve">2.6 Enhanced Disclosure Trigger — $10 Million Threshold</w:t>
      </w:r>
    </w:p>
    <w:p>
      <w:pPr>
        <w:spacing w:after="160" w:line="276"/>
        <w:jc w:val="both"/>
      </w:pPr>
      <w:r>
        <w:rPr>
          <w:rFonts w:ascii="Calibri" w:cs="Calibri" w:eastAsia="Calibri" w:hAnsi="Calibri"/>
          <w:b w:val="false"/>
          <w:bCs w:val="false"/>
          <w:i w:val="false"/>
          <w:iCs w:val="false"/>
          <w:color w:val="000000"/>
          <w:sz w:val="20"/>
          <w:szCs w:val="20"/>
        </w:rPr>
        <w:t xml:space="preserve">Rule 701(e) requires that if the aggregate sales price or amount of securities sold during any consecutive 12-month period exceeds $10,000,000, the issuer must deliver the following enhanced disclosure materials to each recipient a reasonable period of time before the date of sale:</w:t>
      </w:r>
    </w:p>
    <w:p>
      <w:pPr>
        <w:pStyle w:val="ListParagraph"/>
        <w:numPr>
          <w:ilvl w:val="0"/>
          <w:numId w:val="2"/>
        </w:numPr>
        <w:spacing w:after="80" w:line="276"/>
      </w:pPr>
      <w:r>
        <w:rPr>
          <w:rFonts w:ascii="Calibri" w:cs="Calibri" w:eastAsia="Calibri" w:hAnsi="Calibri"/>
          <w:sz w:val="20"/>
          <w:szCs w:val="20"/>
        </w:rPr>
        <w:t xml:space="preserve">A copy of the compensatory benefit plan or compensation contract (if not previously delivered)</w:t>
      </w:r>
    </w:p>
    <w:p>
      <w:pPr>
        <w:pStyle w:val="ListParagraph"/>
        <w:numPr>
          <w:ilvl w:val="0"/>
          <w:numId w:val="2"/>
        </w:numPr>
        <w:spacing w:after="80" w:line="276"/>
      </w:pPr>
      <w:r>
        <w:rPr>
          <w:rFonts w:ascii="Calibri" w:cs="Calibri" w:eastAsia="Calibri" w:hAnsi="Calibri"/>
          <w:sz w:val="20"/>
          <w:szCs w:val="20"/>
        </w:rPr>
        <w:t xml:space="preserve">A copy of the summary of material terms of the plan or contract</w:t>
      </w:r>
    </w:p>
    <w:p>
      <w:pPr>
        <w:pStyle w:val="ListParagraph"/>
        <w:numPr>
          <w:ilvl w:val="0"/>
          <w:numId w:val="2"/>
        </w:numPr>
        <w:spacing w:after="80" w:line="276"/>
      </w:pPr>
      <w:r>
        <w:rPr>
          <w:rFonts w:ascii="Calibri" w:cs="Calibri" w:eastAsia="Calibri" w:hAnsi="Calibri"/>
          <w:sz w:val="20"/>
          <w:szCs w:val="20"/>
        </w:rPr>
        <w:t xml:space="preserve">Risk factors associated with investment in the securities</w:t>
      </w:r>
    </w:p>
    <w:p>
      <w:pPr>
        <w:pStyle w:val="ListParagraph"/>
        <w:numPr>
          <w:ilvl w:val="0"/>
          <w:numId w:val="2"/>
        </w:numPr>
        <w:spacing w:after="80" w:line="276"/>
      </w:pPr>
      <w:r>
        <w:rPr>
          <w:rFonts w:ascii="Calibri" w:cs="Calibri" w:eastAsia="Calibri" w:hAnsi="Calibri"/>
          <w:sz w:val="20"/>
          <w:szCs w:val="20"/>
        </w:rPr>
        <w:t xml:space="preserve">Financial statements as required by Rule 701(e)(3)–(5)</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800"/>
        <w:gridCol w:w="3000"/>
        <w:gridCol w:w="2560"/>
      </w:tblGrid>
      <w:tr>
        <w:trPr>
          <w:tblHeader/>
        </w:trPr>
        <w:tc>
          <w:tcPr>
            <w:tcW w:type="dxa" w:w="3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Threshold Analysis</w:t>
            </w:r>
          </w:p>
        </w:tc>
        <w:tc>
          <w:tcPr>
            <w:tcW w:type="dxa" w:w="3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Current Period Value</w:t>
            </w:r>
          </w:p>
        </w:tc>
        <w:tc>
          <w:tcPr>
            <w:tcW w:type="dxa" w:w="25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Status</w:t>
            </w:r>
          </w:p>
        </w:tc>
      </w:tr>
      <w:tr>
        <w:tc>
          <w:tcPr>
            <w:tcW w:type="dxa" w:w="3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Rolling 12-Month Aggregate Sales Price</w:t>
            </w:r>
          </w:p>
        </w:tc>
        <w:tc>
          <w:tcPr>
            <w:tcW w:type="dxa" w:w="3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 ROLLING TOTAL]</w:t>
            </w:r>
          </w:p>
        </w:tc>
        <w:tc>
          <w:tcPr>
            <w:tcW w:type="dxa" w:w="2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[BELOW/APPROACHING/ABOVE $10M]</w:t>
            </w:r>
          </w:p>
        </w:tc>
      </w:tr>
      <w:tr>
        <w:tc>
          <w:tcPr>
            <w:tcW w:type="dxa" w:w="3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$10 Million Threshold</w:t>
            </w:r>
          </w:p>
        </w:tc>
        <w:tc>
          <w:tcPr>
            <w:tcW w:type="dxa" w:w="3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$10,000,000</w:t>
            </w:r>
          </w:p>
        </w:tc>
        <w:tc>
          <w:tcPr>
            <w:tcW w:type="dxa" w:w="2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Fixed</w:t>
            </w:r>
          </w:p>
        </w:tc>
      </w:tr>
      <w:tr>
        <w:tc>
          <w:tcPr>
            <w:tcW w:type="dxa" w:w="3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Distance to Threshold</w:t>
            </w:r>
          </w:p>
        </w:tc>
        <w:tc>
          <w:tcPr>
            <w:tcW w:type="dxa" w:w="3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$[DISTANCE]</w:t>
            </w:r>
          </w:p>
        </w:tc>
        <w:tc>
          <w:tcPr>
            <w:tcW w:type="dxa" w:w="2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[CUSHION/AT THRESHOLD/EXCEEDED]</w:t>
            </w:r>
          </w:p>
        </w:tc>
      </w:tr>
      <w:tr>
        <w:tc>
          <w:tcPr>
            <w:tcW w:type="dxa" w:w="3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Enhanced Disclosure Required?</w:t>
            </w:r>
          </w:p>
        </w:tc>
        <w:tc>
          <w:tcPr>
            <w:tcW w:type="dxa" w:w="3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2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TRIGGERED, IF YES]</w:t>
            </w:r>
          </w:p>
        </w:tc>
      </w:tr>
      <w:tr>
        <w:tc>
          <w:tcPr>
            <w:tcW w:type="dxa" w:w="3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Conservative Escalation Point (80% of $10M)</w:t>
            </w:r>
          </w:p>
        </w:tc>
        <w:tc>
          <w:tcPr>
            <w:tcW w:type="dxa" w:w="3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$8,000,000</w:t>
            </w:r>
          </w:p>
        </w:tc>
        <w:tc>
          <w:tcPr>
            <w:tcW w:type="dxa" w:w="2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[BELOW/ABOVE]</w:t>
            </w:r>
          </w:p>
        </w:tc>
      </w:tr>
      <w:tr>
        <w:tc>
          <w:tcPr>
            <w:tcW w:type="dxa" w:w="3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Prepared Enhanced Disclosure Package?</w:t>
            </w:r>
          </w:p>
        </w:tc>
        <w:tc>
          <w:tcPr>
            <w:tcW w:type="dxa" w:w="3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[YES/NO/IN PROGRESS]</w:t>
            </w:r>
          </w:p>
        </w:tc>
        <w:tc>
          <w:tcPr>
            <w:tcW w:type="dxa" w:w="2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[TARGET COMPLETION DATE]</w:t>
            </w:r>
          </w:p>
        </w:tc>
      </w:tr>
    </w:tbl>
    <w:p>
      <w:pPr>
        <w:spacing w:after="80"/>
      </w:pPr>
    </w:p>
    <w:p>
      <w:pPr>
        <w:spacing w:after="160" w:line="276"/>
        <w:jc w:val="both"/>
      </w:pPr>
      <w:r>
        <w:rPr>
          <w:rFonts w:ascii="Calibri" w:cs="Calibri" w:eastAsia="Calibri" w:hAnsi="Calibri"/>
          <w:b/>
          <w:bCs/>
          <w:i/>
          <w:iCs/>
          <w:color w:val="2E5090"/>
          <w:sz w:val="19"/>
          <w:szCs w:val="19"/>
        </w:rPr>
        <w:t xml:space="preserve">Note: </w:t>
      </w:r>
      <w:r>
        <w:rPr>
          <w:rFonts w:ascii="Calibri" w:cs="Calibri" w:eastAsia="Calibri" w:hAnsi="Calibri"/>
          <w:b w:val="false"/>
          <w:bCs w:val="false"/>
          <w:i/>
          <w:iCs/>
          <w:color w:val="666666"/>
          <w:sz w:val="19"/>
          <w:szCs w:val="19"/>
        </w:rPr>
        <w:t xml:space="preserve">As a matter of conservative practice, this Package recommends beginning preparation of enhanced disclosure materials when the rolling 12-month aggregate reaches 80% of the $10 million threshold ($8,000,000), to ensure materials are available for timely delivery if the threshold is subsequently crossed.</w:t>
      </w:r>
    </w:p>
    <w:p>
      <w:r>
        <w:br w:type="page"/>
      </w:r>
    </w:p>
    <w:p>
      <w:pPr>
        <w:pStyle w:val="Heading1"/>
        <w:spacing w:after="200" w:before="360"/>
      </w:pPr>
      <w:r>
        <w:rPr>
          <w:rFonts w:ascii="Calibri" w:cs="Calibri" w:eastAsia="Calibri" w:hAnsi="Calibri"/>
          <w:b/>
          <w:bCs/>
          <w:color w:val="1B2A4A"/>
          <w:sz w:val="28"/>
          <w:szCs w:val="28"/>
        </w:rPr>
        <w:t xml:space="preserve">SECTION 3: ELIGIBILITY REVIEW</w:t>
      </w:r>
    </w:p>
    <w:p>
      <w:pPr>
        <w:spacing w:after="160" w:line="276"/>
        <w:jc w:val="both"/>
      </w:pPr>
      <w:r>
        <w:rPr>
          <w:rFonts w:ascii="Calibri" w:cs="Calibri" w:eastAsia="Calibri" w:hAnsi="Calibri"/>
          <w:b w:val="false"/>
          <w:bCs w:val="false"/>
          <w:i w:val="false"/>
          <w:iCs w:val="false"/>
          <w:color w:val="000000"/>
          <w:sz w:val="20"/>
          <w:szCs w:val="20"/>
        </w:rPr>
        <w:t xml:space="preserve">Rule 701(c) limits the exemption to offers and sales to specified categories of natural persons (and, in limited circumstances, entities) who provide services to the issuer or its controlled subsidiaries. This section documents the eligibility analysis for each recipient category and provides a framework for individual eligibility determinations.</w:t>
      </w:r>
    </w:p>
    <w:p>
      <w:pPr>
        <w:pStyle w:val="Heading2"/>
        <w:spacing w:after="160" w:before="300"/>
      </w:pPr>
      <w:r>
        <w:rPr>
          <w:rFonts w:ascii="Calibri" w:cs="Calibri" w:eastAsia="Calibri" w:hAnsi="Calibri"/>
          <w:b/>
          <w:bCs/>
          <w:color w:val="2E5090"/>
          <w:sz w:val="24"/>
          <w:szCs w:val="24"/>
        </w:rPr>
        <w:t xml:space="preserve">3.1 Employee Status</w:t>
      </w:r>
    </w:p>
    <w:p>
      <w:pPr>
        <w:spacing w:after="160" w:line="276"/>
        <w:jc w:val="both"/>
      </w:pPr>
      <w:r>
        <w:rPr>
          <w:rFonts w:ascii="Calibri" w:cs="Calibri" w:eastAsia="Calibri" w:hAnsi="Calibri"/>
          <w:b w:val="false"/>
          <w:bCs w:val="false"/>
          <w:i w:val="false"/>
          <w:iCs w:val="false"/>
          <w:color w:val="000000"/>
          <w:sz w:val="20"/>
          <w:szCs w:val="20"/>
        </w:rPr>
        <w:t xml:space="preserve">An "employee" for Rule 701 purposes includes any person defined as an employee for purposes of Form S-8. The SEC has stated that this generally means any person who satisfies the definition of "employee" as defined in the context of the employer-employee relationship under the common law. Relevant factors include:</w:t>
      </w:r>
    </w:p>
    <w:p>
      <w:pPr>
        <w:pStyle w:val="ListParagraph"/>
        <w:numPr>
          <w:ilvl w:val="0"/>
          <w:numId w:val="2"/>
        </w:numPr>
        <w:spacing w:after="80" w:line="276"/>
      </w:pPr>
      <w:r>
        <w:rPr>
          <w:rFonts w:ascii="Calibri" w:cs="Calibri" w:eastAsia="Calibri" w:hAnsi="Calibri"/>
          <w:sz w:val="20"/>
          <w:szCs w:val="20"/>
        </w:rPr>
        <w:t xml:space="preserve">The hiring party's right to control the manner and means by which the product is accomplished</w:t>
      </w:r>
    </w:p>
    <w:p>
      <w:pPr>
        <w:pStyle w:val="ListParagraph"/>
        <w:numPr>
          <w:ilvl w:val="0"/>
          <w:numId w:val="2"/>
        </w:numPr>
        <w:spacing w:after="80" w:line="276"/>
      </w:pPr>
      <w:r>
        <w:rPr>
          <w:rFonts w:ascii="Calibri" w:cs="Calibri" w:eastAsia="Calibri" w:hAnsi="Calibri"/>
          <w:sz w:val="20"/>
          <w:szCs w:val="20"/>
        </w:rPr>
        <w:t xml:space="preserve">The skill required, the source of instrumentalities and tools, and the location of the work</w:t>
      </w:r>
    </w:p>
    <w:p>
      <w:pPr>
        <w:pStyle w:val="ListParagraph"/>
        <w:numPr>
          <w:ilvl w:val="0"/>
          <w:numId w:val="2"/>
        </w:numPr>
        <w:spacing w:after="80" w:line="276"/>
      </w:pPr>
      <w:r>
        <w:rPr>
          <w:rFonts w:ascii="Calibri" w:cs="Calibri" w:eastAsia="Calibri" w:hAnsi="Calibri"/>
          <w:sz w:val="20"/>
          <w:szCs w:val="20"/>
        </w:rPr>
        <w:t xml:space="preserve">The duration of the relationship between the parties</w:t>
      </w:r>
    </w:p>
    <w:p>
      <w:pPr>
        <w:pStyle w:val="ListParagraph"/>
        <w:numPr>
          <w:ilvl w:val="0"/>
          <w:numId w:val="2"/>
        </w:numPr>
        <w:spacing w:after="80" w:line="276"/>
      </w:pPr>
      <w:r>
        <w:rPr>
          <w:rFonts w:ascii="Calibri" w:cs="Calibri" w:eastAsia="Calibri" w:hAnsi="Calibri"/>
          <w:sz w:val="20"/>
          <w:szCs w:val="20"/>
        </w:rPr>
        <w:t xml:space="preserve">Whether the hiring party has the right to assign additional projects</w:t>
      </w:r>
    </w:p>
    <w:p>
      <w:pPr>
        <w:pStyle w:val="ListParagraph"/>
        <w:numPr>
          <w:ilvl w:val="0"/>
          <w:numId w:val="2"/>
        </w:numPr>
        <w:spacing w:after="80" w:line="276"/>
      </w:pPr>
      <w:r>
        <w:rPr>
          <w:rFonts w:ascii="Calibri" w:cs="Calibri" w:eastAsia="Calibri" w:hAnsi="Calibri"/>
          <w:sz w:val="20"/>
          <w:szCs w:val="20"/>
        </w:rPr>
        <w:t xml:space="preserve">The extent of the hired party's discretion over when and how long to work</w:t>
      </w:r>
    </w:p>
    <w:p>
      <w:pPr>
        <w:pStyle w:val="ListParagraph"/>
        <w:numPr>
          <w:ilvl w:val="0"/>
          <w:numId w:val="2"/>
        </w:numPr>
        <w:spacing w:after="80" w:line="276"/>
      </w:pPr>
      <w:r>
        <w:rPr>
          <w:rFonts w:ascii="Calibri" w:cs="Calibri" w:eastAsia="Calibri" w:hAnsi="Calibri"/>
          <w:sz w:val="20"/>
          <w:szCs w:val="20"/>
        </w:rPr>
        <w:t xml:space="preserve">The method of payment, the hired party's role in hiring and paying assistants</w:t>
      </w:r>
    </w:p>
    <w:p>
      <w:pPr>
        <w:pStyle w:val="ListParagraph"/>
        <w:numPr>
          <w:ilvl w:val="0"/>
          <w:numId w:val="2"/>
        </w:numPr>
        <w:spacing w:after="80" w:line="276"/>
      </w:pPr>
      <w:r>
        <w:rPr>
          <w:rFonts w:ascii="Calibri" w:cs="Calibri" w:eastAsia="Calibri" w:hAnsi="Calibri"/>
          <w:sz w:val="20"/>
          <w:szCs w:val="20"/>
        </w:rPr>
        <w:t xml:space="preserve">Whether the work is part of the regular business of the hiring party</w:t>
      </w:r>
    </w:p>
    <w:p>
      <w:pPr>
        <w:pStyle w:val="ListParagraph"/>
        <w:numPr>
          <w:ilvl w:val="0"/>
          <w:numId w:val="2"/>
        </w:numPr>
        <w:spacing w:after="80" w:line="276"/>
      </w:pPr>
      <w:r>
        <w:rPr>
          <w:rFonts w:ascii="Calibri" w:cs="Calibri" w:eastAsia="Calibri" w:hAnsi="Calibri"/>
          <w:sz w:val="20"/>
          <w:szCs w:val="20"/>
        </w:rPr>
        <w:t xml:space="preserve">Whether the hiring party is in business, the provision of employee benefits, and the tax treatment of the hired party</w:t>
      </w:r>
    </w:p>
    <w:p>
      <w:pPr>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2800"/>
        <w:gridCol w:w="3160"/>
      </w:tblGrid>
      <w:tr>
        <w:trPr>
          <w:tblHeader/>
        </w:trPr>
        <w:tc>
          <w:tcPr>
            <w:tcW w:type="dxa" w:w="34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Employee Eligibility Factor</w:t>
            </w:r>
          </w:p>
        </w:tc>
        <w:tc>
          <w:tcPr>
            <w:tcW w:type="dxa" w:w="2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Analysis</w:t>
            </w:r>
          </w:p>
        </w:tc>
        <w:tc>
          <w:tcPr>
            <w:tcW w:type="dxa" w:w="31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Documentation</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Employment agreement or offer letter on file?</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[DOCUMENT REFERENCE]</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Classified as W-2 employee for tax purposes?</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[FORM W-2 / PAYROLL RECORDS]</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Subject to employer's control and direction?</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[SUPERVISOR/REPORTING STRUCTURE]</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Part-time employees included?</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DEFINITION OF "EMPLOYEE"]</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Employees of controlled subsidiaries included?</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[SUBSIDIARY LIST AND CONTROL ANALYSIS]</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Leased employees included?</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 — SEE NOTE]</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[LEASING AGREEMENT]</w:t>
            </w:r>
          </w:p>
        </w:tc>
      </w:tr>
    </w:tbl>
    <w:p>
      <w:pPr>
        <w:spacing w:after="80"/>
      </w:pPr>
    </w:p>
    <w:p>
      <w:pPr>
        <w:spacing w:after="160" w:line="276"/>
        <w:jc w:val="both"/>
      </w:pPr>
      <w:r>
        <w:rPr>
          <w:rFonts w:ascii="Calibri" w:cs="Calibri" w:eastAsia="Calibri" w:hAnsi="Calibri"/>
          <w:b/>
          <w:bCs/>
          <w:i/>
          <w:iCs/>
          <w:color w:val="2E5090"/>
          <w:sz w:val="19"/>
          <w:szCs w:val="19"/>
        </w:rPr>
        <w:t xml:space="preserve">Note: </w:t>
      </w:r>
      <w:r>
        <w:rPr>
          <w:rFonts w:ascii="Calibri" w:cs="Calibri" w:eastAsia="Calibri" w:hAnsi="Calibri"/>
          <w:b w:val="false"/>
          <w:bCs w:val="false"/>
          <w:i/>
          <w:iCs/>
          <w:color w:val="666666"/>
          <w:sz w:val="19"/>
          <w:szCs w:val="19"/>
        </w:rPr>
        <w:t xml:space="preserve">Leased employees may or may not qualify as "employees" for Rule 701 purposes, depending on the facts and circumstances. The SEC staff has not provided definitive guidance on this point. Conservative practice treats leased employees as ineligible for Rule 701 unless the leasing arrangement is structured such that the issuer has the right to control the leased employee's work.</w:t>
      </w:r>
    </w:p>
    <w:p>
      <w:pPr>
        <w:pStyle w:val="Heading2"/>
        <w:spacing w:after="160" w:before="300"/>
      </w:pPr>
      <w:r>
        <w:rPr>
          <w:rFonts w:ascii="Calibri" w:cs="Calibri" w:eastAsia="Calibri" w:hAnsi="Calibri"/>
          <w:b/>
          <w:bCs/>
          <w:color w:val="2E5090"/>
          <w:sz w:val="24"/>
          <w:szCs w:val="24"/>
        </w:rPr>
        <w:t xml:space="preserve">3.2 Director Status</w:t>
      </w:r>
    </w:p>
    <w:p>
      <w:pPr>
        <w:spacing w:after="160" w:line="276"/>
        <w:jc w:val="both"/>
      </w:pPr>
      <w:r>
        <w:rPr>
          <w:rFonts w:ascii="Calibri" w:cs="Calibri" w:eastAsia="Calibri" w:hAnsi="Calibri"/>
          <w:b w:val="false"/>
          <w:bCs w:val="false"/>
          <w:i w:val="false"/>
          <w:iCs w:val="false"/>
          <w:color w:val="000000"/>
          <w:sz w:val="20"/>
          <w:szCs w:val="20"/>
        </w:rPr>
        <w:t xml:space="preserve">Directors of the issuer and its controlled subsidiaries are eligible recipients under Rule 701(c)(1). The analysis is generally straightforward: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2800"/>
        <w:gridCol w:w="3160"/>
      </w:tblGrid>
      <w:tr>
        <w:trPr>
          <w:tblHeader/>
        </w:trPr>
        <w:tc>
          <w:tcPr>
            <w:tcW w:type="dxa" w:w="34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Director Eligibility Factor</w:t>
            </w:r>
          </w:p>
        </w:tc>
        <w:tc>
          <w:tcPr>
            <w:tcW w:type="dxa" w:w="2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Analysis</w:t>
            </w:r>
          </w:p>
        </w:tc>
        <w:tc>
          <w:tcPr>
            <w:tcW w:type="dxa" w:w="31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Documentation</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Elected or appointed to board of directors?</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[BOARD MINUTES / CONSENT]</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Board seat is compensated?</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[COMPENSATION ARRANGEMENT]</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Director of controlled subsidiary?</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[SUBSIDIARY BOARD RECORDS]</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Advisory board member (non-fiduciary)?</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[SEE NOTE]</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[ADVISORY AGREEMENT]</w:t>
            </w:r>
          </w:p>
        </w:tc>
      </w:tr>
    </w:tbl>
    <w:p>
      <w:pPr>
        <w:spacing w:after="160" w:line="276"/>
        <w:jc w:val="both"/>
      </w:pPr>
      <w:r>
        <w:rPr>
          <w:rFonts w:ascii="Calibri" w:cs="Calibri" w:eastAsia="Calibri" w:hAnsi="Calibri"/>
          <w:b/>
          <w:bCs/>
          <w:i/>
          <w:iCs/>
          <w:color w:val="2E5090"/>
          <w:sz w:val="19"/>
          <w:szCs w:val="19"/>
        </w:rPr>
        <w:t xml:space="preserve">Note: </w:t>
      </w:r>
      <w:r>
        <w:rPr>
          <w:rFonts w:ascii="Calibri" w:cs="Calibri" w:eastAsia="Calibri" w:hAnsi="Calibri"/>
          <w:b w:val="false"/>
          <w:bCs w:val="false"/>
          <w:i/>
          <w:iCs/>
          <w:color w:val="666666"/>
          <w:sz w:val="19"/>
          <w:szCs w:val="19"/>
        </w:rPr>
        <w:t xml:space="preserve">Advisory board members who do not serve on the statutory board of directors are generally classified as consultants/advisors, not directors, for Rule 701 purposes. See Section 3.5 below.</w:t>
      </w:r>
    </w:p>
    <w:p>
      <w:pPr>
        <w:pStyle w:val="Heading2"/>
        <w:spacing w:after="160" w:before="300"/>
      </w:pPr>
      <w:r>
        <w:rPr>
          <w:rFonts w:ascii="Calibri" w:cs="Calibri" w:eastAsia="Calibri" w:hAnsi="Calibri"/>
          <w:b/>
          <w:bCs/>
          <w:color w:val="2E5090"/>
          <w:sz w:val="24"/>
          <w:szCs w:val="24"/>
        </w:rPr>
        <w:t xml:space="preserve">3.3 Officer Status</w:t>
      </w:r>
    </w:p>
    <w:p>
      <w:pPr>
        <w:spacing w:after="160" w:line="276"/>
        <w:jc w:val="both"/>
      </w:pPr>
      <w:r>
        <w:rPr>
          <w:rFonts w:ascii="Calibri" w:cs="Calibri" w:eastAsia="Calibri" w:hAnsi="Calibri"/>
          <w:b w:val="false"/>
          <w:bCs w:val="false"/>
          <w:i w:val="false"/>
          <w:iCs w:val="false"/>
          <w:color w:val="000000"/>
          <w:sz w:val="20"/>
          <w:szCs w:val="20"/>
        </w:rPr>
        <w:t xml:space="preserve">Officers of the issuer who are also employees are covered by the employee analysis above. Officers who are not employees (e.g., a non-employee chairman or a part-time officer without an employment relationship) are separately eligible under Rule 701(c)(1).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2800"/>
        <w:gridCol w:w="3160"/>
      </w:tblGrid>
      <w:tr>
        <w:trPr>
          <w:tblHeader/>
        </w:trPr>
        <w:tc>
          <w:tcPr>
            <w:tcW w:type="dxa" w:w="34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Officer Eligibility Factor</w:t>
            </w:r>
          </w:p>
        </w:tc>
        <w:tc>
          <w:tcPr>
            <w:tcW w:type="dxa" w:w="2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Analysis</w:t>
            </w:r>
          </w:p>
        </w:tc>
        <w:tc>
          <w:tcPr>
            <w:tcW w:type="dxa" w:w="31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Documentation</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Appointed as officer by board?</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[BOARD MINUTES / BYLAWS]</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Title and function</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[TITLE]</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[OFFICER CERTIFICATE / BYLAWS]</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Also an employee?</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[EMPLOYMENT RECORDS]</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Officer of controlled subsidiary?</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[SUBSIDIARY RECORDS]</w:t>
            </w:r>
          </w:p>
        </w:tc>
      </w:tr>
    </w:tbl>
    <w:p>
      <w:pPr>
        <w:pStyle w:val="Heading2"/>
        <w:spacing w:after="160" w:before="300"/>
      </w:pPr>
      <w:r>
        <w:rPr>
          <w:rFonts w:ascii="Calibri" w:cs="Calibri" w:eastAsia="Calibri" w:hAnsi="Calibri"/>
          <w:b/>
          <w:bCs/>
          <w:color w:val="2E5090"/>
          <w:sz w:val="24"/>
          <w:szCs w:val="24"/>
        </w:rPr>
        <w:t xml:space="preserve">3.4 Partner and Trustee Status</w:t>
      </w:r>
    </w:p>
    <w:p>
      <w:pPr>
        <w:spacing w:after="160" w:line="276"/>
        <w:jc w:val="both"/>
      </w:pPr>
      <w:r>
        <w:rPr>
          <w:rFonts w:ascii="Calibri" w:cs="Calibri" w:eastAsia="Calibri" w:hAnsi="Calibri"/>
          <w:b w:val="false"/>
          <w:bCs w:val="false"/>
          <w:i w:val="false"/>
          <w:iCs w:val="false"/>
          <w:color w:val="000000"/>
          <w:sz w:val="20"/>
          <w:szCs w:val="20"/>
        </w:rPr>
        <w:t xml:space="preserve">General partners of partnerships and trustees of business trusts are eligible under Rule 701(c)(1), provided the securities are offered for compensatory purposes: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2800"/>
        <w:gridCol w:w="3160"/>
      </w:tblGrid>
      <w:tr>
        <w:trPr>
          <w:tblHeader/>
        </w:trPr>
        <w:tc>
          <w:tcPr>
            <w:tcW w:type="dxa" w:w="34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Factor</w:t>
            </w:r>
          </w:p>
        </w:tc>
        <w:tc>
          <w:tcPr>
            <w:tcW w:type="dxa" w:w="2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Analysis</w:t>
            </w:r>
          </w:p>
        </w:tc>
        <w:tc>
          <w:tcPr>
            <w:tcW w:type="dxa" w:w="31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Documentation</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Is recipient a general partner?</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[PARTNERSHIP AGREEMENT]</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Is recipient a trustee of a business trust?</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[TRUST AGREEMENT]</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Is partnership/trust the issuer or controlled subsidiary?</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[ORGANIZATIONAL DOCUMENTS]</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Compensatory purpose established?</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[COMPENSATION ARRANGEMENT]</w:t>
            </w:r>
          </w:p>
        </w:tc>
      </w:tr>
    </w:tbl>
    <w:p>
      <w:pPr>
        <w:pStyle w:val="Heading2"/>
        <w:spacing w:after="160" w:before="300"/>
      </w:pPr>
      <w:r>
        <w:rPr>
          <w:rFonts w:ascii="Calibri" w:cs="Calibri" w:eastAsia="Calibri" w:hAnsi="Calibri"/>
          <w:b/>
          <w:bCs/>
          <w:color w:val="2E5090"/>
          <w:sz w:val="24"/>
          <w:szCs w:val="24"/>
        </w:rPr>
        <w:t xml:space="preserve">3.5 Consultant and Advisor Status</w:t>
      </w:r>
    </w:p>
    <w:p>
      <w:pPr>
        <w:spacing w:after="160" w:line="276"/>
        <w:jc w:val="both"/>
      </w:pPr>
      <w:r>
        <w:rPr>
          <w:rFonts w:ascii="Calibri" w:cs="Calibri" w:eastAsia="Calibri" w:hAnsi="Calibri"/>
          <w:b w:val="false"/>
          <w:bCs w:val="false"/>
          <w:i w:val="false"/>
          <w:iCs w:val="false"/>
          <w:color w:val="000000"/>
          <w:sz w:val="20"/>
          <w:szCs w:val="20"/>
        </w:rPr>
        <w:t xml:space="preserve">Consultants and advisors are eligible under Rule 701(c)(1) only if they satisfy the following requirements, which mirror the requirements applicable to Form S-8:</w:t>
      </w:r>
    </w:p>
    <w:p>
      <w:pPr>
        <w:pStyle w:val="ListParagraph"/>
        <w:numPr>
          <w:ilvl w:val="0"/>
          <w:numId w:val="3"/>
        </w:numPr>
        <w:spacing w:after="100" w:line="276"/>
      </w:pPr>
      <w:r>
        <w:rPr>
          <w:rFonts w:ascii="Calibri" w:cs="Calibri" w:eastAsia="Calibri" w:hAnsi="Calibri"/>
          <w:sz w:val="20"/>
          <w:szCs w:val="20"/>
        </w:rPr>
        <w:t xml:space="preserve">The consultant or advisor must be a natural person (entities are generally ineligible, with narrow exceptions).</w:t>
      </w:r>
    </w:p>
    <w:p>
      <w:pPr>
        <w:pStyle w:val="ListParagraph"/>
        <w:numPr>
          <w:ilvl w:val="0"/>
          <w:numId w:val="3"/>
        </w:numPr>
        <w:spacing w:after="100" w:line="276"/>
      </w:pPr>
      <w:r>
        <w:rPr>
          <w:rFonts w:ascii="Calibri" w:cs="Calibri" w:eastAsia="Calibri" w:hAnsi="Calibri"/>
          <w:sz w:val="20"/>
          <w:szCs w:val="20"/>
        </w:rPr>
        <w:t xml:space="preserve">The consultant or advisor must provide bona fide services to the issuer or its controlled subsidiaries.</w:t>
      </w:r>
    </w:p>
    <w:p>
      <w:pPr>
        <w:pStyle w:val="ListParagraph"/>
        <w:numPr>
          <w:ilvl w:val="0"/>
          <w:numId w:val="3"/>
        </w:numPr>
        <w:spacing w:after="100" w:line="276"/>
      </w:pPr>
      <w:r>
        <w:rPr>
          <w:rFonts w:ascii="Calibri" w:cs="Calibri" w:eastAsia="Calibri" w:hAnsi="Calibri"/>
          <w:sz w:val="20"/>
          <w:szCs w:val="20"/>
        </w:rPr>
        <w:t xml:space="preserve">The services must not be in connection with the offer or sale of securities in a capital-raising transaction.</w:t>
      </w:r>
    </w:p>
    <w:p>
      <w:pPr>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2800"/>
        <w:gridCol w:w="3160"/>
      </w:tblGrid>
      <w:tr>
        <w:trPr>
          <w:tblHeader/>
        </w:trPr>
        <w:tc>
          <w:tcPr>
            <w:tcW w:type="dxa" w:w="34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Consultant/Advisor Eligibility Factor</w:t>
            </w:r>
          </w:p>
        </w:tc>
        <w:tc>
          <w:tcPr>
            <w:tcW w:type="dxa" w:w="2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Analysis</w:t>
            </w:r>
          </w:p>
        </w:tc>
        <w:tc>
          <w:tcPr>
            <w:tcW w:type="dxa" w:w="31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Documentation</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Natural person?</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[IDENTIFICATION]</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Written consulting or advisory agreement?</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[AGREEMENT REFERENCE]</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Bona fide services being provided?</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[SCOPE OF SERVICES DESCRIPTION]</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Services NOT related to capital-raising?</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[NATURE OF SERVICES ANALYSIS]</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Engagement predates equity grant?</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[ENGAGEMENT DATE vs. GRANT DATE]</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 facto employee relationship factors present?</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[YES/NO/PARTIAL]</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[COMMON LAW ANALYSIS]</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Independent contractor classification supportable?</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[1099 / CLASSIFICATION MEMO]</w:t>
            </w:r>
          </w:p>
        </w:tc>
      </w:tr>
    </w:tbl>
    <w:p>
      <w:pPr>
        <w:spacing w:after="80"/>
      </w:pPr>
    </w:p>
    <w:p>
      <w:pPr>
        <w:spacing w:after="160" w:line="276"/>
        <w:jc w:val="both"/>
      </w:pPr>
      <w:r>
        <w:rPr>
          <w:rFonts w:ascii="Calibri" w:cs="Calibri" w:eastAsia="Calibri" w:hAnsi="Calibri"/>
          <w:b/>
          <w:bCs/>
          <w:i w:val="false"/>
          <w:iCs w:val="false"/>
          <w:color w:val="2E5090"/>
          <w:sz w:val="19"/>
          <w:szCs w:val="19"/>
        </w:rPr>
        <w:t xml:space="preserve">Drafting Instruction: </w:t>
      </w:r>
      <w:r>
        <w:rPr>
          <w:rFonts w:ascii="Calibri" w:cs="Calibri" w:eastAsia="Calibri" w:hAnsi="Calibri"/>
          <w:b w:val="false"/>
          <w:bCs w:val="false"/>
          <w:i/>
          <w:iCs/>
          <w:color w:val="666666"/>
          <w:sz w:val="19"/>
          <w:szCs w:val="19"/>
        </w:rPr>
        <w:t xml:space="preserve">The SEC has stated that whether a consultant or advisor is providing "bona fide services" is a facts-and-circumstances determination. Services that are merely incidental to a capital-raising role (e.g., a finder who also provides some advisory services) do not qualify. The substance of the relationship, not its label, controls.</w:t>
      </w:r>
    </w:p>
    <w:p>
      <w:pPr>
        <w:pStyle w:val="Heading2"/>
        <w:spacing w:after="160" w:before="300"/>
      </w:pPr>
      <w:r>
        <w:rPr>
          <w:rFonts w:ascii="Calibri" w:cs="Calibri" w:eastAsia="Calibri" w:hAnsi="Calibri"/>
          <w:b/>
          <w:bCs/>
          <w:color w:val="2E5090"/>
          <w:sz w:val="24"/>
          <w:szCs w:val="24"/>
        </w:rPr>
        <w:t xml:space="preserve">3.6 Family Member Transferees</w:t>
      </w:r>
    </w:p>
    <w:p>
      <w:pPr>
        <w:spacing w:after="160" w:line="276"/>
        <w:jc w:val="both"/>
      </w:pPr>
      <w:r>
        <w:rPr>
          <w:rFonts w:ascii="Calibri" w:cs="Calibri" w:eastAsia="Calibri" w:hAnsi="Calibri"/>
          <w:b w:val="false"/>
          <w:bCs w:val="false"/>
          <w:i w:val="false"/>
          <w:iCs w:val="false"/>
          <w:color w:val="000000"/>
          <w:sz w:val="20"/>
          <w:szCs w:val="20"/>
        </w:rPr>
        <w:t xml:space="preserve">Rule 701(c)(2) permits the transfer of securities from an eligible recipient to family members by gift or pursuant to a domestic relations order (QDRO), provided the transfer is expressly authorized by the plan or contract: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2800"/>
        <w:gridCol w:w="3160"/>
      </w:tblGrid>
      <w:tr>
        <w:trPr>
          <w:tblHeader/>
        </w:trPr>
        <w:tc>
          <w:tcPr>
            <w:tcW w:type="dxa" w:w="34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Family Transferee Factor</w:t>
            </w:r>
          </w:p>
        </w:tc>
        <w:tc>
          <w:tcPr>
            <w:tcW w:type="dxa" w:w="2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Analysis</w:t>
            </w:r>
          </w:p>
        </w:tc>
        <w:tc>
          <w:tcPr>
            <w:tcW w:type="dxa" w:w="31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Documentation</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Relationship to eligible recipient</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[RELATIONSHIP]</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[IDENTIFICATION]</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Transfer by gift or QDRO?</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[GIFT/QDRO]</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[GIFT LETTER / QDRO COPY]</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Plan/contract permits family transfers?</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SECTION REFERENCE]</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Transferor was eligible at time of original grant?</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[ORIGINAL GRANT RECORDS]</w:t>
            </w:r>
          </w:p>
        </w:tc>
      </w:tr>
    </w:tbl>
    <w:p>
      <w:pPr>
        <w:pStyle w:val="Heading2"/>
        <w:spacing w:after="160" w:before="300"/>
      </w:pPr>
      <w:r>
        <w:rPr>
          <w:rFonts w:ascii="Calibri" w:cs="Calibri" w:eastAsia="Calibri" w:hAnsi="Calibri"/>
          <w:b/>
          <w:bCs/>
          <w:color w:val="2E5090"/>
          <w:sz w:val="24"/>
          <w:szCs w:val="24"/>
        </w:rPr>
        <w:t xml:space="preserve">3.7 Former Service Providers</w:t>
      </w:r>
    </w:p>
    <w:p>
      <w:pPr>
        <w:spacing w:after="160" w:line="276"/>
        <w:jc w:val="both"/>
      </w:pPr>
      <w:r>
        <w:rPr>
          <w:rFonts w:ascii="Calibri" w:cs="Calibri" w:eastAsia="Calibri" w:hAnsi="Calibri"/>
          <w:b w:val="false"/>
          <w:bCs w:val="false"/>
          <w:i w:val="false"/>
          <w:iCs w:val="false"/>
          <w:color w:val="000000"/>
          <w:sz w:val="20"/>
          <w:szCs w:val="20"/>
        </w:rPr>
        <w:t xml:space="preserve">Rule 701(c)(3) permits offers and sales to former employees, directors, general partners, trustees, officers, consultants, and advisors, but only if they were employed by or providing services to the issuer at the time the securities were offered (or at the time a compensatory benefit plan was established):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2800"/>
        <w:gridCol w:w="3160"/>
      </w:tblGrid>
      <w:tr>
        <w:trPr>
          <w:tblHeader/>
        </w:trPr>
        <w:tc>
          <w:tcPr>
            <w:tcW w:type="dxa" w:w="34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Former Service Provider Factor</w:t>
            </w:r>
          </w:p>
        </w:tc>
        <w:tc>
          <w:tcPr>
            <w:tcW w:type="dxa" w:w="2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Analysis</w:t>
            </w:r>
          </w:p>
        </w:tc>
        <w:tc>
          <w:tcPr>
            <w:tcW w:type="dxa" w:w="31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Documentation</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of termination of service</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[SEPARATION RECORDS]</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Was recipient eligible at time of original offer/grant?</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[ORIGINAL GRANT RECORDS]</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Is current transaction a post-termination exercise?</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[EXERCISE NOTICE]</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Post-termination exercise period in plan/contract?</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[PERIOD]</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SECTION REFERENCE]</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Exercise within permitted post-termination period?</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COMPARISON]</w:t>
            </w:r>
          </w:p>
        </w:tc>
      </w:tr>
    </w:tbl>
    <w:p>
      <w:pPr>
        <w:pStyle w:val="Heading2"/>
        <w:spacing w:after="160" w:before="300"/>
      </w:pPr>
      <w:r>
        <w:rPr>
          <w:rFonts w:ascii="Calibri" w:cs="Calibri" w:eastAsia="Calibri" w:hAnsi="Calibri"/>
          <w:b/>
          <w:bCs/>
          <w:color w:val="2E5090"/>
          <w:sz w:val="24"/>
          <w:szCs w:val="24"/>
        </w:rPr>
        <w:t xml:space="preserve">3.8 Entity Recipients</w:t>
      </w:r>
    </w:p>
    <w:p>
      <w:pPr>
        <w:spacing w:after="160" w:line="276"/>
        <w:jc w:val="both"/>
      </w:pPr>
      <w:r>
        <w:rPr>
          <w:rFonts w:ascii="Calibri" w:cs="Calibri" w:eastAsia="Calibri" w:hAnsi="Calibri"/>
          <w:b w:val="false"/>
          <w:bCs w:val="false"/>
          <w:i w:val="false"/>
          <w:iCs w:val="false"/>
          <w:color w:val="000000"/>
          <w:sz w:val="20"/>
          <w:szCs w:val="20"/>
        </w:rPr>
        <w:t xml:space="preserve">Entity recipients (corporations, LLCs, partnerships, trusts that are not business trusts) are generally ineligible for Rule 701 unless the entity is controlled by an eligible natural person and the securities are issued in exchange for that person's services. The following analysis applies: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2800"/>
        <w:gridCol w:w="3160"/>
      </w:tblGrid>
      <w:tr>
        <w:trPr>
          <w:tblHeader/>
        </w:trPr>
        <w:tc>
          <w:tcPr>
            <w:tcW w:type="dxa" w:w="34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Entity Recipient Factor</w:t>
            </w:r>
          </w:p>
        </w:tc>
        <w:tc>
          <w:tcPr>
            <w:tcW w:type="dxa" w:w="2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Analysis</w:t>
            </w:r>
          </w:p>
        </w:tc>
        <w:tc>
          <w:tcPr>
            <w:tcW w:type="dxa" w:w="31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Documentation</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Entity name and type</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[ENTITY NAME / TYPE]</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[ORGANIZATIONAL DOCUMENTS]</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Controlling natural person</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[OWNERSHIP/CONTROL EVIDENCE]</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Controlling person is eligible recipient?</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[ELIGIBILITY ANALYSIS SECTION]</w:t>
            </w:r>
          </w:p>
        </w:tc>
      </w:tr>
      <w:tr>
        <w:tc>
          <w:tcPr>
            <w:tcW w:type="dxa" w:w="3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Securities issued for controlling person's services?</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[COMPENSATION ARRANGEMENT]</w:t>
            </w:r>
          </w:p>
        </w:tc>
      </w:tr>
      <w:tr>
        <w:tc>
          <w:tcPr>
            <w:tcW w:type="dxa" w:w="3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Entity used solely as personal holding vehicle?</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[OPERATING AGREEMENT / TRUST TERMS]</w:t>
            </w:r>
          </w:p>
        </w:tc>
      </w:tr>
    </w:tbl>
    <w:p>
      <w:pPr>
        <w:pStyle w:val="Heading2"/>
        <w:spacing w:after="160" w:before="300"/>
      </w:pPr>
      <w:r>
        <w:rPr>
          <w:rFonts w:ascii="Calibri" w:cs="Calibri" w:eastAsia="Calibri" w:hAnsi="Calibri"/>
          <w:b/>
          <w:bCs/>
          <w:color w:val="2E5090"/>
          <w:sz w:val="24"/>
          <w:szCs w:val="24"/>
        </w:rPr>
        <w:t xml:space="preserve">3.9 Compensatory Purpose Verification</w:t>
      </w:r>
    </w:p>
    <w:p>
      <w:pPr>
        <w:spacing w:after="160" w:line="276"/>
        <w:jc w:val="both"/>
      </w:pPr>
      <w:r>
        <w:rPr>
          <w:rFonts w:ascii="Calibri" w:cs="Calibri" w:eastAsia="Calibri" w:hAnsi="Calibri"/>
          <w:b w:val="false"/>
          <w:bCs w:val="false"/>
          <w:i w:val="false"/>
          <w:iCs w:val="false"/>
          <w:color w:val="000000"/>
          <w:sz w:val="20"/>
          <w:szCs w:val="20"/>
        </w:rPr>
        <w:t xml:space="preserve">All offers and sales under Rule 701 must be made for a compensatory purpose. The following factors should be evaluated for each transaction to confirm that the compensatory purpose requirement is satisfied:</w:t>
      </w:r>
    </w:p>
    <w:p>
      <w:pPr>
        <w:pStyle w:val="ListParagraph"/>
        <w:numPr>
          <w:ilvl w:val="0"/>
          <w:numId w:val="2"/>
        </w:numPr>
        <w:spacing w:after="80" w:line="276"/>
      </w:pPr>
      <w:r>
        <w:rPr>
          <w:rFonts w:ascii="Calibri" w:cs="Calibri" w:eastAsia="Calibri" w:hAnsi="Calibri"/>
          <w:sz w:val="20"/>
          <w:szCs w:val="20"/>
        </w:rPr>
        <w:t xml:space="preserve">The securities are offered or sold as compensation for services actually rendered or to be rendered</w:t>
      </w:r>
    </w:p>
    <w:p>
      <w:pPr>
        <w:pStyle w:val="ListParagraph"/>
        <w:numPr>
          <w:ilvl w:val="0"/>
          <w:numId w:val="2"/>
        </w:numPr>
        <w:spacing w:after="80" w:line="276"/>
      </w:pPr>
      <w:r>
        <w:rPr>
          <w:rFonts w:ascii="Calibri" w:cs="Calibri" w:eastAsia="Calibri" w:hAnsi="Calibri"/>
          <w:sz w:val="20"/>
          <w:szCs w:val="20"/>
        </w:rPr>
        <w:t xml:space="preserve">The value of the securities bears a reasonable relationship to the value of the services</w:t>
      </w:r>
    </w:p>
    <w:p>
      <w:pPr>
        <w:pStyle w:val="ListParagraph"/>
        <w:numPr>
          <w:ilvl w:val="0"/>
          <w:numId w:val="2"/>
        </w:numPr>
        <w:spacing w:after="80" w:line="276"/>
      </w:pPr>
      <w:r>
        <w:rPr>
          <w:rFonts w:ascii="Calibri" w:cs="Calibri" w:eastAsia="Calibri" w:hAnsi="Calibri"/>
          <w:sz w:val="20"/>
          <w:szCs w:val="20"/>
        </w:rPr>
        <w:t xml:space="preserve">The securities are not offered primarily as an investment opportunity</w:t>
      </w:r>
    </w:p>
    <w:p>
      <w:pPr>
        <w:pStyle w:val="ListParagraph"/>
        <w:numPr>
          <w:ilvl w:val="0"/>
          <w:numId w:val="2"/>
        </w:numPr>
        <w:spacing w:after="80" w:line="276"/>
      </w:pPr>
      <w:r>
        <w:rPr>
          <w:rFonts w:ascii="Calibri" w:cs="Calibri" w:eastAsia="Calibri" w:hAnsi="Calibri"/>
          <w:sz w:val="20"/>
          <w:szCs w:val="20"/>
        </w:rPr>
        <w:t xml:space="preserve">The recipient is not investing cash beyond a nominal purchase price (or exercise price for options)</w:t>
      </w:r>
    </w:p>
    <w:p>
      <w:pPr>
        <w:pStyle w:val="ListParagraph"/>
        <w:numPr>
          <w:ilvl w:val="0"/>
          <w:numId w:val="2"/>
        </w:numPr>
        <w:spacing w:after="80" w:line="276"/>
      </w:pPr>
      <w:r>
        <w:rPr>
          <w:rFonts w:ascii="Calibri" w:cs="Calibri" w:eastAsia="Calibri" w:hAnsi="Calibri"/>
          <w:sz w:val="20"/>
          <w:szCs w:val="20"/>
        </w:rPr>
        <w:t xml:space="preserve">The arrangement is consistent with prevailing compensation practices for similarly situated companies</w:t>
      </w:r>
    </w:p>
    <w:p>
      <w:pPr>
        <w:pStyle w:val="ListParagraph"/>
        <w:numPr>
          <w:ilvl w:val="0"/>
          <w:numId w:val="2"/>
        </w:numPr>
        <w:spacing w:after="80" w:line="276"/>
      </w:pPr>
      <w:r>
        <w:rPr>
          <w:rFonts w:ascii="Calibri" w:cs="Calibri" w:eastAsia="Calibri" w:hAnsi="Calibri"/>
          <w:sz w:val="20"/>
          <w:szCs w:val="20"/>
        </w:rPr>
        <w:t xml:space="preserve">The plan or contract was not adopted primarily to circumvent registration requirements</w:t>
      </w:r>
    </w:p>
    <w:p>
      <w:pPr>
        <w:spacing w:after="80"/>
      </w:pPr>
    </w:p>
    <w:p>
      <w:pPr>
        <w:spacing w:after="160" w:line="276"/>
        <w:jc w:val="both"/>
      </w:pPr>
      <w:r>
        <w:rPr>
          <w:rFonts w:ascii="Calibri" w:cs="Calibri" w:eastAsia="Calibri" w:hAnsi="Calibri"/>
          <w:b/>
          <w:bCs/>
          <w:i w:val="false"/>
          <w:iCs w:val="false"/>
          <w:color w:val="000000"/>
          <w:sz w:val="20"/>
          <w:szCs w:val="20"/>
        </w:rPr>
        <w:t xml:space="preserve">Compensatory Purpose Certification: The undersigned hereby certifies that each transaction recorded in the Rolling-Period Calculator (Section 2) was made for a bona fide compensatory purpose as described above.</w:t>
      </w:r>
    </w:p>
    <w:p>
      <w:pPr>
        <w:spacing w:after="40"/>
      </w:pPr>
    </w:p>
    <w:p>
      <w:pPr>
        <w:spacing w:after="160" w:line="276"/>
        <w:jc w:val="both"/>
      </w:pPr>
      <w:r>
        <w:rPr>
          <w:rFonts w:ascii="Calibri" w:cs="Calibri" w:eastAsia="Calibri" w:hAnsi="Calibri"/>
          <w:b w:val="false"/>
          <w:bCs w:val="false"/>
          <w:i w:val="false"/>
          <w:iCs w:val="false"/>
          <w:color w:val="000000"/>
          <w:sz w:val="20"/>
          <w:szCs w:val="20"/>
        </w:rPr>
        <w:t xml:space="preserve">Certified by: __________________________ [NAME AND TITLE]</w:t>
      </w:r>
    </w:p>
    <w:p>
      <w:pPr>
        <w:spacing w:after="160" w:line="276"/>
        <w:jc w:val="both"/>
      </w:pPr>
      <w:r>
        <w:rPr>
          <w:rFonts w:ascii="Calibri" w:cs="Calibri" w:eastAsia="Calibri" w:hAnsi="Calibri"/>
          <w:b w:val="false"/>
          <w:bCs w:val="false"/>
          <w:i w:val="false"/>
          <w:iCs w:val="false"/>
          <w:color w:val="000000"/>
          <w:sz w:val="20"/>
          <w:szCs w:val="20"/>
        </w:rPr>
        <w:t xml:space="preserve">Date: __________________________ [DATE]</w:t>
      </w:r>
    </w:p>
    <w:p>
      <w:r>
        <w:br w:type="page"/>
      </w:r>
    </w:p>
    <w:p>
      <w:pPr>
        <w:pStyle w:val="Heading1"/>
        <w:spacing w:after="200" w:before="360"/>
      </w:pPr>
      <w:r>
        <w:rPr>
          <w:rFonts w:ascii="Calibri" w:cs="Calibri" w:eastAsia="Calibri" w:hAnsi="Calibri"/>
          <w:b/>
          <w:bCs/>
          <w:color w:val="1B2A4A"/>
          <w:sz w:val="28"/>
          <w:szCs w:val="28"/>
        </w:rPr>
        <w:t xml:space="preserve">SECTION 4: DISCLOSURE DECISION RECORD</w:t>
      </w:r>
    </w:p>
    <w:p>
      <w:pPr>
        <w:spacing w:after="160" w:line="276"/>
        <w:jc w:val="both"/>
      </w:pPr>
      <w:r>
        <w:rPr>
          <w:rFonts w:ascii="Calibri" w:cs="Calibri" w:eastAsia="Calibri" w:hAnsi="Calibri"/>
          <w:b w:val="false"/>
          <w:bCs w:val="false"/>
          <w:i w:val="false"/>
          <w:iCs w:val="false"/>
          <w:color w:val="000000"/>
          <w:sz w:val="20"/>
          <w:szCs w:val="20"/>
        </w:rPr>
        <w:t xml:space="preserve">This section documents the disclosure tier applicable to each sale, the basis for that determination, and the delivery deadlines. Rule 701 establishes two disclosure tiers based on the aggregate sales price during the applicable 12-month period.</w:t>
      </w:r>
    </w:p>
    <w:p>
      <w:pPr>
        <w:pStyle w:val="Heading2"/>
        <w:spacing w:after="160" w:before="300"/>
      </w:pPr>
      <w:r>
        <w:rPr>
          <w:rFonts w:ascii="Calibri" w:cs="Calibri" w:eastAsia="Calibri" w:hAnsi="Calibri"/>
          <w:b/>
          <w:bCs/>
          <w:color w:val="2E5090"/>
          <w:sz w:val="24"/>
          <w:szCs w:val="24"/>
        </w:rPr>
        <w:t xml:space="preserve">4.1 Disclosure Tier Framework</w:t>
      </w:r>
    </w:p>
    <w:p>
      <w:pPr>
        <w:pStyle w:val="Heading3"/>
        <w:spacing w:after="120" w:before="240"/>
      </w:pPr>
      <w:r>
        <w:rPr>
          <w:rFonts w:ascii="Calibri" w:cs="Calibri" w:eastAsia="Calibri" w:hAnsi="Calibri"/>
          <w:b/>
          <w:bCs/>
          <w:color w:val="1B2A4A"/>
          <w:sz w:val="22"/>
          <w:szCs w:val="22"/>
        </w:rPr>
        <w:t xml:space="preserve">4.1.1 Tier 1 — Basic Disclosure (Aggregate ≤ $10M)</w:t>
      </w:r>
    </w:p>
    <w:p>
      <w:pPr>
        <w:spacing w:after="160" w:line="276"/>
        <w:jc w:val="both"/>
      </w:pPr>
      <w:r>
        <w:rPr>
          <w:rFonts w:ascii="Calibri" w:cs="Calibri" w:eastAsia="Calibri" w:hAnsi="Calibri"/>
          <w:b w:val="false"/>
          <w:bCs w:val="false"/>
          <w:i w:val="false"/>
          <w:iCs w:val="false"/>
          <w:color w:val="000000"/>
          <w:sz w:val="20"/>
          <w:szCs w:val="20"/>
        </w:rPr>
        <w:t xml:space="preserve">When aggregate sales during a consecutive 12-month period do not exceed $10,000,000, the issuer is not required to deliver any specific disclosure documents. However, Rule 701 does not preempt state law requirements, and the issuer should consider as a matter of best practice:</w:t>
      </w:r>
    </w:p>
    <w:p>
      <w:pPr>
        <w:pStyle w:val="ListParagraph"/>
        <w:numPr>
          <w:ilvl w:val="0"/>
          <w:numId w:val="2"/>
        </w:numPr>
        <w:spacing w:after="80" w:line="276"/>
      </w:pPr>
      <w:r>
        <w:rPr>
          <w:rFonts w:ascii="Calibri" w:cs="Calibri" w:eastAsia="Calibri" w:hAnsi="Calibri"/>
          <w:sz w:val="20"/>
          <w:szCs w:val="20"/>
        </w:rPr>
        <w:t xml:space="preserve">Delivering a copy of the plan or compensation contract to each recipient at or before the time of grant</w:t>
      </w:r>
    </w:p>
    <w:p>
      <w:pPr>
        <w:pStyle w:val="ListParagraph"/>
        <w:numPr>
          <w:ilvl w:val="0"/>
          <w:numId w:val="2"/>
        </w:numPr>
        <w:spacing w:after="80" w:line="276"/>
      </w:pPr>
      <w:r>
        <w:rPr>
          <w:rFonts w:ascii="Calibri" w:cs="Calibri" w:eastAsia="Calibri" w:hAnsi="Calibri"/>
          <w:sz w:val="20"/>
          <w:szCs w:val="20"/>
        </w:rPr>
        <w:t xml:space="preserve">Providing basic information about the securities (class, number, exercise price or purchase price, vesting schedule)</w:t>
      </w:r>
    </w:p>
    <w:p>
      <w:pPr>
        <w:pStyle w:val="ListParagraph"/>
        <w:numPr>
          <w:ilvl w:val="0"/>
          <w:numId w:val="2"/>
        </w:numPr>
        <w:spacing w:after="80" w:line="276"/>
      </w:pPr>
      <w:r>
        <w:rPr>
          <w:rFonts w:ascii="Calibri" w:cs="Calibri" w:eastAsia="Calibri" w:hAnsi="Calibri"/>
          <w:sz w:val="20"/>
          <w:szCs w:val="20"/>
        </w:rPr>
        <w:t xml:space="preserve">Disclosing any material risks known to the issuer</w:t>
      </w:r>
    </w:p>
    <w:p>
      <w:pPr>
        <w:pStyle w:val="ListParagraph"/>
        <w:numPr>
          <w:ilvl w:val="0"/>
          <w:numId w:val="2"/>
        </w:numPr>
        <w:spacing w:after="80" w:line="276"/>
      </w:pPr>
      <w:r>
        <w:rPr>
          <w:rFonts w:ascii="Calibri" w:cs="Calibri" w:eastAsia="Calibri" w:hAnsi="Calibri"/>
          <w:sz w:val="20"/>
          <w:szCs w:val="20"/>
        </w:rPr>
        <w:t xml:space="preserve">Complying with applicable state blue sky requirements</w:t>
      </w:r>
    </w:p>
    <w:p>
      <w:pPr>
        <w:pStyle w:val="Heading3"/>
        <w:spacing w:after="120" w:before="240"/>
      </w:pPr>
      <w:r>
        <w:rPr>
          <w:rFonts w:ascii="Calibri" w:cs="Calibri" w:eastAsia="Calibri" w:hAnsi="Calibri"/>
          <w:b/>
          <w:bCs/>
          <w:color w:val="1B2A4A"/>
          <w:sz w:val="22"/>
          <w:szCs w:val="22"/>
        </w:rPr>
        <w:t xml:space="preserve">4.1.2 Tier 2 — Enhanced Disclosure (Aggregate &gt; $10M)</w:t>
      </w:r>
    </w:p>
    <w:p>
      <w:pPr>
        <w:spacing w:after="160" w:line="276"/>
        <w:jc w:val="both"/>
      </w:pPr>
      <w:r>
        <w:rPr>
          <w:rFonts w:ascii="Calibri" w:cs="Calibri" w:eastAsia="Calibri" w:hAnsi="Calibri"/>
          <w:b w:val="false"/>
          <w:bCs w:val="false"/>
          <w:i w:val="false"/>
          <w:iCs w:val="false"/>
          <w:color w:val="000000"/>
          <w:sz w:val="20"/>
          <w:szCs w:val="20"/>
        </w:rPr>
        <w:t xml:space="preserve">When aggregate sales during a consecutive 12-month period exceed $10,000,000, the issuer must deliver the following to each investor a reasonable period of time before the date of sale:</w:t>
      </w:r>
    </w:p>
    <w:p>
      <w:pPr>
        <w:pStyle w:val="ListParagraph"/>
        <w:numPr>
          <w:ilvl w:val="0"/>
          <w:numId w:val="3"/>
        </w:numPr>
        <w:spacing w:after="100" w:line="276"/>
      </w:pPr>
      <w:r>
        <w:rPr>
          <w:rFonts w:ascii="Calibri" w:cs="Calibri" w:eastAsia="Calibri" w:hAnsi="Calibri"/>
          <w:sz w:val="20"/>
          <w:szCs w:val="20"/>
        </w:rPr>
        <w:t xml:space="preserve">A copy of the compensatory benefit plan or the compensation contract, as applicable.</w:t>
      </w:r>
    </w:p>
    <w:p>
      <w:pPr>
        <w:pStyle w:val="ListParagraph"/>
        <w:numPr>
          <w:ilvl w:val="0"/>
          <w:numId w:val="3"/>
        </w:numPr>
        <w:spacing w:after="100" w:line="276"/>
      </w:pPr>
      <w:r>
        <w:rPr>
          <w:rFonts w:ascii="Calibri" w:cs="Calibri" w:eastAsia="Calibri" w:hAnsi="Calibri"/>
          <w:sz w:val="20"/>
          <w:szCs w:val="20"/>
        </w:rPr>
        <w:t xml:space="preserve">A copy of the plan's or contract's summary of material terms. If the plan or contract does not contain a summary, the issuer must prepare and deliver one.</w:t>
      </w:r>
    </w:p>
    <w:p>
      <w:pPr>
        <w:pStyle w:val="ListParagraph"/>
        <w:numPr>
          <w:ilvl w:val="0"/>
          <w:numId w:val="3"/>
        </w:numPr>
        <w:spacing w:after="100" w:line="276"/>
      </w:pPr>
      <w:r>
        <w:rPr>
          <w:rFonts w:ascii="Calibri" w:cs="Calibri" w:eastAsia="Calibri" w:hAnsi="Calibri"/>
          <w:sz w:val="20"/>
          <w:szCs w:val="20"/>
        </w:rPr>
        <w:t xml:space="preserve">Risk factors associated with investment in securities issued under the plan or contract.</w:t>
      </w:r>
    </w:p>
    <w:p>
      <w:pPr>
        <w:pStyle w:val="ListParagraph"/>
        <w:numPr>
          <w:ilvl w:val="0"/>
          <w:numId w:val="3"/>
        </w:numPr>
        <w:spacing w:after="100" w:line="276"/>
      </w:pPr>
      <w:r>
        <w:rPr>
          <w:rFonts w:ascii="Calibri" w:cs="Calibri" w:eastAsia="Calibri" w:hAnsi="Calibri"/>
          <w:sz w:val="20"/>
          <w:szCs w:val="20"/>
        </w:rPr>
        <w:t xml:space="preserve">Financial statements required to be furnished by the issuer under Rule 701(e)(3)–(5).</w:t>
      </w:r>
    </w:p>
    <w:p>
      <w:pPr>
        <w:pStyle w:val="Heading2"/>
        <w:spacing w:after="160" w:before="300"/>
      </w:pPr>
      <w:r>
        <w:rPr>
          <w:rFonts w:ascii="Calibri" w:cs="Calibri" w:eastAsia="Calibri" w:hAnsi="Calibri"/>
          <w:b/>
          <w:bCs/>
          <w:color w:val="2E5090"/>
          <w:sz w:val="24"/>
          <w:szCs w:val="24"/>
        </w:rPr>
        <w:t xml:space="preserve">4.2 Financial Statement Requirements (Tier 2)</w:t>
      </w:r>
    </w:p>
    <w:p>
      <w:pPr>
        <w:spacing w:after="160" w:line="276"/>
        <w:jc w:val="both"/>
      </w:pPr>
      <w:r>
        <w:rPr>
          <w:rFonts w:ascii="Calibri" w:cs="Calibri" w:eastAsia="Calibri" w:hAnsi="Calibri"/>
          <w:b w:val="false"/>
          <w:bCs w:val="false"/>
          <w:i w:val="false"/>
          <w:iCs w:val="false"/>
          <w:color w:val="000000"/>
          <w:sz w:val="20"/>
          <w:szCs w:val="20"/>
        </w:rPr>
        <w:t xml:space="preserve">Rule 701(e)(3)–(5) specifies the financial statements that must be delivered when enhanced disclosure is required: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5360"/>
        <w:gridCol w:w="2000"/>
      </w:tblGrid>
      <w:tr>
        <w:trPr>
          <w:tblHeader/>
        </w:trPr>
        <w:tc>
          <w:tcPr>
            <w:tcW w:type="dxa" w:w="2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Requirement</w:t>
            </w:r>
          </w:p>
        </w:tc>
        <w:tc>
          <w:tcPr>
            <w:tcW w:type="dxa" w:w="53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Description</w:t>
            </w:r>
          </w:p>
        </w:tc>
        <w:tc>
          <w:tcPr>
            <w:tcW w:type="dxa" w:w="2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Current Status</w:t>
            </w:r>
          </w:p>
        </w:tc>
      </w:tr>
      <w:tr>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Balance Sheet</w:t>
            </w:r>
          </w:p>
        </w:tc>
        <w:tc>
          <w:tcPr>
            <w:tcW w:type="dxa" w:w="53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As of a date no more than 180 days before the sale (or, if the issuer has been in existence for less than 180 days, a balance sheet as of a date no more than 90 days before the sale)</w:t>
            </w:r>
          </w:p>
        </w:tc>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[PREPARED / DATE / NOT YET PREPARED]</w:t>
            </w:r>
          </w:p>
        </w:tc>
      </w:tr>
      <w:tr>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Income Statement</w:t>
            </w:r>
          </w:p>
        </w:tc>
        <w:tc>
          <w:tcPr>
            <w:tcW w:type="dxa" w:w="53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For the fiscal year preceding the balance sheet date (if the issuer has been in existence for more than one fiscal year); need not be audited</w:t>
            </w:r>
          </w:p>
        </w:tc>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[PREPARED / DATE / NOT YET PREPARED]</w:t>
            </w:r>
          </w:p>
        </w:tc>
      </w:tr>
      <w:tr>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Notes to Financial Statements</w:t>
            </w:r>
          </w:p>
        </w:tc>
        <w:tc>
          <w:tcPr>
            <w:tcW w:type="dxa" w:w="53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If customarily prepared by the issuer, the notes should be included</w:t>
            </w:r>
          </w:p>
        </w:tc>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[INCLUDED / NOT APPLICABLE]</w:t>
            </w:r>
          </w:p>
        </w:tc>
      </w:tr>
      <w:tr>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Audit Requirement</w:t>
            </w:r>
          </w:p>
        </w:tc>
        <w:tc>
          <w:tcPr>
            <w:tcW w:type="dxa" w:w="53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Financial statements need not be audited, but if audited statements are available, they must be furnished</w:t>
            </w:r>
          </w:p>
        </w:tc>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[AUDITED / UNAUDITED / REVIEWED]</w:t>
            </w:r>
          </w:p>
        </w:tc>
      </w:tr>
      <w:tr>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GAAP Compliance</w:t>
            </w:r>
          </w:p>
        </w:tc>
        <w:tc>
          <w:tcPr>
            <w:tcW w:type="dxa" w:w="53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Financial statements must comply with the requirements of the issuer's home country GAAP (for domestic issuers, US GAAP)</w:t>
            </w:r>
          </w:p>
        </w:tc>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[US GAAP / IFRS / OTHER]</w:t>
            </w:r>
          </w:p>
        </w:tc>
      </w:tr>
    </w:tbl>
    <w:p>
      <w:pPr>
        <w:pStyle w:val="Heading2"/>
        <w:spacing w:after="160" w:before="300"/>
      </w:pPr>
      <w:r>
        <w:rPr>
          <w:rFonts w:ascii="Calibri" w:cs="Calibri" w:eastAsia="Calibri" w:hAnsi="Calibri"/>
          <w:b/>
          <w:bCs/>
          <w:color w:val="2E5090"/>
          <w:sz w:val="24"/>
          <w:szCs w:val="24"/>
        </w:rPr>
        <w:t xml:space="preserve">4.3 Sale-by-Sale Disclosure Decision Log</w:t>
      </w:r>
    </w:p>
    <w:p>
      <w:pPr>
        <w:spacing w:after="160" w:line="276"/>
        <w:jc w:val="both"/>
      </w:pPr>
      <w:r>
        <w:rPr>
          <w:rFonts w:ascii="Calibri" w:cs="Calibri" w:eastAsia="Calibri" w:hAnsi="Calibri"/>
          <w:b w:val="false"/>
          <w:bCs w:val="false"/>
          <w:i w:val="false"/>
          <w:iCs w:val="false"/>
          <w:color w:val="000000"/>
          <w:sz w:val="20"/>
          <w:szCs w:val="20"/>
        </w:rPr>
        <w:t xml:space="preserve">For each sale of securities, record the disclosure tier determination and delivery deadline:</w:t>
      </w:r>
    </w:p>
    <w:tbl>
      <w:tblPr>
        <w:tblW w:type="dxa" w:w="8760"/>
        <w:tblBorders>
          <w:top w:val="single" w:color="auto" w:sz="4"/>
          <w:left w:val="single" w:color="auto" w:sz="4"/>
          <w:bottom w:val="single" w:color="auto" w:sz="4"/>
          <w:right w:val="single" w:color="auto" w:sz="4"/>
          <w:insideH w:val="single" w:color="auto" w:sz="4"/>
          <w:insideV w:val="single" w:color="auto" w:sz="4"/>
        </w:tblBorders>
      </w:tblPr>
      <w:tblGrid>
        <w:gridCol w:w="600"/>
        <w:gridCol w:w="850"/>
        <w:gridCol w:w="1000"/>
        <w:gridCol w:w="1300"/>
        <w:gridCol w:w="1100"/>
        <w:gridCol w:w="1800"/>
        <w:gridCol w:w="1100"/>
        <w:gridCol w:w="1010"/>
      </w:tblGrid>
      <w:tr>
        <w:trPr>
          <w:tblHeader/>
        </w:trPr>
        <w:tc>
          <w:tcPr>
            <w:tcW w:type="dxa" w:w="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Txn #</w:t>
            </w:r>
          </w:p>
        </w:tc>
        <w:tc>
          <w:tcPr>
            <w:tcW w:type="dxa" w:w="8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Sale Date</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Recipient</w:t>
            </w:r>
          </w:p>
        </w:tc>
        <w:tc>
          <w:tcPr>
            <w:tcW w:type="dxa" w:w="13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Rolling 12-Mo Agg.</w:t>
            </w:r>
          </w:p>
        </w:tc>
        <w:tc>
          <w:tcPr>
            <w:tcW w:type="dxa" w:w="11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Disclosure Tier</w:t>
            </w:r>
          </w:p>
        </w:tc>
        <w:tc>
          <w:tcPr>
            <w:tcW w:type="dxa" w:w="1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Basis for Determination</w:t>
            </w:r>
          </w:p>
        </w:tc>
        <w:tc>
          <w:tcPr>
            <w:tcW w:type="dxa" w:w="11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Delivery Deadline</w:t>
            </w:r>
          </w:p>
        </w:tc>
        <w:tc>
          <w:tcPr>
            <w:tcW w:type="dxa" w:w="101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Delivery Status</w:t>
            </w:r>
          </w:p>
        </w:tc>
      </w:tr>
      <w:tr>
        <w:tc>
          <w:tcPr>
            <w:tcW w:type="dxa" w:w="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001</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[TIER 1/TIER 2]</w:t>
            </w:r>
          </w:p>
        </w:tc>
        <w:tc>
          <w:tcPr>
            <w:tcW w:type="dxa" w:w="1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[BELOW $10M / ABOVE $10M]</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[DEADLINE DATE]</w:t>
            </w:r>
          </w:p>
        </w:tc>
        <w:tc>
          <w:tcPr>
            <w:tcW w:type="dxa" w:w="101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[DELIVERED/PENDING]</w:t>
            </w:r>
          </w:p>
        </w:tc>
      </w:tr>
      <w:tr>
        <w:tc>
          <w:tcPr>
            <w:tcW w:type="dxa" w:w="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002</w:t>
            </w:r>
          </w:p>
        </w:tc>
        <w:tc>
          <w:tcPr>
            <w:tcW w:type="dxa" w:w="8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3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[TIER 1/TIER 2]</w:t>
            </w:r>
          </w:p>
        </w:tc>
        <w:tc>
          <w:tcPr>
            <w:tcW w:type="dxa" w:w="1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[BASIS]</w:t>
            </w:r>
          </w:p>
        </w:tc>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[DEADLINE DATE]</w:t>
            </w:r>
          </w:p>
        </w:tc>
        <w:tc>
          <w:tcPr>
            <w:tcW w:type="dxa" w:w="101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[STATUS]</w:t>
            </w:r>
          </w:p>
        </w:tc>
      </w:tr>
      <w:tr>
        <w:tc>
          <w:tcPr>
            <w:tcW w:type="dxa" w:w="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003</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[TIER 1/TIER 2]</w:t>
            </w:r>
          </w:p>
        </w:tc>
        <w:tc>
          <w:tcPr>
            <w:tcW w:type="dxa" w:w="1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[BASIS]</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[DEADLINE DATE]</w:t>
            </w:r>
          </w:p>
        </w:tc>
        <w:tc>
          <w:tcPr>
            <w:tcW w:type="dxa" w:w="101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[STATUS]</w:t>
            </w:r>
          </w:p>
        </w:tc>
      </w:tr>
      <w:tr>
        <w:tc>
          <w:tcPr>
            <w:tcW w:type="dxa" w:w="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8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13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1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101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r>
    </w:tbl>
    <w:p>
      <w:pPr>
        <w:pStyle w:val="Heading2"/>
        <w:spacing w:after="160" w:before="300"/>
      </w:pPr>
      <w:r>
        <w:rPr>
          <w:rFonts w:ascii="Calibri" w:cs="Calibri" w:eastAsia="Calibri" w:hAnsi="Calibri"/>
          <w:b/>
          <w:bCs/>
          <w:color w:val="2E5090"/>
          <w:sz w:val="24"/>
          <w:szCs w:val="24"/>
        </w:rPr>
        <w:t xml:space="preserve">4.4 Conservative Escalation Policy</w:t>
      </w:r>
    </w:p>
    <w:p>
      <w:pPr>
        <w:spacing w:after="160" w:line="276"/>
        <w:jc w:val="both"/>
      </w:pPr>
      <w:r>
        <w:rPr>
          <w:rFonts w:ascii="Calibri" w:cs="Calibri" w:eastAsia="Calibri" w:hAnsi="Calibri"/>
          <w:b w:val="false"/>
          <w:bCs w:val="false"/>
          <w:i w:val="false"/>
          <w:iCs w:val="false"/>
          <w:color w:val="000000"/>
          <w:sz w:val="20"/>
          <w:szCs w:val="20"/>
        </w:rPr>
        <w:t xml:space="preserve">The Issuer adopts the following conservative escalation policy to minimize the risk of non-compliance when the aggregate sales price approaches the $10 million threshold:</w:t>
      </w:r>
    </w:p>
    <w:p>
      <w:pPr>
        <w:pStyle w:val="Heading3"/>
        <w:spacing w:after="120" w:before="240"/>
      </w:pPr>
      <w:r>
        <w:rPr>
          <w:rFonts w:ascii="Calibri" w:cs="Calibri" w:eastAsia="Calibri" w:hAnsi="Calibri"/>
          <w:b/>
          <w:bCs/>
          <w:color w:val="1B2A4A"/>
          <w:sz w:val="22"/>
          <w:szCs w:val="22"/>
        </w:rPr>
        <w:t xml:space="preserve">4.4.1 Yellow Zone ($8M–$9.5M)</w:t>
      </w:r>
    </w:p>
    <w:p>
      <w:pPr>
        <w:pStyle w:val="ListParagraph"/>
        <w:numPr>
          <w:ilvl w:val="0"/>
          <w:numId w:val="2"/>
        </w:numPr>
        <w:spacing w:after="80" w:line="276"/>
      </w:pPr>
      <w:r>
        <w:rPr>
          <w:rFonts w:ascii="Calibri" w:cs="Calibri" w:eastAsia="Calibri" w:hAnsi="Calibri"/>
          <w:sz w:val="20"/>
          <w:szCs w:val="20"/>
        </w:rPr>
        <w:t xml:space="preserve">Begin preparation of Tier 2 enhanced disclosure materials</w:t>
      </w:r>
    </w:p>
    <w:p>
      <w:pPr>
        <w:pStyle w:val="ListParagraph"/>
        <w:numPr>
          <w:ilvl w:val="0"/>
          <w:numId w:val="2"/>
        </w:numPr>
        <w:spacing w:after="80" w:line="276"/>
      </w:pPr>
      <w:r>
        <w:rPr>
          <w:rFonts w:ascii="Calibri" w:cs="Calibri" w:eastAsia="Calibri" w:hAnsi="Calibri"/>
          <w:sz w:val="20"/>
          <w:szCs w:val="20"/>
        </w:rPr>
        <w:t xml:space="preserve">Notify the CFO, General Counsel, and outside counsel of approaching threshold</w:t>
      </w:r>
    </w:p>
    <w:p>
      <w:pPr>
        <w:pStyle w:val="ListParagraph"/>
        <w:numPr>
          <w:ilvl w:val="0"/>
          <w:numId w:val="2"/>
        </w:numPr>
        <w:spacing w:after="80" w:line="276"/>
      </w:pPr>
      <w:r>
        <w:rPr>
          <w:rFonts w:ascii="Calibri" w:cs="Calibri" w:eastAsia="Calibri" w:hAnsi="Calibri"/>
          <w:sz w:val="20"/>
          <w:szCs w:val="20"/>
        </w:rPr>
        <w:t xml:space="preserve">Review all pending grants and anticipated transactions for the next 6 months</w:t>
      </w:r>
    </w:p>
    <w:p>
      <w:pPr>
        <w:pStyle w:val="ListParagraph"/>
        <w:numPr>
          <w:ilvl w:val="0"/>
          <w:numId w:val="2"/>
        </w:numPr>
        <w:spacing w:after="80" w:line="276"/>
      </w:pPr>
      <w:r>
        <w:rPr>
          <w:rFonts w:ascii="Calibri" w:cs="Calibri" w:eastAsia="Calibri" w:hAnsi="Calibri"/>
          <w:sz w:val="20"/>
          <w:szCs w:val="20"/>
        </w:rPr>
        <w:t xml:space="preserve">Prepare financial statements to Tier 2 specifications</w:t>
      </w:r>
    </w:p>
    <w:p>
      <w:pPr>
        <w:pStyle w:val="ListParagraph"/>
        <w:numPr>
          <w:ilvl w:val="0"/>
          <w:numId w:val="2"/>
        </w:numPr>
        <w:spacing w:after="80" w:line="276"/>
      </w:pPr>
      <w:r>
        <w:rPr>
          <w:rFonts w:ascii="Calibri" w:cs="Calibri" w:eastAsia="Calibri" w:hAnsi="Calibri"/>
          <w:sz w:val="20"/>
          <w:szCs w:val="20"/>
        </w:rPr>
        <w:t xml:space="preserve">Draft risk factors and summary of material terms</w:t>
      </w:r>
    </w:p>
    <w:p>
      <w:pPr>
        <w:pStyle w:val="Heading3"/>
        <w:spacing w:after="120" w:before="240"/>
      </w:pPr>
      <w:r>
        <w:rPr>
          <w:rFonts w:ascii="Calibri" w:cs="Calibri" w:eastAsia="Calibri" w:hAnsi="Calibri"/>
          <w:b/>
          <w:bCs/>
          <w:color w:val="1B2A4A"/>
          <w:sz w:val="22"/>
          <w:szCs w:val="22"/>
        </w:rPr>
        <w:t xml:space="preserve">4.4.2 Orange Zone ($9.5M–$10M)</w:t>
      </w:r>
    </w:p>
    <w:p>
      <w:pPr>
        <w:pStyle w:val="ListParagraph"/>
        <w:numPr>
          <w:ilvl w:val="0"/>
          <w:numId w:val="2"/>
        </w:numPr>
        <w:spacing w:after="80" w:line="276"/>
      </w:pPr>
      <w:r>
        <w:rPr>
          <w:rFonts w:ascii="Calibri" w:cs="Calibri" w:eastAsia="Calibri" w:hAnsi="Calibri"/>
          <w:sz w:val="20"/>
          <w:szCs w:val="20"/>
        </w:rPr>
        <w:t xml:space="preserve">Complete preparation of all Tier 2 disclosure materials</w:t>
      </w:r>
    </w:p>
    <w:p>
      <w:pPr>
        <w:pStyle w:val="ListParagraph"/>
        <w:numPr>
          <w:ilvl w:val="0"/>
          <w:numId w:val="2"/>
        </w:numPr>
        <w:spacing w:after="80" w:line="276"/>
      </w:pPr>
      <w:r>
        <w:rPr>
          <w:rFonts w:ascii="Calibri" w:cs="Calibri" w:eastAsia="Calibri" w:hAnsi="Calibri"/>
          <w:sz w:val="20"/>
          <w:szCs w:val="20"/>
        </w:rPr>
        <w:t xml:space="preserve">Obtain sign-off from CFO on financial statements</w:t>
      </w:r>
    </w:p>
    <w:p>
      <w:pPr>
        <w:pStyle w:val="ListParagraph"/>
        <w:numPr>
          <w:ilvl w:val="0"/>
          <w:numId w:val="2"/>
        </w:numPr>
        <w:spacing w:after="80" w:line="276"/>
      </w:pPr>
      <w:r>
        <w:rPr>
          <w:rFonts w:ascii="Calibri" w:cs="Calibri" w:eastAsia="Calibri" w:hAnsi="Calibri"/>
          <w:sz w:val="20"/>
          <w:szCs w:val="20"/>
        </w:rPr>
        <w:t xml:space="preserve">Conduct final review of risk factors with outside counsel</w:t>
      </w:r>
    </w:p>
    <w:p>
      <w:pPr>
        <w:pStyle w:val="ListParagraph"/>
        <w:numPr>
          <w:ilvl w:val="0"/>
          <w:numId w:val="2"/>
        </w:numPr>
        <w:spacing w:after="80" w:line="276"/>
      </w:pPr>
      <w:r>
        <w:rPr>
          <w:rFonts w:ascii="Calibri" w:cs="Calibri" w:eastAsia="Calibri" w:hAnsi="Calibri"/>
          <w:sz w:val="20"/>
          <w:szCs w:val="20"/>
        </w:rPr>
        <w:t xml:space="preserve">Pre-stage delivery packages for imminent distribution</w:t>
      </w:r>
    </w:p>
    <w:p>
      <w:pPr>
        <w:pStyle w:val="ListParagraph"/>
        <w:numPr>
          <w:ilvl w:val="0"/>
          <w:numId w:val="2"/>
        </w:numPr>
        <w:spacing w:after="80" w:line="276"/>
      </w:pPr>
      <w:r>
        <w:rPr>
          <w:rFonts w:ascii="Calibri" w:cs="Calibri" w:eastAsia="Calibri" w:hAnsi="Calibri"/>
          <w:sz w:val="20"/>
          <w:szCs w:val="20"/>
        </w:rPr>
        <w:t xml:space="preserve">Consider deferring non-critical grants until materials are finalized</w:t>
      </w:r>
    </w:p>
    <w:p>
      <w:pPr>
        <w:pStyle w:val="Heading3"/>
        <w:spacing w:after="120" w:before="240"/>
      </w:pPr>
      <w:r>
        <w:rPr>
          <w:rFonts w:ascii="Calibri" w:cs="Calibri" w:eastAsia="Calibri" w:hAnsi="Calibri"/>
          <w:b/>
          <w:bCs/>
          <w:color w:val="1B2A4A"/>
          <w:sz w:val="22"/>
          <w:szCs w:val="22"/>
        </w:rPr>
        <w:t xml:space="preserve">4.4.3 Red Zone (At or Above $10M)</w:t>
      </w:r>
    </w:p>
    <w:p>
      <w:pPr>
        <w:pStyle w:val="ListParagraph"/>
        <w:numPr>
          <w:ilvl w:val="0"/>
          <w:numId w:val="2"/>
        </w:numPr>
        <w:spacing w:after="80" w:line="276"/>
      </w:pPr>
      <w:r>
        <w:rPr>
          <w:rFonts w:ascii="Calibri" w:cs="Calibri" w:eastAsia="Calibri" w:hAnsi="Calibri"/>
          <w:sz w:val="20"/>
          <w:szCs w:val="20"/>
        </w:rPr>
        <w:t xml:space="preserve">Halt all Rule 701 sales until Tier 2 materials are delivered to all affected recipients</w:t>
      </w:r>
    </w:p>
    <w:p>
      <w:pPr>
        <w:pStyle w:val="ListParagraph"/>
        <w:numPr>
          <w:ilvl w:val="0"/>
          <w:numId w:val="2"/>
        </w:numPr>
        <w:spacing w:after="80" w:line="276"/>
      </w:pPr>
      <w:r>
        <w:rPr>
          <w:rFonts w:ascii="Calibri" w:cs="Calibri" w:eastAsia="Calibri" w:hAnsi="Calibri"/>
          <w:sz w:val="20"/>
          <w:szCs w:val="20"/>
        </w:rPr>
        <w:t xml:space="preserve">Deliver enhanced disclosure package to each recipient a reasonable period before the sale date</w:t>
      </w:r>
    </w:p>
    <w:p>
      <w:pPr>
        <w:pStyle w:val="ListParagraph"/>
        <w:numPr>
          <w:ilvl w:val="0"/>
          <w:numId w:val="2"/>
        </w:numPr>
        <w:spacing w:after="80" w:line="276"/>
      </w:pPr>
      <w:r>
        <w:rPr>
          <w:rFonts w:ascii="Calibri" w:cs="Calibri" w:eastAsia="Calibri" w:hAnsi="Calibri"/>
          <w:sz w:val="20"/>
          <w:szCs w:val="20"/>
        </w:rPr>
        <w:t xml:space="preserve">Document the delivery date and method for each recipient</w:t>
      </w:r>
    </w:p>
    <w:p>
      <w:pPr>
        <w:pStyle w:val="ListParagraph"/>
        <w:numPr>
          <w:ilvl w:val="0"/>
          <w:numId w:val="2"/>
        </w:numPr>
        <w:spacing w:after="80" w:line="276"/>
      </w:pPr>
      <w:r>
        <w:rPr>
          <w:rFonts w:ascii="Calibri" w:cs="Calibri" w:eastAsia="Calibri" w:hAnsi="Calibri"/>
          <w:sz w:val="20"/>
          <w:szCs w:val="20"/>
        </w:rPr>
        <w:t xml:space="preserve">Obtain receipt acknowledgments from all recipients</w:t>
      </w:r>
    </w:p>
    <w:p>
      <w:pPr>
        <w:pStyle w:val="ListParagraph"/>
        <w:numPr>
          <w:ilvl w:val="0"/>
          <w:numId w:val="2"/>
        </w:numPr>
        <w:spacing w:after="80" w:line="276"/>
      </w:pPr>
      <w:r>
        <w:rPr>
          <w:rFonts w:ascii="Calibri" w:cs="Calibri" w:eastAsia="Calibri" w:hAnsi="Calibri"/>
          <w:sz w:val="20"/>
          <w:szCs w:val="20"/>
        </w:rPr>
        <w:t xml:space="preserve">Record the disclosure tier transition in this Section 4 and update Section 6 (Currency Certificate)</w:t>
      </w:r>
    </w:p>
    <w:p>
      <w:pPr>
        <w:pStyle w:val="Heading2"/>
        <w:spacing w:after="160" w:before="300"/>
      </w:pPr>
      <w:r>
        <w:rPr>
          <w:rFonts w:ascii="Calibri" w:cs="Calibri" w:eastAsia="Calibri" w:hAnsi="Calibri"/>
          <w:b/>
          <w:bCs/>
          <w:color w:val="2E5090"/>
          <w:sz w:val="24"/>
          <w:szCs w:val="24"/>
        </w:rPr>
        <w:t xml:space="preserve">4.5 Per-Recipient Disclosure Obligation Matrix</w:t>
      </w:r>
    </w:p>
    <w:p>
      <w:pPr>
        <w:spacing w:after="160" w:line="276"/>
        <w:jc w:val="both"/>
      </w:pPr>
      <w:r>
        <w:rPr>
          <w:rFonts w:ascii="Calibri" w:cs="Calibri" w:eastAsia="Calibri" w:hAnsi="Calibri"/>
          <w:b w:val="false"/>
          <w:bCs w:val="false"/>
          <w:i w:val="false"/>
          <w:iCs w:val="false"/>
          <w:color w:val="000000"/>
          <w:sz w:val="20"/>
          <w:szCs w:val="20"/>
        </w:rPr>
        <w:t xml:space="preserve">Because the $10 million threshold is issuer-wide (not per-recipient), all recipients of sales occurring after the threshold is crossed must receive enhanced disclosure, regardless of the size of their individual grant:</w:t>
      </w:r>
    </w:p>
    <w:tbl>
      <w:tblPr>
        <w:tblW w:type="dxa" w:w="8360"/>
        <w:tblBorders>
          <w:top w:val="single" w:color="auto" w:sz="4"/>
          <w:left w:val="single" w:color="auto" w:sz="4"/>
          <w:bottom w:val="single" w:color="auto" w:sz="4"/>
          <w:right w:val="single" w:color="auto" w:sz="4"/>
          <w:insideH w:val="single" w:color="auto" w:sz="4"/>
          <w:insideV w:val="single" w:color="auto" w:sz="4"/>
        </w:tblBorders>
      </w:tblPr>
      <w:tblGrid>
        <w:gridCol w:w="1500"/>
        <w:gridCol w:w="1100"/>
        <w:gridCol w:w="900"/>
        <w:gridCol w:w="1100"/>
        <w:gridCol w:w="900"/>
        <w:gridCol w:w="2000"/>
        <w:gridCol w:w="860"/>
      </w:tblGrid>
      <w:tr>
        <w:trPr>
          <w:tblHeader/>
        </w:trPr>
        <w:tc>
          <w:tcPr>
            <w:tcW w:type="dxa" w:w="15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Recipient Name</w:t>
            </w:r>
          </w:p>
        </w:tc>
        <w:tc>
          <w:tcPr>
            <w:tcW w:type="dxa" w:w="11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Role/Category</w:t>
            </w:r>
          </w:p>
        </w:tc>
        <w:tc>
          <w:tcPr>
            <w:tcW w:type="dxa" w:w="9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Grant Date</w:t>
            </w:r>
          </w:p>
        </w:tc>
        <w:tc>
          <w:tcPr>
            <w:tcW w:type="dxa" w:w="11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Agg. at Grant</w:t>
            </w:r>
          </w:p>
        </w:tc>
        <w:tc>
          <w:tcPr>
            <w:tcW w:type="dxa" w:w="9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Tier at Grant</w:t>
            </w:r>
          </w:p>
        </w:tc>
        <w:tc>
          <w:tcPr>
            <w:tcW w:type="dxa" w:w="2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Enhanced Disclosure Delivered?</w:t>
            </w:r>
          </w:p>
        </w:tc>
        <w:tc>
          <w:tcPr>
            <w:tcW w:type="dxa" w:w="8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Delivery Date</w:t>
            </w:r>
          </w:p>
        </w:tc>
      </w:tr>
      <w:tr>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[EMPLOYEE]</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[1/2]</w:t>
            </w:r>
          </w:p>
        </w:tc>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[YES/NO/N/A]</w:t>
            </w:r>
          </w:p>
        </w:tc>
        <w:tc>
          <w:tcPr>
            <w:tcW w:type="dxa" w:w="8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OR N/A]</w:t>
            </w:r>
          </w:p>
        </w:tc>
      </w:tr>
      <w:tr>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[DIRECTOR]</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[1/2]</w:t>
            </w:r>
          </w:p>
        </w:tc>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[YES/NO/N/A]</w:t>
            </w:r>
          </w:p>
        </w:tc>
        <w:tc>
          <w:tcPr>
            <w:tcW w:type="dxa" w:w="8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OR N/A]</w:t>
            </w:r>
          </w:p>
        </w:tc>
      </w:tr>
      <w:tr>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[CONSULTANT]</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[1/2]</w:t>
            </w:r>
          </w:p>
        </w:tc>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[YES/NO/N/A]</w:t>
            </w:r>
          </w:p>
        </w:tc>
        <w:tc>
          <w:tcPr>
            <w:tcW w:type="dxa" w:w="8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OR N/A]</w:t>
            </w:r>
          </w:p>
        </w:tc>
      </w:tr>
      <w:tr>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 ROWS]</w:t>
            </w:r>
          </w:p>
        </w:tc>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[AS NEEDED]</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[1/2]</w:t>
            </w:r>
          </w:p>
        </w:tc>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[YES/NO/N/A]</w:t>
            </w:r>
          </w:p>
        </w:tc>
        <w:tc>
          <w:tcPr>
            <w:tcW w:type="dxa" w:w="8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OR N/A]</w:t>
            </w:r>
          </w:p>
        </w:tc>
      </w:tr>
    </w:tbl>
    <w:p>
      <w:r>
        <w:br w:type="page"/>
      </w:r>
    </w:p>
    <w:p>
      <w:pPr>
        <w:pStyle w:val="Heading1"/>
        <w:spacing w:after="200" w:before="360"/>
      </w:pPr>
      <w:r>
        <w:rPr>
          <w:rFonts w:ascii="Calibri" w:cs="Calibri" w:eastAsia="Calibri" w:hAnsi="Calibri"/>
          <w:b/>
          <w:bCs/>
          <w:color w:val="1B2A4A"/>
          <w:sz w:val="28"/>
          <w:szCs w:val="28"/>
        </w:rPr>
        <w:t xml:space="preserve">SECTION 5: CONTROLLED DISCLOSURE BUNDLE</w:t>
      </w:r>
    </w:p>
    <w:p>
      <w:pPr>
        <w:spacing w:after="160" w:line="276"/>
        <w:jc w:val="both"/>
      </w:pPr>
      <w:r>
        <w:rPr>
          <w:rFonts w:ascii="Calibri" w:cs="Calibri" w:eastAsia="Calibri" w:hAnsi="Calibri"/>
          <w:b w:val="false"/>
          <w:bCs w:val="false"/>
          <w:i w:val="false"/>
          <w:iCs w:val="false"/>
          <w:color w:val="000000"/>
          <w:sz w:val="20"/>
          <w:szCs w:val="20"/>
        </w:rPr>
        <w:t xml:space="preserve">This section defines the contents of the disclosure package delivered to each recipient of securities issued under Rule 701. The Bundle is version-controlled to ensure that all recipients receive current, consistent, and complete information.</w:t>
      </w:r>
    </w:p>
    <w:p>
      <w:pPr>
        <w:pStyle w:val="Heading2"/>
        <w:spacing w:after="160" w:before="300"/>
      </w:pPr>
      <w:r>
        <w:rPr>
          <w:rFonts w:ascii="Calibri" w:cs="Calibri" w:eastAsia="Calibri" w:hAnsi="Calibri"/>
          <w:b/>
          <w:bCs/>
          <w:color w:val="2E5090"/>
          <w:sz w:val="24"/>
          <w:szCs w:val="24"/>
        </w:rPr>
        <w:t xml:space="preserve">5.1 Operative Plan or Compensation Contract</w:t>
      </w:r>
    </w:p>
    <w:p>
      <w:pPr>
        <w:spacing w:after="160" w:line="276"/>
        <w:jc w:val="both"/>
      </w:pPr>
      <w:r>
        <w:rPr>
          <w:rFonts w:ascii="Calibri" w:cs="Calibri" w:eastAsia="Calibri" w:hAnsi="Calibri"/>
          <w:b w:val="false"/>
          <w:bCs w:val="false"/>
          <w:i w:val="false"/>
          <w:iCs w:val="false"/>
          <w:color w:val="000000"/>
          <w:sz w:val="20"/>
          <w:szCs w:val="20"/>
        </w:rPr>
        <w:t xml:space="preserve">A complete, executed copy of each compensatory benefit plan or written compensation contract under which securities are being offered or sold must be included in the Bundle. The following documents are included:</w:t>
      </w:r>
    </w:p>
    <w:tbl>
      <w:tblPr>
        <w:tblW w:type="dxa" w:w="8360"/>
        <w:tblBorders>
          <w:top w:val="single" w:color="auto" w:sz="4"/>
          <w:left w:val="single" w:color="auto" w:sz="4"/>
          <w:bottom w:val="single" w:color="auto" w:sz="4"/>
          <w:right w:val="single" w:color="auto" w:sz="4"/>
          <w:insideH w:val="single" w:color="auto" w:sz="4"/>
          <w:insideV w:val="single" w:color="auto" w:sz="4"/>
        </w:tblBorders>
      </w:tblPr>
      <w:tblGrid>
        <w:gridCol w:w="1100"/>
        <w:gridCol w:w="2700"/>
        <w:gridCol w:w="1000"/>
        <w:gridCol w:w="1200"/>
        <w:gridCol w:w="1560"/>
        <w:gridCol w:w="800"/>
      </w:tblGrid>
      <w:tr>
        <w:trPr>
          <w:tblHeader/>
        </w:trPr>
        <w:tc>
          <w:tcPr>
            <w:tcW w:type="dxa" w:w="11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Document ID</w:t>
            </w:r>
          </w:p>
        </w:tc>
        <w:tc>
          <w:tcPr>
            <w:tcW w:type="dxa" w:w="2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Title</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Version</w:t>
            </w:r>
          </w:p>
        </w:tc>
        <w:tc>
          <w:tcPr>
            <w:tcW w:type="dxa" w:w="1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Date of Adoption</w:t>
            </w:r>
          </w:p>
        </w:tc>
        <w:tc>
          <w:tcPr>
            <w:tcW w:type="dxa" w:w="15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Last Amendment Date</w:t>
            </w:r>
          </w:p>
        </w:tc>
        <w:tc>
          <w:tcPr>
            <w:tcW w:type="dxa" w:w="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Pages</w:t>
            </w:r>
          </w:p>
        </w:tc>
      </w:tr>
      <w:tr>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DOC-001</w:t>
            </w:r>
          </w:p>
        </w:tc>
        <w:tc>
          <w:tcPr>
            <w:tcW w:type="dxa" w:w="2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[EQUITY INCENTIVE PLAN]</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OR "N/A"]</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r>
      <w:tr>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DOC-002</w:t>
            </w:r>
          </w:p>
        </w:tc>
        <w:tc>
          <w:tcPr>
            <w:tcW w:type="dxa" w:w="2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[FORM OF STOCK OPTION AGREEMENT]</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OR "N/A"]</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r>
      <w:tr>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DOC-003</w:t>
            </w:r>
          </w:p>
        </w:tc>
        <w:tc>
          <w:tcPr>
            <w:tcW w:type="dxa" w:w="2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[FORM OF RESTRICTED STOCK PURCHASE AGREEMENT]</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OR "N/A"]</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r>
      <w:tr>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DOC-004</w:t>
            </w:r>
          </w:p>
        </w:tc>
        <w:tc>
          <w:tcPr>
            <w:tcW w:type="dxa" w:w="2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[FORM OF RSU AWARD AGREEMENT]</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OR "N/A"]</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r>
      <w:tr>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DOC-005</w:t>
            </w:r>
          </w:p>
        </w:tc>
        <w:tc>
          <w:tcPr>
            <w:tcW w:type="dxa" w:w="2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[INDIVIDUAL COMPENSATION CONTRACT]</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OR "N/A"]</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r>
      <w:tr>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w:t>
            </w:r>
          </w:p>
        </w:tc>
        <w:tc>
          <w:tcPr>
            <w:tcW w:type="dxa" w:w="2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 AS NEEDED]</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OR "N/A"]</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r>
    </w:tbl>
    <w:p>
      <w:pPr>
        <w:pStyle w:val="Heading2"/>
        <w:spacing w:after="160" w:before="300"/>
      </w:pPr>
      <w:r>
        <w:rPr>
          <w:rFonts w:ascii="Calibri" w:cs="Calibri" w:eastAsia="Calibri" w:hAnsi="Calibri"/>
          <w:b/>
          <w:bCs/>
          <w:color w:val="2E5090"/>
          <w:sz w:val="24"/>
          <w:szCs w:val="24"/>
        </w:rPr>
        <w:t xml:space="preserve">5.2 Summary of Material Terms</w:t>
      </w:r>
    </w:p>
    <w:p>
      <w:pPr>
        <w:spacing w:after="160" w:line="276"/>
        <w:jc w:val="both"/>
      </w:pPr>
      <w:r>
        <w:rPr>
          <w:rFonts w:ascii="Calibri" w:cs="Calibri" w:eastAsia="Calibri" w:hAnsi="Calibri"/>
          <w:b w:val="false"/>
          <w:bCs w:val="false"/>
          <w:i w:val="false"/>
          <w:iCs w:val="false"/>
          <w:color w:val="000000"/>
          <w:sz w:val="20"/>
          <w:szCs w:val="20"/>
        </w:rPr>
        <w:t xml:space="preserve">If the aggregate sales price exceeds the $10 million threshold (Tier 2), or as a matter of best practice, include a plain-language summary covering the following material terms:</w:t>
      </w:r>
    </w:p>
    <w:p>
      <w:pPr>
        <w:pStyle w:val="Heading3"/>
        <w:spacing w:after="120" w:before="240"/>
      </w:pPr>
      <w:r>
        <w:rPr>
          <w:rFonts w:ascii="Calibri" w:cs="Calibri" w:eastAsia="Calibri" w:hAnsi="Calibri"/>
          <w:b/>
          <w:bCs/>
          <w:color w:val="1B2A4A"/>
          <w:sz w:val="22"/>
          <w:szCs w:val="22"/>
        </w:rPr>
        <w:t xml:space="preserve">5.2.1 Plan/Contract Summary Template</w:t>
      </w:r>
    </w:p>
    <w:p>
      <w:pPr>
        <w:spacing w:after="160" w:line="276"/>
        <w:jc w:val="both"/>
      </w:pPr>
      <w:r>
        <w:rPr>
          <w:rFonts w:ascii="Calibri" w:cs="Calibri" w:eastAsia="Calibri" w:hAnsi="Calibri"/>
          <w:b/>
          <w:bCs/>
          <w:i w:val="false"/>
          <w:iCs w:val="false"/>
          <w:color w:val="000000"/>
          <w:sz w:val="20"/>
          <w:szCs w:val="20"/>
        </w:rPr>
        <w:t xml:space="preserve">Plan/Contract Name: [NAME]</w:t>
      </w:r>
    </w:p>
    <w:p>
      <w:pPr>
        <w:spacing w:after="160" w:line="276"/>
        <w:jc w:val="both"/>
      </w:pPr>
      <w:r>
        <w:rPr>
          <w:rFonts w:ascii="Calibri" w:cs="Calibri" w:eastAsia="Calibri" w:hAnsi="Calibri"/>
          <w:b/>
          <w:bCs/>
          <w:i w:val="false"/>
          <w:iCs w:val="false"/>
          <w:color w:val="000000"/>
          <w:sz w:val="20"/>
          <w:szCs w:val="20"/>
        </w:rPr>
        <w:t xml:space="preserve">Plan/Contract ID: [PLAN-###]</w:t>
      </w:r>
    </w:p>
    <w:p>
      <w:pPr>
        <w:spacing w:after="40"/>
      </w:pPr>
    </w:p>
    <w:p>
      <w:pPr>
        <w:pStyle w:val="ListParagraph"/>
        <w:numPr>
          <w:ilvl w:val="0"/>
          <w:numId w:val="2"/>
        </w:numPr>
        <w:spacing w:after="80" w:line="276"/>
      </w:pPr>
      <w:r>
        <w:rPr>
          <w:rFonts w:ascii="Calibri" w:cs="Calibri" w:eastAsia="Calibri" w:hAnsi="Calibri"/>
          <w:b/>
          <w:bCs/>
          <w:sz w:val="20"/>
          <w:szCs w:val="20"/>
        </w:rPr>
        <w:t xml:space="preserve">Purpose:</w:t>
      </w:r>
      <w:r>
        <w:rPr>
          <w:rFonts w:ascii="Calibri" w:cs="Calibri" w:eastAsia="Calibri" w:hAnsi="Calibri"/>
          <w:sz w:val="20"/>
          <w:szCs w:val="20"/>
        </w:rPr>
        <w:t xml:space="preserve">  [DESCRIBE THE COMPENSATORY PURPOSE OF THE PLAN OR CONTRACT]</w:t>
      </w:r>
    </w:p>
    <w:p>
      <w:pPr>
        <w:pStyle w:val="ListParagraph"/>
        <w:numPr>
          <w:ilvl w:val="0"/>
          <w:numId w:val="2"/>
        </w:numPr>
        <w:spacing w:after="80" w:line="276"/>
      </w:pPr>
      <w:r>
        <w:rPr>
          <w:rFonts w:ascii="Calibri" w:cs="Calibri" w:eastAsia="Calibri" w:hAnsi="Calibri"/>
          <w:b/>
          <w:bCs/>
          <w:sz w:val="20"/>
          <w:szCs w:val="20"/>
        </w:rPr>
        <w:t xml:space="preserve">Eligible Participants:</w:t>
      </w:r>
      <w:r>
        <w:rPr>
          <w:rFonts w:ascii="Calibri" w:cs="Calibri" w:eastAsia="Calibri" w:hAnsi="Calibri"/>
          <w:sz w:val="20"/>
          <w:szCs w:val="20"/>
        </w:rPr>
        <w:t xml:space="preserve">  [CATEGORIES OF ELIGIBLE PARTICIPANTS — EMPLOYEES, DIRECTORS, CONSULTANTS, ETC.]</w:t>
      </w:r>
    </w:p>
    <w:p>
      <w:pPr>
        <w:pStyle w:val="ListParagraph"/>
        <w:numPr>
          <w:ilvl w:val="0"/>
          <w:numId w:val="2"/>
        </w:numPr>
        <w:spacing w:after="80" w:line="276"/>
      </w:pPr>
      <w:r>
        <w:rPr>
          <w:rFonts w:ascii="Calibri" w:cs="Calibri" w:eastAsia="Calibri" w:hAnsi="Calibri"/>
          <w:b/>
          <w:bCs/>
          <w:sz w:val="20"/>
          <w:szCs w:val="20"/>
        </w:rPr>
        <w:t xml:space="preserve">Securities Available:</w:t>
      </w:r>
      <w:r>
        <w:rPr>
          <w:rFonts w:ascii="Calibri" w:cs="Calibri" w:eastAsia="Calibri" w:hAnsi="Calibri"/>
          <w:sz w:val="20"/>
          <w:szCs w:val="20"/>
        </w:rPr>
        <w:t xml:space="preserve">  [NUMBER AND CLASS OF SECURITIES AUTHORIZED UNDER THE PLAN/CONTRACT]</w:t>
      </w:r>
    </w:p>
    <w:p>
      <w:pPr>
        <w:pStyle w:val="ListParagraph"/>
        <w:numPr>
          <w:ilvl w:val="0"/>
          <w:numId w:val="2"/>
        </w:numPr>
        <w:spacing w:after="80" w:line="276"/>
      </w:pPr>
      <w:r>
        <w:rPr>
          <w:rFonts w:ascii="Calibri" w:cs="Calibri" w:eastAsia="Calibri" w:hAnsi="Calibri"/>
          <w:b/>
          <w:bCs/>
          <w:sz w:val="20"/>
          <w:szCs w:val="20"/>
        </w:rPr>
        <w:t xml:space="preserve">Types of Awards:</w:t>
      </w:r>
      <w:r>
        <w:rPr>
          <w:rFonts w:ascii="Calibri" w:cs="Calibri" w:eastAsia="Calibri" w:hAnsi="Calibri"/>
          <w:sz w:val="20"/>
          <w:szCs w:val="20"/>
        </w:rPr>
        <w:t xml:space="preserve">  [ISO, NSO, RSA, RSU, SAR, PHANTOM EQUITY, OTHER]</w:t>
      </w:r>
    </w:p>
    <w:p>
      <w:pPr>
        <w:pStyle w:val="ListParagraph"/>
        <w:numPr>
          <w:ilvl w:val="0"/>
          <w:numId w:val="2"/>
        </w:numPr>
        <w:spacing w:after="80" w:line="276"/>
      </w:pPr>
      <w:r>
        <w:rPr>
          <w:rFonts w:ascii="Calibri" w:cs="Calibri" w:eastAsia="Calibri" w:hAnsi="Calibri"/>
          <w:b/>
          <w:bCs/>
          <w:sz w:val="20"/>
          <w:szCs w:val="20"/>
        </w:rPr>
        <w:t xml:space="preserve">Vesting Schedule:</w:t>
      </w:r>
      <w:r>
        <w:rPr>
          <w:rFonts w:ascii="Calibri" w:cs="Calibri" w:eastAsia="Calibri" w:hAnsi="Calibri"/>
          <w:sz w:val="20"/>
          <w:szCs w:val="20"/>
        </w:rPr>
        <w:t xml:space="preserve">  [STANDARD VESTING TERMS, E.G., 4-YEAR VESTING WITH 1-YEAR CLIFF]</w:t>
      </w:r>
    </w:p>
    <w:p>
      <w:pPr>
        <w:pStyle w:val="ListParagraph"/>
        <w:numPr>
          <w:ilvl w:val="0"/>
          <w:numId w:val="2"/>
        </w:numPr>
        <w:spacing w:after="80" w:line="276"/>
      </w:pPr>
      <w:r>
        <w:rPr>
          <w:rFonts w:ascii="Calibri" w:cs="Calibri" w:eastAsia="Calibri" w:hAnsi="Calibri"/>
          <w:b/>
          <w:bCs/>
          <w:sz w:val="20"/>
          <w:szCs w:val="20"/>
        </w:rPr>
        <w:t xml:space="preserve">Exercise Price/Purchase Price:</w:t>
      </w:r>
      <w:r>
        <w:rPr>
          <w:rFonts w:ascii="Calibri" w:cs="Calibri" w:eastAsia="Calibri" w:hAnsi="Calibri"/>
          <w:sz w:val="20"/>
          <w:szCs w:val="20"/>
        </w:rPr>
        <w:t xml:space="preserve">  [METHOD OF DETERMINING EXERCISE OR PURCHASE PRICE — E.G., FMV ON DATE OF GRANT AS DETERMINED BY BOARD OR 409A VALUATION]</w:t>
      </w:r>
    </w:p>
    <w:p>
      <w:pPr>
        <w:pStyle w:val="ListParagraph"/>
        <w:numPr>
          <w:ilvl w:val="0"/>
          <w:numId w:val="2"/>
        </w:numPr>
        <w:spacing w:after="80" w:line="276"/>
      </w:pPr>
      <w:r>
        <w:rPr>
          <w:rFonts w:ascii="Calibri" w:cs="Calibri" w:eastAsia="Calibri" w:hAnsi="Calibri"/>
          <w:b/>
          <w:bCs/>
          <w:sz w:val="20"/>
          <w:szCs w:val="20"/>
        </w:rPr>
        <w:t xml:space="preserve">Term/Expiration:</w:t>
      </w:r>
      <w:r>
        <w:rPr>
          <w:rFonts w:ascii="Calibri" w:cs="Calibri" w:eastAsia="Calibri" w:hAnsi="Calibri"/>
          <w:sz w:val="20"/>
          <w:szCs w:val="20"/>
        </w:rPr>
        <w:t xml:space="preserve">  [MAXIMUM TERM OF AWARDS, E.G., 10 YEARS FROM DATE OF GRANT]</w:t>
      </w:r>
    </w:p>
    <w:p>
      <w:pPr>
        <w:pStyle w:val="ListParagraph"/>
        <w:numPr>
          <w:ilvl w:val="0"/>
          <w:numId w:val="2"/>
        </w:numPr>
        <w:spacing w:after="80" w:line="276"/>
      </w:pPr>
      <w:r>
        <w:rPr>
          <w:rFonts w:ascii="Calibri" w:cs="Calibri" w:eastAsia="Calibri" w:hAnsi="Calibri"/>
          <w:b/>
          <w:bCs/>
          <w:sz w:val="20"/>
          <w:szCs w:val="20"/>
        </w:rPr>
        <w:t xml:space="preserve">Transferability:</w:t>
      </w:r>
      <w:r>
        <w:rPr>
          <w:rFonts w:ascii="Calibri" w:cs="Calibri" w:eastAsia="Calibri" w:hAnsi="Calibri"/>
          <w:sz w:val="20"/>
          <w:szCs w:val="20"/>
        </w:rPr>
        <w:t xml:space="preserve">  [RESTRICTIONS ON TRANSFER — E.G., GENERALLY NOT TRANSFERABLE EXCEPT BY WILL OR LAWS OF DESCENT AND DISTRIBUTION]</w:t>
      </w:r>
    </w:p>
    <w:p>
      <w:pPr>
        <w:pStyle w:val="ListParagraph"/>
        <w:numPr>
          <w:ilvl w:val="0"/>
          <w:numId w:val="2"/>
        </w:numPr>
        <w:spacing w:after="80" w:line="276"/>
      </w:pPr>
      <w:r>
        <w:rPr>
          <w:rFonts w:ascii="Calibri" w:cs="Calibri" w:eastAsia="Calibri" w:hAnsi="Calibri"/>
          <w:b/>
          <w:bCs/>
          <w:sz w:val="20"/>
          <w:szCs w:val="20"/>
        </w:rPr>
        <w:t xml:space="preserve">Change in Control:</w:t>
      </w:r>
      <w:r>
        <w:rPr>
          <w:rFonts w:ascii="Calibri" w:cs="Calibri" w:eastAsia="Calibri" w:hAnsi="Calibri"/>
          <w:sz w:val="20"/>
          <w:szCs w:val="20"/>
        </w:rPr>
        <w:t xml:space="preserve">  [TREATMENT OF AWARDS UPON A CHANGE IN CONTROL — E.G., ACCELERATION, ASSUMPTION, CANCELLATION]</w:t>
      </w:r>
    </w:p>
    <w:p>
      <w:pPr>
        <w:pStyle w:val="ListParagraph"/>
        <w:numPr>
          <w:ilvl w:val="0"/>
          <w:numId w:val="2"/>
        </w:numPr>
        <w:spacing w:after="80" w:line="276"/>
      </w:pPr>
      <w:r>
        <w:rPr>
          <w:rFonts w:ascii="Calibri" w:cs="Calibri" w:eastAsia="Calibri" w:hAnsi="Calibri"/>
          <w:b/>
          <w:bCs/>
          <w:sz w:val="20"/>
          <w:szCs w:val="20"/>
        </w:rPr>
        <w:t xml:space="preserve">Termination of Service:</w:t>
      </w:r>
      <w:r>
        <w:rPr>
          <w:rFonts w:ascii="Calibri" w:cs="Calibri" w:eastAsia="Calibri" w:hAnsi="Calibri"/>
          <w:sz w:val="20"/>
          <w:szCs w:val="20"/>
        </w:rPr>
        <w:t xml:space="preserve">  [POST-TERMINATION EXERCISE PERIODS AND FORFEITURE PROVISIONS]</w:t>
      </w:r>
    </w:p>
    <w:p>
      <w:pPr>
        <w:pStyle w:val="ListParagraph"/>
        <w:numPr>
          <w:ilvl w:val="0"/>
          <w:numId w:val="2"/>
        </w:numPr>
        <w:spacing w:after="80" w:line="276"/>
      </w:pPr>
      <w:r>
        <w:rPr>
          <w:rFonts w:ascii="Calibri" w:cs="Calibri" w:eastAsia="Calibri" w:hAnsi="Calibri"/>
          <w:b/>
          <w:bCs/>
          <w:sz w:val="20"/>
          <w:szCs w:val="20"/>
        </w:rPr>
        <w:t xml:space="preserve">Administration:</w:t>
      </w:r>
      <w:r>
        <w:rPr>
          <w:rFonts w:ascii="Calibri" w:cs="Calibri" w:eastAsia="Calibri" w:hAnsi="Calibri"/>
          <w:sz w:val="20"/>
          <w:szCs w:val="20"/>
        </w:rPr>
        <w:t xml:space="preserve">  [PLAN ADMINISTRATOR — E.G., BOARD OF DIRECTORS OR COMPENSATION COMMITTEE]</w:t>
      </w:r>
    </w:p>
    <w:p>
      <w:pPr>
        <w:pStyle w:val="ListParagraph"/>
        <w:numPr>
          <w:ilvl w:val="0"/>
          <w:numId w:val="2"/>
        </w:numPr>
        <w:spacing w:after="80" w:line="276"/>
      </w:pPr>
      <w:r>
        <w:rPr>
          <w:rFonts w:ascii="Calibri" w:cs="Calibri" w:eastAsia="Calibri" w:hAnsi="Calibri"/>
          <w:b/>
          <w:bCs/>
          <w:sz w:val="20"/>
          <w:szCs w:val="20"/>
        </w:rPr>
        <w:t xml:space="preserve">Amendment/Termination:</w:t>
      </w:r>
      <w:r>
        <w:rPr>
          <w:rFonts w:ascii="Calibri" w:cs="Calibri" w:eastAsia="Calibri" w:hAnsi="Calibri"/>
          <w:sz w:val="20"/>
          <w:szCs w:val="20"/>
        </w:rPr>
        <w:t xml:space="preserve">  [AUTHORITY TO AMEND OR TERMINATE THE PLAN AND LIMITATIONS THEREON]</w:t>
      </w:r>
    </w:p>
    <w:p>
      <w:pPr>
        <w:pStyle w:val="ListParagraph"/>
        <w:numPr>
          <w:ilvl w:val="0"/>
          <w:numId w:val="2"/>
        </w:numPr>
        <w:spacing w:after="80" w:line="276"/>
      </w:pPr>
      <w:r>
        <w:rPr>
          <w:rFonts w:ascii="Calibri" w:cs="Calibri" w:eastAsia="Calibri" w:hAnsi="Calibri"/>
          <w:b/>
          <w:bCs/>
          <w:sz w:val="20"/>
          <w:szCs w:val="20"/>
        </w:rPr>
        <w:t xml:space="preserve">Tax Consequences:</w:t>
      </w:r>
      <w:r>
        <w:rPr>
          <w:rFonts w:ascii="Calibri" w:cs="Calibri" w:eastAsia="Calibri" w:hAnsi="Calibri"/>
          <w:sz w:val="20"/>
          <w:szCs w:val="20"/>
        </w:rPr>
        <w:t xml:space="preserve">  [BRIEF SUMMARY OF MATERIAL U.S. FEDERAL INCOME TAX CONSEQUENCES]</w:t>
      </w:r>
    </w:p>
    <w:p>
      <w:pPr>
        <w:pStyle w:val="ListParagraph"/>
        <w:numPr>
          <w:ilvl w:val="0"/>
          <w:numId w:val="2"/>
        </w:numPr>
        <w:spacing w:after="80" w:line="276"/>
      </w:pPr>
      <w:r>
        <w:rPr>
          <w:rFonts w:ascii="Calibri" w:cs="Calibri" w:eastAsia="Calibri" w:hAnsi="Calibri"/>
          <w:b/>
          <w:bCs/>
          <w:sz w:val="20"/>
          <w:szCs w:val="20"/>
        </w:rPr>
        <w:t xml:space="preserve">Clawback:</w:t>
      </w:r>
      <w:r>
        <w:rPr>
          <w:rFonts w:ascii="Calibri" w:cs="Calibri" w:eastAsia="Calibri" w:hAnsi="Calibri"/>
          <w:sz w:val="20"/>
          <w:szCs w:val="20"/>
        </w:rPr>
        <w:t xml:space="preserve">  [ANY CLAWBACK, FORFEITURE, OR REPURCHASE PROVISIONS]</w:t>
      </w:r>
    </w:p>
    <w:p>
      <w:pPr>
        <w:pStyle w:val="ListParagraph"/>
        <w:numPr>
          <w:ilvl w:val="0"/>
          <w:numId w:val="2"/>
        </w:numPr>
        <w:spacing w:after="80" w:line="276"/>
      </w:pPr>
      <w:r>
        <w:rPr>
          <w:rFonts w:ascii="Calibri" w:cs="Calibri" w:eastAsia="Calibri" w:hAnsi="Calibri"/>
          <w:b/>
          <w:bCs/>
          <w:sz w:val="20"/>
          <w:szCs w:val="20"/>
        </w:rPr>
        <w:t xml:space="preserve">Lock-Up:</w:t>
      </w:r>
      <w:r>
        <w:rPr>
          <w:rFonts w:ascii="Calibri" w:cs="Calibri" w:eastAsia="Calibri" w:hAnsi="Calibri"/>
          <w:sz w:val="20"/>
          <w:szCs w:val="20"/>
        </w:rPr>
        <w:t xml:space="preserve">  [ANY POST-IPO LOCK-UP OR MARKET STANDOFF OBLIGATIONS]</w:t>
      </w:r>
    </w:p>
    <w:p>
      <w:pPr>
        <w:pStyle w:val="Heading2"/>
        <w:spacing w:after="160" w:before="300"/>
      </w:pPr>
      <w:r>
        <w:rPr>
          <w:rFonts w:ascii="Calibri" w:cs="Calibri" w:eastAsia="Calibri" w:hAnsi="Calibri"/>
          <w:b/>
          <w:bCs/>
          <w:color w:val="2E5090"/>
          <w:sz w:val="24"/>
          <w:szCs w:val="24"/>
        </w:rPr>
        <w:t xml:space="preserve">5.3 Risk Factors</w:t>
      </w:r>
    </w:p>
    <w:p>
      <w:pPr>
        <w:spacing w:after="160" w:line="276"/>
        <w:jc w:val="both"/>
      </w:pPr>
      <w:r>
        <w:rPr>
          <w:rFonts w:ascii="Calibri" w:cs="Calibri" w:eastAsia="Calibri" w:hAnsi="Calibri"/>
          <w:b w:val="false"/>
          <w:bCs w:val="false"/>
          <w:i w:val="false"/>
          <w:iCs w:val="false"/>
          <w:color w:val="000000"/>
          <w:sz w:val="20"/>
          <w:szCs w:val="20"/>
        </w:rPr>
        <w:t xml:space="preserve">The following risk factors are associated with investment in securities issued under the compensatory benefit plans and written compensation contracts identified in this Package. These risk factors must be delivered to each recipient when enhanced disclosure is required (Tier 2).</w:t>
      </w:r>
    </w:p>
    <w:p>
      <w:pPr>
        <w:pStyle w:val="Heading3"/>
        <w:spacing w:after="120" w:before="240"/>
      </w:pPr>
      <w:r>
        <w:rPr>
          <w:rFonts w:ascii="Calibri" w:cs="Calibri" w:eastAsia="Calibri" w:hAnsi="Calibri"/>
          <w:b/>
          <w:bCs/>
          <w:color w:val="1B2A4A"/>
          <w:sz w:val="22"/>
          <w:szCs w:val="22"/>
        </w:rPr>
        <w:t xml:space="preserve">5.3.1 Risks Related to the Securities</w:t>
      </w:r>
    </w:p>
    <w:p>
      <w:pPr>
        <w:pStyle w:val="ListParagraph"/>
        <w:numPr>
          <w:ilvl w:val="0"/>
          <w:numId w:val="2"/>
        </w:numPr>
        <w:spacing w:after="80" w:line="276"/>
      </w:pPr>
      <w:r>
        <w:rPr>
          <w:rFonts w:ascii="Calibri" w:cs="Calibri" w:eastAsia="Calibri" w:hAnsi="Calibri"/>
          <w:sz w:val="20"/>
          <w:szCs w:val="20"/>
        </w:rPr>
        <w:t xml:space="preserve">[THE SECURITIES ARE ILLIQUID AND THERE IS NO PUBLIC TRADING MARKET. HOLDERS MAY NOT BE ABLE TO SELL OR OTHERWISE DISPOSE OF THE SECURITIES FOR AN INDEFINITE PERIOD.]</w:t>
      </w:r>
    </w:p>
    <w:p>
      <w:pPr>
        <w:pStyle w:val="ListParagraph"/>
        <w:numPr>
          <w:ilvl w:val="0"/>
          <w:numId w:val="2"/>
        </w:numPr>
        <w:spacing w:after="80" w:line="276"/>
      </w:pPr>
      <w:r>
        <w:rPr>
          <w:rFonts w:ascii="Calibri" w:cs="Calibri" w:eastAsia="Calibri" w:hAnsi="Calibri"/>
          <w:sz w:val="20"/>
          <w:szCs w:val="20"/>
        </w:rPr>
        <w:t xml:space="preserve">[THE SECURITIES ARE SUBJECT TO TRANSFER RESTRICTIONS UNDER APPLICABLE SECURITIES LAWS AND UNDER THE TERMS OF THE PLAN AND AWARD AGREEMENTS. ANY PURPORTED TRANSFER IN VIOLATION OF THESE RESTRICTIONS MAY BE VOID.]</w:t>
      </w:r>
    </w:p>
    <w:p>
      <w:pPr>
        <w:pStyle w:val="ListParagraph"/>
        <w:numPr>
          <w:ilvl w:val="0"/>
          <w:numId w:val="2"/>
        </w:numPr>
        <w:spacing w:after="80" w:line="276"/>
      </w:pPr>
      <w:r>
        <w:rPr>
          <w:rFonts w:ascii="Calibri" w:cs="Calibri" w:eastAsia="Calibri" w:hAnsi="Calibri"/>
          <w:sz w:val="20"/>
          <w:szCs w:val="20"/>
        </w:rPr>
        <w:t xml:space="preserve">[THE VALUE OF THE SECURITIES MAY DECLINE. THE EXERCISE PRICE OR PURCHASE PRICE MAY EXCEED THE FAIR MARKET VALUE OF THE SECURITIES AT THE TIME OF EXERCISE OR VESTING. OPTIONS MAY EXPIRE WORTHLESS.]</w:t>
      </w:r>
    </w:p>
    <w:p>
      <w:pPr>
        <w:pStyle w:val="ListParagraph"/>
        <w:numPr>
          <w:ilvl w:val="0"/>
          <w:numId w:val="2"/>
        </w:numPr>
        <w:spacing w:after="80" w:line="276"/>
      </w:pPr>
      <w:r>
        <w:rPr>
          <w:rFonts w:ascii="Calibri" w:cs="Calibri" w:eastAsia="Calibri" w:hAnsi="Calibri"/>
          <w:sz w:val="20"/>
          <w:szCs w:val="20"/>
        </w:rPr>
        <w:t xml:space="preserve">[THE SECURITIES REPRESENT A MINORITY INTEREST IN THE ISSUER. HOLDERS WILL HAVE LIMITED OR NO ABILITY TO INFLUENCE THE MANAGEMENT, OPERATIONS, OR STRATEGIC DIRECTION OF THE ISSUER.]</w:t>
      </w:r>
    </w:p>
    <w:p>
      <w:pPr>
        <w:pStyle w:val="ListParagraph"/>
        <w:numPr>
          <w:ilvl w:val="0"/>
          <w:numId w:val="2"/>
        </w:numPr>
        <w:spacing w:after="80" w:line="276"/>
      </w:pPr>
      <w:r>
        <w:rPr>
          <w:rFonts w:ascii="Calibri" w:cs="Calibri" w:eastAsia="Calibri" w:hAnsi="Calibri"/>
          <w:sz w:val="20"/>
          <w:szCs w:val="20"/>
        </w:rPr>
        <w:t xml:space="preserve">[ADDITIONAL ISSUANCES OF SECURITIES BY THE ISSUER MAY DILUTE THE PERCENTAGE OWNERSHIP AND ECONOMIC INTEREST OF HOLDERS.]</w:t>
      </w:r>
    </w:p>
    <w:p>
      <w:pPr>
        <w:pStyle w:val="Heading3"/>
        <w:spacing w:after="120" w:before="240"/>
      </w:pPr>
      <w:r>
        <w:rPr>
          <w:rFonts w:ascii="Calibri" w:cs="Calibri" w:eastAsia="Calibri" w:hAnsi="Calibri"/>
          <w:b/>
          <w:bCs/>
          <w:color w:val="1B2A4A"/>
          <w:sz w:val="22"/>
          <w:szCs w:val="22"/>
        </w:rPr>
        <w:t xml:space="preserve">5.3.2 Risks Related to the Issuer</w:t>
      </w:r>
    </w:p>
    <w:p>
      <w:pPr>
        <w:pStyle w:val="ListParagraph"/>
        <w:numPr>
          <w:ilvl w:val="0"/>
          <w:numId w:val="2"/>
        </w:numPr>
        <w:spacing w:after="80" w:line="276"/>
      </w:pPr>
      <w:r>
        <w:rPr>
          <w:rFonts w:ascii="Calibri" w:cs="Calibri" w:eastAsia="Calibri" w:hAnsi="Calibri"/>
          <w:sz w:val="20"/>
          <w:szCs w:val="20"/>
        </w:rPr>
        <w:t xml:space="preserve">[THE ISSUER IS A PRIVATELY HELD COMPANY WITH A LIMITED OPERATING HISTORY. THERE CAN BE NO ASSURANCE THAT THE ISSUER WILL ACHIEVE PROFITABILITY OR CONTINUE AS A GOING CONCERN.]</w:t>
      </w:r>
    </w:p>
    <w:p>
      <w:pPr>
        <w:pStyle w:val="ListParagraph"/>
        <w:numPr>
          <w:ilvl w:val="0"/>
          <w:numId w:val="2"/>
        </w:numPr>
        <w:spacing w:after="80" w:line="276"/>
      </w:pPr>
      <w:r>
        <w:rPr>
          <w:rFonts w:ascii="Calibri" w:cs="Calibri" w:eastAsia="Calibri" w:hAnsi="Calibri"/>
          <w:sz w:val="20"/>
          <w:szCs w:val="20"/>
        </w:rPr>
        <w:t xml:space="preserve">[THE ISSUER'S FINANCIAL STATEMENTS HAVE NOT BEEN AUDITED. THE FINANCIAL INFORMATION PROVIDED MAY NOT PRESENT A COMPLETE OR ACCURATE PICTURE OF THE ISSUER'S FINANCIAL CONDITION.]</w:t>
      </w:r>
    </w:p>
    <w:p>
      <w:pPr>
        <w:pStyle w:val="ListParagraph"/>
        <w:numPr>
          <w:ilvl w:val="0"/>
          <w:numId w:val="2"/>
        </w:numPr>
        <w:spacing w:after="80" w:line="276"/>
      </w:pPr>
      <w:r>
        <w:rPr>
          <w:rFonts w:ascii="Calibri" w:cs="Calibri" w:eastAsia="Calibri" w:hAnsi="Calibri"/>
          <w:sz w:val="20"/>
          <w:szCs w:val="20"/>
        </w:rPr>
        <w:t xml:space="preserve">[THE ISSUER OPERATES IN A COMPETITIVE INDUSTRY AND IS SUBJECT TO SIGNIFICANT BUSINESS RISKS, INCLUDING RISKS RELATED TO TECHNOLOGY, REGULATION, COMPETITION, AND KEY PERSONNEL.]</w:t>
      </w:r>
    </w:p>
    <w:p>
      <w:pPr>
        <w:pStyle w:val="ListParagraph"/>
        <w:numPr>
          <w:ilvl w:val="0"/>
          <w:numId w:val="2"/>
        </w:numPr>
        <w:spacing w:after="80" w:line="276"/>
      </w:pPr>
      <w:r>
        <w:rPr>
          <w:rFonts w:ascii="Calibri" w:cs="Calibri" w:eastAsia="Calibri" w:hAnsi="Calibri"/>
          <w:sz w:val="20"/>
          <w:szCs w:val="20"/>
        </w:rPr>
        <w:t xml:space="preserve">[DESCRIBE ADDITIONAL ISSUER-SPECIFIC RISK FACTORS AS APPLICABLE]</w:t>
      </w:r>
    </w:p>
    <w:p>
      <w:pPr>
        <w:pStyle w:val="ListParagraph"/>
        <w:numPr>
          <w:ilvl w:val="0"/>
          <w:numId w:val="2"/>
        </w:numPr>
        <w:spacing w:after="80" w:line="276"/>
      </w:pPr>
      <w:r>
        <w:rPr>
          <w:rFonts w:ascii="Calibri" w:cs="Calibri" w:eastAsia="Calibri" w:hAnsi="Calibri"/>
          <w:sz w:val="20"/>
          <w:szCs w:val="20"/>
        </w:rPr>
        <w:t xml:space="preserve">[DESCRIBE INDUSTRY-SPECIFIC RISK FACTORS AS APPLICABLE]</w:t>
      </w:r>
    </w:p>
    <w:p>
      <w:pPr>
        <w:pStyle w:val="Heading3"/>
        <w:spacing w:after="120" w:before="240"/>
      </w:pPr>
      <w:r>
        <w:rPr>
          <w:rFonts w:ascii="Calibri" w:cs="Calibri" w:eastAsia="Calibri" w:hAnsi="Calibri"/>
          <w:b/>
          <w:bCs/>
          <w:color w:val="1B2A4A"/>
          <w:sz w:val="22"/>
          <w:szCs w:val="22"/>
        </w:rPr>
        <w:t xml:space="preserve">5.3.3 Tax Risks</w:t>
      </w:r>
    </w:p>
    <w:p>
      <w:pPr>
        <w:pStyle w:val="ListParagraph"/>
        <w:numPr>
          <w:ilvl w:val="0"/>
          <w:numId w:val="2"/>
        </w:numPr>
        <w:spacing w:after="80" w:line="276"/>
      </w:pPr>
      <w:r>
        <w:rPr>
          <w:rFonts w:ascii="Calibri" w:cs="Calibri" w:eastAsia="Calibri" w:hAnsi="Calibri"/>
          <w:sz w:val="20"/>
          <w:szCs w:val="20"/>
        </w:rPr>
        <w:t xml:space="preserve">[THE TAX TREATMENT OF THE SECURITIES IS COMPLEX AND MAY VARY DEPENDING ON THE RECIPIENT'S INDIVIDUAL TAX SITUATION. RECIPIENTS SHOULD CONSULT THEIR OWN TAX ADVISORS.]</w:t>
      </w:r>
    </w:p>
    <w:p>
      <w:pPr>
        <w:pStyle w:val="ListParagraph"/>
        <w:numPr>
          <w:ilvl w:val="0"/>
          <w:numId w:val="2"/>
        </w:numPr>
        <w:spacing w:after="80" w:line="276"/>
      </w:pPr>
      <w:r>
        <w:rPr>
          <w:rFonts w:ascii="Calibri" w:cs="Calibri" w:eastAsia="Calibri" w:hAnsi="Calibri"/>
          <w:sz w:val="20"/>
          <w:szCs w:val="20"/>
        </w:rPr>
        <w:t xml:space="preserve">[FOR INCENTIVE STOCK OPTIONS: EXERCISE MAY GIVE RISE TO ALTERNATIVE MINIMUM TAX LIABILITY. DISQUALIFYING DISPOSITIONS MAY CONVERT FAVORABLE TAX TREATMENT TO ORDINARY INCOME.]</w:t>
      </w:r>
    </w:p>
    <w:p>
      <w:pPr>
        <w:pStyle w:val="ListParagraph"/>
        <w:numPr>
          <w:ilvl w:val="0"/>
          <w:numId w:val="2"/>
        </w:numPr>
        <w:spacing w:after="80" w:line="276"/>
      </w:pPr>
      <w:r>
        <w:rPr>
          <w:rFonts w:ascii="Calibri" w:cs="Calibri" w:eastAsia="Calibri" w:hAnsi="Calibri"/>
          <w:sz w:val="20"/>
          <w:szCs w:val="20"/>
        </w:rPr>
        <w:t xml:space="preserve">[FOR RESTRICTED STOCK: SECTION 83(b) ELECTION MUST BE FILED WITHIN 30 DAYS OF THE DATE OF GRANT. FAILURE TO FILE MAY RESULT IN ADVERSE TAX CONSEQUENCES.]</w:t>
      </w:r>
    </w:p>
    <w:p>
      <w:pPr>
        <w:pStyle w:val="ListParagraph"/>
        <w:numPr>
          <w:ilvl w:val="0"/>
          <w:numId w:val="2"/>
        </w:numPr>
        <w:spacing w:after="80" w:line="276"/>
      </w:pPr>
      <w:r>
        <w:rPr>
          <w:rFonts w:ascii="Calibri" w:cs="Calibri" w:eastAsia="Calibri" w:hAnsi="Calibri"/>
          <w:sz w:val="20"/>
          <w:szCs w:val="20"/>
        </w:rPr>
        <w:t xml:space="preserve">[CHANGES IN TAX LAW MAY AFFECT THE TAX TREATMENT OF THE SECURITIES.]</w:t>
      </w:r>
    </w:p>
    <w:p>
      <w:pPr>
        <w:pStyle w:val="Heading2"/>
        <w:spacing w:after="160" w:before="300"/>
      </w:pPr>
      <w:r>
        <w:rPr>
          <w:rFonts w:ascii="Calibri" w:cs="Calibri" w:eastAsia="Calibri" w:hAnsi="Calibri"/>
          <w:b/>
          <w:bCs/>
          <w:color w:val="2E5090"/>
          <w:sz w:val="24"/>
          <w:szCs w:val="24"/>
        </w:rPr>
        <w:t xml:space="preserve">5.4 Financial Statements</w:t>
      </w:r>
    </w:p>
    <w:p>
      <w:pPr>
        <w:spacing w:after="160" w:line="276"/>
        <w:jc w:val="both"/>
      </w:pPr>
      <w:r>
        <w:rPr>
          <w:rFonts w:ascii="Calibri" w:cs="Calibri" w:eastAsia="Calibri" w:hAnsi="Calibri"/>
          <w:b w:val="false"/>
          <w:bCs w:val="false"/>
          <w:i w:val="false"/>
          <w:iCs w:val="false"/>
          <w:color w:val="000000"/>
          <w:sz w:val="20"/>
          <w:szCs w:val="20"/>
        </w:rPr>
        <w:t xml:space="preserve">The following financial statements are included in this Bundle or are available for inspection by recipients: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1000"/>
        <w:gridCol w:w="1000"/>
        <w:gridCol w:w="1560"/>
        <w:gridCol w:w="1000"/>
        <w:gridCol w:w="1200"/>
        <w:gridCol w:w="1600"/>
      </w:tblGrid>
      <w:tr>
        <w:trPr>
          <w:tblHeader/>
        </w:trPr>
        <w:tc>
          <w:tcPr>
            <w:tcW w:type="dxa" w:w="2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Financial Statement</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Period End</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Date Prepared</w:t>
            </w:r>
          </w:p>
        </w:tc>
        <w:tc>
          <w:tcPr>
            <w:tcW w:type="dxa" w:w="15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Audit Status</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GAAP Basis</w:t>
            </w:r>
          </w:p>
        </w:tc>
        <w:tc>
          <w:tcPr>
            <w:tcW w:type="dxa" w:w="1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Preparer</w:t>
            </w:r>
          </w:p>
        </w:tc>
        <w:tc>
          <w:tcPr>
            <w:tcW w:type="dxa" w:w="1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Included in Bundle?</w:t>
            </w:r>
          </w:p>
        </w:tc>
      </w:tr>
      <w:tr>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Balance Sheet</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[AUDITED/UNAUDITED/REVIEWED]</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[US GAAP]</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[PREPARER]</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r>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Income Statement</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[PERIOD]</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[AUDITED/UNAUDITED/REVIEWED]</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[US GAAP]</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[PREPARER]</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r>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Statement of Cash Flows</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[PERIOD]</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[AUDITED/UNAUDITED/REVIEWED]</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[US GAAP]</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[PREPARER]</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r>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Statement of Stockholders' Equity</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[PERIOD]</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[AUDITED/UNAUDITED/REVIEWED]</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[US GAAP]</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[PREPARER]</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r>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Notes to Financial Statements</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[PERIOD]</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[US GAAP]</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[PREPARER]</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bl>
    <w:p>
      <w:pPr>
        <w:pStyle w:val="Heading2"/>
        <w:spacing w:after="160" w:before="300"/>
      </w:pPr>
      <w:r>
        <w:rPr>
          <w:rFonts w:ascii="Calibri" w:cs="Calibri" w:eastAsia="Calibri" w:hAnsi="Calibri"/>
          <w:b/>
          <w:bCs/>
          <w:color w:val="2E5090"/>
          <w:sz w:val="24"/>
          <w:szCs w:val="24"/>
        </w:rPr>
        <w:t xml:space="preserve">5.5 Capitalization Summary</w:t>
      </w:r>
    </w:p>
    <w:p>
      <w:pPr>
        <w:spacing w:after="160" w:line="276"/>
        <w:jc w:val="both"/>
      </w:pPr>
      <w:r>
        <w:rPr>
          <w:rFonts w:ascii="Calibri" w:cs="Calibri" w:eastAsia="Calibri" w:hAnsi="Calibri"/>
          <w:b w:val="false"/>
          <w:bCs w:val="false"/>
          <w:i w:val="false"/>
          <w:iCs w:val="false"/>
          <w:color w:val="000000"/>
          <w:sz w:val="20"/>
          <w:szCs w:val="20"/>
        </w:rPr>
        <w:t xml:space="preserve">The following capitalization summary reflects the Issuer's capital structure as of [CAPITALIZATION DATE]:</w:t>
      </w:r>
    </w:p>
    <w:tbl>
      <w:tblPr>
        <w:tblW w:type="dxa" w:w="10360"/>
        <w:tblBorders>
          <w:top w:val="single" w:color="auto" w:sz="4"/>
          <w:left w:val="single" w:color="auto" w:sz="4"/>
          <w:bottom w:val="single" w:color="auto" w:sz="4"/>
          <w:right w:val="single" w:color="auto" w:sz="4"/>
          <w:insideH w:val="single" w:color="auto" w:sz="4"/>
          <w:insideV w:val="single" w:color="auto" w:sz="4"/>
        </w:tblBorders>
      </w:tblPr>
      <w:tblGrid>
        <w:gridCol w:w="2200"/>
        <w:gridCol w:w="1300"/>
        <w:gridCol w:w="1700"/>
        <w:gridCol w:w="1700"/>
        <w:gridCol w:w="2000"/>
        <w:gridCol w:w="1460"/>
      </w:tblGrid>
      <w:tr>
        <w:trPr>
          <w:tblHeader/>
        </w:trPr>
        <w:tc>
          <w:tcPr>
            <w:tcW w:type="dxa" w:w="2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Security Class</w:t>
            </w:r>
          </w:p>
        </w:tc>
        <w:tc>
          <w:tcPr>
            <w:tcW w:type="dxa" w:w="13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Authorized</w:t>
            </w:r>
          </w:p>
        </w:tc>
        <w:tc>
          <w:tcPr>
            <w:tcW w:type="dxa" w:w="1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Issued and Outstanding</w:t>
            </w:r>
          </w:p>
        </w:tc>
        <w:tc>
          <w:tcPr>
            <w:tcW w:type="dxa" w:w="1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Reserved (Option Pool)</w:t>
            </w:r>
          </w:p>
        </w:tc>
        <w:tc>
          <w:tcPr>
            <w:tcW w:type="dxa" w:w="2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Reserved (Warrants/Convertibles)</w:t>
            </w:r>
          </w:p>
        </w:tc>
        <w:tc>
          <w:tcPr>
            <w:tcW w:type="dxa" w:w="14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Fully Diluted Total</w:t>
            </w:r>
          </w:p>
        </w:tc>
      </w:tr>
      <w:tr>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Common Stock</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1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1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14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Series [__] Preferred Stock</w:t>
            </w:r>
          </w:p>
        </w:tc>
        <w:tc>
          <w:tcPr>
            <w:tcW w:type="dxa" w:w="13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1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1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14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Series [__] Preferred Stock</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1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1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14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Convertible Notes (as-converted)</w:t>
            </w:r>
          </w:p>
        </w:tc>
        <w:tc>
          <w:tcPr>
            <w:tcW w:type="dxa" w:w="13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1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1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14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SAFEs (as-converted)</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1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1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14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r>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Total</w:t>
            </w:r>
          </w:p>
        </w:tc>
        <w:tc>
          <w:tcPr>
            <w:tcW w:type="dxa" w:w="13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1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1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14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r>
    </w:tbl>
    <w:p>
      <w:pPr>
        <w:pStyle w:val="Heading2"/>
        <w:spacing w:after="160" w:before="300"/>
      </w:pPr>
      <w:r>
        <w:rPr>
          <w:rFonts w:ascii="Calibri" w:cs="Calibri" w:eastAsia="Calibri" w:hAnsi="Calibri"/>
          <w:b/>
          <w:bCs/>
          <w:color w:val="2E5090"/>
          <w:sz w:val="24"/>
          <w:szCs w:val="24"/>
        </w:rPr>
        <w:t xml:space="preserve">5.6 Cover Notice</w:t>
      </w:r>
    </w:p>
    <w:p>
      <w:pPr>
        <w:spacing w:after="160" w:line="276"/>
        <w:jc w:val="both"/>
      </w:pPr>
      <w:r>
        <w:rPr>
          <w:rFonts w:ascii="Calibri" w:cs="Calibri" w:eastAsia="Calibri" w:hAnsi="Calibri"/>
          <w:b/>
          <w:bCs/>
          <w:i w:val="false"/>
          <w:iCs w:val="false"/>
          <w:color w:val="000000"/>
          <w:sz w:val="20"/>
          <w:szCs w:val="20"/>
        </w:rPr>
        <w:t xml:space="preserve">The following cover notice must accompany each disclosure package delivered to a recipient:</w:t>
      </w:r>
    </w:p>
    <w:p>
      <w:pPr>
        <w:spacing w:after="40"/>
      </w:pPr>
    </w:p>
    <w:p>
      <w:pPr>
        <w:pBdr>
          <w:bottom w:val="single" w:color="8DB4E2" w:sz="6" w:space="4"/>
        </w:pBdr>
        <w:spacing w:after="120" w:before="120"/>
      </w:pPr>
    </w:p>
    <w:p>
      <w:pPr>
        <w:spacing w:after="160" w:line="276"/>
        <w:jc w:val="center"/>
      </w:pPr>
      <w:r>
        <w:rPr>
          <w:rFonts w:ascii="Calibri" w:cs="Calibri" w:eastAsia="Calibri" w:hAnsi="Calibri"/>
          <w:b/>
          <w:bCs/>
          <w:i w:val="false"/>
          <w:iCs w:val="false"/>
          <w:color w:val="000000"/>
          <w:sz w:val="20"/>
          <w:szCs w:val="20"/>
        </w:rPr>
        <w:t xml:space="preserve">NOTICE AND LIMITATIONS</w:t>
      </w:r>
    </w:p>
    <w:p>
      <w:pPr>
        <w:spacing w:after="40"/>
      </w:pPr>
    </w:p>
    <w:p>
      <w:pPr>
        <w:spacing w:after="160" w:line="276"/>
        <w:jc w:val="both"/>
      </w:pPr>
      <w:r>
        <w:rPr>
          <w:rFonts w:ascii="Calibri" w:cs="Calibri" w:eastAsia="Calibri" w:hAnsi="Calibri"/>
          <w:b w:val="false"/>
          <w:bCs w:val="false"/>
          <w:i w:val="false"/>
          <w:iCs w:val="false"/>
          <w:color w:val="000000"/>
          <w:sz w:val="20"/>
          <w:szCs w:val="20"/>
        </w:rPr>
        <w:t xml:space="preserve">This Rule 701 Disclosure Package (the "Package") is provided by [ISSUER LEGAL NAME] (the "Company") solely for the purpose of complying with the disclosure requirements of Rule 701 under the Securities Act of 1933, as amended (the "Securities Act").</w:t>
      </w:r>
    </w:p>
    <w:p>
      <w:pPr>
        <w:spacing w:after="160" w:line="276"/>
        <w:jc w:val="both"/>
      </w:pPr>
      <w:r>
        <w:rPr>
          <w:rFonts w:ascii="Calibri" w:cs="Calibri" w:eastAsia="Calibri" w:hAnsi="Calibri"/>
          <w:b w:val="false"/>
          <w:bCs w:val="false"/>
          <w:i w:val="false"/>
          <w:iCs w:val="false"/>
          <w:color w:val="000000"/>
          <w:sz w:val="20"/>
          <w:szCs w:val="20"/>
        </w:rPr>
        <w:t xml:space="preserve">This Package does not constitute an offer to sell or a solicitation of an offer to buy any securities. The securities described herein have not been registered under the Securities Act or any state securities laws and may not be offered, sold, pledged, or otherwise transferred except pursuant to an effective registration statement or an applicable exemption from registration.</w:t>
      </w:r>
    </w:p>
    <w:p>
      <w:pPr>
        <w:spacing w:after="160" w:line="276"/>
        <w:jc w:val="both"/>
      </w:pPr>
      <w:r>
        <w:rPr>
          <w:rFonts w:ascii="Calibri" w:cs="Calibri" w:eastAsia="Calibri" w:hAnsi="Calibri"/>
          <w:b w:val="false"/>
          <w:bCs w:val="false"/>
          <w:i w:val="false"/>
          <w:iCs w:val="false"/>
          <w:color w:val="000000"/>
          <w:sz w:val="20"/>
          <w:szCs w:val="20"/>
        </w:rPr>
        <w:t xml:space="preserve">The information contained in this Package is confidential and proprietary to the Company. By accepting this Package, you agree to maintain the confidentiality of its contents in accordance with the confidentiality provisions set forth in Section 9 of this Package and in your applicable compensatory benefit plan or compensation contract.</w:t>
      </w:r>
    </w:p>
    <w:p>
      <w:pPr>
        <w:spacing w:after="160" w:line="276"/>
        <w:jc w:val="both"/>
      </w:pPr>
      <w:r>
        <w:rPr>
          <w:rFonts w:ascii="Calibri" w:cs="Calibri" w:eastAsia="Calibri" w:hAnsi="Calibri"/>
          <w:b/>
          <w:bCs/>
          <w:i w:val="false"/>
          <w:iCs w:val="false"/>
          <w:color w:val="000000"/>
          <w:sz w:val="20"/>
          <w:szCs w:val="20"/>
        </w:rPr>
        <w:t xml:space="preserve">THE COMPANY IS NOT PROVIDING INVESTMENT, TAX, OR LEGAL ADVICE. RECIPIENTS SHOULD CONSULT THEIR OWN PROFESSIONAL ADVISORS REGARDING THE TAX AND OTHER CONSEQUENCES OF THEIR EQUITY COMPENSATION.</w:t>
      </w:r>
    </w:p>
    <w:p>
      <w:pPr>
        <w:pBdr>
          <w:bottom w:val="single" w:color="8DB4E2" w:sz="6" w:space="4"/>
        </w:pBdr>
        <w:spacing w:after="120" w:before="120"/>
      </w:pPr>
    </w:p>
    <w:p>
      <w:r>
        <w:br w:type="page"/>
      </w:r>
    </w:p>
    <w:p>
      <w:pPr>
        <w:pStyle w:val="Heading1"/>
        <w:spacing w:after="200" w:before="360"/>
      </w:pPr>
      <w:r>
        <w:rPr>
          <w:rFonts w:ascii="Calibri" w:cs="Calibri" w:eastAsia="Calibri" w:hAnsi="Calibri"/>
          <w:b/>
          <w:bCs/>
          <w:color w:val="1B2A4A"/>
          <w:sz w:val="28"/>
          <w:szCs w:val="28"/>
        </w:rPr>
        <w:t xml:space="preserve">SECTION 6: CURRENCY CERTIFICATE</w:t>
      </w:r>
    </w:p>
    <w:p>
      <w:pPr>
        <w:spacing w:after="160" w:line="276"/>
        <w:jc w:val="both"/>
      </w:pPr>
      <w:r>
        <w:rPr>
          <w:rFonts w:ascii="Calibri" w:cs="Calibri" w:eastAsia="Calibri" w:hAnsi="Calibri"/>
          <w:b w:val="false"/>
          <w:bCs w:val="false"/>
          <w:i w:val="false"/>
          <w:iCs w:val="false"/>
          <w:color w:val="000000"/>
          <w:sz w:val="20"/>
          <w:szCs w:val="20"/>
        </w:rPr>
        <w:t xml:space="preserve">This section certifies the currency and completeness of each component of the Controlled Disclosure Bundle. A current Currency Certificate must be maintained at all times while securities are being offered or sold under Rule 701.</w:t>
      </w:r>
    </w:p>
    <w:p>
      <w:pPr>
        <w:pStyle w:val="Heading2"/>
        <w:spacing w:after="160" w:before="300"/>
      </w:pPr>
      <w:r>
        <w:rPr>
          <w:rFonts w:ascii="Calibri" w:cs="Calibri" w:eastAsia="Calibri" w:hAnsi="Calibri"/>
          <w:b/>
          <w:bCs/>
          <w:color w:val="2E5090"/>
          <w:sz w:val="24"/>
          <w:szCs w:val="24"/>
        </w:rPr>
        <w:t xml:space="preserve">6.1 Component Currency Status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50"/>
        <w:gridCol w:w="1700"/>
        <w:gridCol w:w="850"/>
        <w:gridCol w:w="1000"/>
        <w:gridCol w:w="1000"/>
        <w:gridCol w:w="1500"/>
        <w:gridCol w:w="1560"/>
        <w:gridCol w:w="1100"/>
      </w:tblGrid>
      <w:tr>
        <w:trPr>
          <w:tblHeader/>
        </w:trPr>
        <w:tc>
          <w:tcPr>
            <w:tcW w:type="dxa" w:w="6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Item #</w:t>
            </w:r>
          </w:p>
        </w:tc>
        <w:tc>
          <w:tcPr>
            <w:tcW w:type="dxa" w:w="1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Component</w:t>
            </w:r>
          </w:p>
        </w:tc>
        <w:tc>
          <w:tcPr>
            <w:tcW w:type="dxa" w:w="8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Version</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Period End Date</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Preparation Date</w:t>
            </w:r>
          </w:p>
        </w:tc>
        <w:tc>
          <w:tcPr>
            <w:tcW w:type="dxa" w:w="15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Staleness Deadline</w:t>
            </w:r>
          </w:p>
        </w:tc>
        <w:tc>
          <w:tcPr>
            <w:tcW w:type="dxa" w:w="15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Status</w:t>
            </w:r>
          </w:p>
        </w:tc>
        <w:tc>
          <w:tcPr>
            <w:tcW w:type="dxa" w:w="11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Refresh Owner</w:t>
            </w:r>
          </w:p>
        </w:tc>
      </w:tr>
      <w:tr>
        <w:tc>
          <w:tcPr>
            <w:tcW w:type="dxa" w:w="6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CC-001</w:t>
            </w:r>
          </w:p>
        </w:tc>
        <w:tc>
          <w:tcPr>
            <w:tcW w:type="dxa" w:w="1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Equity Incentive Plan</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[NEXT AMENDMENT DATE OR ANNUAL REVIEW]</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[CURRENT/STALE/REFRESH IN PROGRESS]</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r>
      <w:tr>
        <w:tc>
          <w:tcPr>
            <w:tcW w:type="dxa" w:w="6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CC-002</w:t>
            </w:r>
          </w:p>
        </w:tc>
        <w:tc>
          <w:tcPr>
            <w:tcW w:type="dxa" w:w="1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Form of Option Agreement</w:t>
            </w:r>
          </w:p>
        </w:tc>
        <w:tc>
          <w:tcPr>
            <w:tcW w:type="dxa" w:w="8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[NEXT AMENDMENT DATE]</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[CURRENT/STALE/REFRESH IN PROGRESS]</w:t>
            </w:r>
          </w:p>
        </w:tc>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r>
      <w:tr>
        <w:tc>
          <w:tcPr>
            <w:tcW w:type="dxa" w:w="6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CC-003</w:t>
            </w:r>
          </w:p>
        </w:tc>
        <w:tc>
          <w:tcPr>
            <w:tcW w:type="dxa" w:w="1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Summary of Material Terms</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[180 DAYS FROM PREP DATE]</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[CURRENT/STALE/REFRESH IN PROGRESS]</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r>
      <w:tr>
        <w:tc>
          <w:tcPr>
            <w:tcW w:type="dxa" w:w="6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CC-004</w:t>
            </w:r>
          </w:p>
        </w:tc>
        <w:tc>
          <w:tcPr>
            <w:tcW w:type="dxa" w:w="1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Risk Factors</w:t>
            </w:r>
          </w:p>
        </w:tc>
        <w:tc>
          <w:tcPr>
            <w:tcW w:type="dxa" w:w="8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[MATERIAL CHANGE TRIGGER]</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[CURRENT/STALE/REFRESH IN PROGRESS]</w:t>
            </w:r>
          </w:p>
        </w:tc>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r>
      <w:tr>
        <w:tc>
          <w:tcPr>
            <w:tcW w:type="dxa" w:w="6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CC-005</w:t>
            </w:r>
          </w:p>
        </w:tc>
        <w:tc>
          <w:tcPr>
            <w:tcW w:type="dxa" w:w="1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Balance Sheet</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[180 DAYS FROM PERIOD END]</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[CURRENT/STALE/REFRESH IN PROGRESS]</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r>
      <w:tr>
        <w:tc>
          <w:tcPr>
            <w:tcW w:type="dxa" w:w="6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CC-006</w:t>
            </w:r>
          </w:p>
        </w:tc>
        <w:tc>
          <w:tcPr>
            <w:tcW w:type="dxa" w:w="1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Income Statement</w:t>
            </w:r>
          </w:p>
        </w:tc>
        <w:tc>
          <w:tcPr>
            <w:tcW w:type="dxa" w:w="8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[180 DAYS FROM PERIOD END]</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[CURRENT/STALE/REFRESH IN PROGRESS]</w:t>
            </w:r>
          </w:p>
        </w:tc>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r>
      <w:tr>
        <w:tc>
          <w:tcPr>
            <w:tcW w:type="dxa" w:w="6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CC-007</w:t>
            </w:r>
          </w:p>
        </w:tc>
        <w:tc>
          <w:tcPr>
            <w:tcW w:type="dxa" w:w="1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Notes to Financial Statements</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[WITH FINANCIAL STATEMENTS]</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[CURRENT/STALE/REFRESH IN PROGRESS]</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r>
      <w:tr>
        <w:tc>
          <w:tcPr>
            <w:tcW w:type="dxa" w:w="6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CC-008</w:t>
            </w:r>
          </w:p>
        </w:tc>
        <w:tc>
          <w:tcPr>
            <w:tcW w:type="dxa" w:w="1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Capitalization Summary</w:t>
            </w:r>
          </w:p>
        </w:tc>
        <w:tc>
          <w:tcPr>
            <w:tcW w:type="dxa" w:w="8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[NEXT ISSUANCE OR 90 DAYS]</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[CURRENT/STALE/REFRESH IN PROGRESS]</w:t>
            </w:r>
          </w:p>
        </w:tc>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r>
      <w:tr>
        <w:tc>
          <w:tcPr>
            <w:tcW w:type="dxa" w:w="6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CC-009</w:t>
            </w:r>
          </w:p>
        </w:tc>
        <w:tc>
          <w:tcPr>
            <w:tcW w:type="dxa" w:w="1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409A Valuation Report</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[12 MONTHS OR MATERIAL EVENT]</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[CURRENT/STALE/REFRESH IN PROGRESS]</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r>
    </w:tbl>
    <w:p>
      <w:pPr>
        <w:pStyle w:val="Heading2"/>
        <w:spacing w:after="160" w:before="300"/>
      </w:pPr>
      <w:r>
        <w:rPr>
          <w:rFonts w:ascii="Calibri" w:cs="Calibri" w:eastAsia="Calibri" w:hAnsi="Calibri"/>
          <w:b/>
          <w:bCs/>
          <w:color w:val="2E5090"/>
          <w:sz w:val="24"/>
          <w:szCs w:val="24"/>
        </w:rPr>
        <w:t xml:space="preserve">6.2 Staleness Analysis</w:t>
      </w:r>
    </w:p>
    <w:p>
      <w:pPr>
        <w:spacing w:after="160" w:line="276"/>
        <w:jc w:val="both"/>
      </w:pPr>
      <w:r>
        <w:rPr>
          <w:rFonts w:ascii="Calibri" w:cs="Calibri" w:eastAsia="Calibri" w:hAnsi="Calibri"/>
          <w:b w:val="false"/>
          <w:bCs w:val="false"/>
          <w:i w:val="false"/>
          <w:iCs w:val="false"/>
          <w:color w:val="000000"/>
          <w:sz w:val="20"/>
          <w:szCs w:val="20"/>
        </w:rPr>
        <w:t xml:space="preserve">Each component of the Bundle has a defined staleness period after which it must be refreshed before additional securities may be sold:</w:t>
      </w:r>
    </w:p>
    <w:p>
      <w:pPr>
        <w:pStyle w:val="Heading3"/>
        <w:spacing w:after="120" w:before="240"/>
      </w:pPr>
      <w:r>
        <w:rPr>
          <w:rFonts w:ascii="Calibri" w:cs="Calibri" w:eastAsia="Calibri" w:hAnsi="Calibri"/>
          <w:b/>
          <w:bCs/>
          <w:color w:val="1B2A4A"/>
          <w:sz w:val="22"/>
          <w:szCs w:val="22"/>
        </w:rPr>
        <w:t xml:space="preserve">6.2.1 Financial Statements</w:t>
      </w:r>
    </w:p>
    <w:p>
      <w:pPr>
        <w:spacing w:after="160" w:line="276"/>
        <w:jc w:val="both"/>
      </w:pPr>
      <w:r>
        <w:rPr>
          <w:rFonts w:ascii="Calibri" w:cs="Calibri" w:eastAsia="Calibri" w:hAnsi="Calibri"/>
          <w:b w:val="false"/>
          <w:bCs w:val="false"/>
          <w:i w:val="false"/>
          <w:iCs w:val="false"/>
          <w:color w:val="000000"/>
          <w:sz w:val="20"/>
          <w:szCs w:val="20"/>
        </w:rPr>
        <w:t xml:space="preserve">Under Rule 701(e)(4), the balance sheet must be dated no more than 180 days before the date of sale. This creates a rolling staleness window:</w:t>
      </w:r>
    </w:p>
    <w:p>
      <w:pPr>
        <w:pStyle w:val="ListParagraph"/>
        <w:numPr>
          <w:ilvl w:val="0"/>
          <w:numId w:val="2"/>
        </w:numPr>
        <w:spacing w:after="80" w:line="276"/>
      </w:pPr>
      <w:r>
        <w:rPr>
          <w:rFonts w:ascii="Calibri" w:cs="Calibri" w:eastAsia="Calibri" w:hAnsi="Calibri"/>
          <w:sz w:val="20"/>
          <w:szCs w:val="20"/>
        </w:rPr>
        <w:t xml:space="preserve">Balance sheet dated December 31, [YEAR] is current for sales through June 29, [YEAR+1]</w:t>
      </w:r>
    </w:p>
    <w:p>
      <w:pPr>
        <w:pStyle w:val="ListParagraph"/>
        <w:numPr>
          <w:ilvl w:val="0"/>
          <w:numId w:val="2"/>
        </w:numPr>
        <w:spacing w:after="80" w:line="276"/>
      </w:pPr>
      <w:r>
        <w:rPr>
          <w:rFonts w:ascii="Calibri" w:cs="Calibri" w:eastAsia="Calibri" w:hAnsi="Calibri"/>
          <w:sz w:val="20"/>
          <w:szCs w:val="20"/>
        </w:rPr>
        <w:t xml:space="preserve">If a sale is planned for after the staleness date, updated financial statements must be prepared</w:t>
      </w:r>
    </w:p>
    <w:p>
      <w:pPr>
        <w:pStyle w:val="ListParagraph"/>
        <w:numPr>
          <w:ilvl w:val="0"/>
          <w:numId w:val="2"/>
        </w:numPr>
        <w:spacing w:after="80" w:line="276"/>
      </w:pPr>
      <w:r>
        <w:rPr>
          <w:rFonts w:ascii="Calibri" w:cs="Calibri" w:eastAsia="Calibri" w:hAnsi="Calibri"/>
          <w:sz w:val="20"/>
          <w:szCs w:val="20"/>
        </w:rPr>
        <w:t xml:space="preserve">If the issuer has been in existence for less than 180 days, a 90-day window applies</w:t>
      </w:r>
    </w:p>
    <w:p>
      <w:pPr>
        <w:pStyle w:val="Heading3"/>
        <w:spacing w:after="120" w:before="240"/>
      </w:pPr>
      <w:r>
        <w:rPr>
          <w:rFonts w:ascii="Calibri" w:cs="Calibri" w:eastAsia="Calibri" w:hAnsi="Calibri"/>
          <w:b/>
          <w:bCs/>
          <w:color w:val="1B2A4A"/>
          <w:sz w:val="22"/>
          <w:szCs w:val="22"/>
        </w:rPr>
        <w:t xml:space="preserve">6.2.2 Risk Factors</w:t>
      </w:r>
    </w:p>
    <w:p>
      <w:pPr>
        <w:spacing w:after="160" w:line="276"/>
        <w:jc w:val="both"/>
      </w:pPr>
      <w:r>
        <w:rPr>
          <w:rFonts w:ascii="Calibri" w:cs="Calibri" w:eastAsia="Calibri" w:hAnsi="Calibri"/>
          <w:b w:val="false"/>
          <w:bCs w:val="false"/>
          <w:i w:val="false"/>
          <w:iCs w:val="false"/>
          <w:color w:val="000000"/>
          <w:sz w:val="20"/>
          <w:szCs w:val="20"/>
        </w:rPr>
        <w:t xml:space="preserve">Risk factors become stale upon the occurrence of any material change in the risk profile of the Issuer or the securities. Trigger events include:</w:t>
      </w:r>
    </w:p>
    <w:p>
      <w:pPr>
        <w:pStyle w:val="ListParagraph"/>
        <w:numPr>
          <w:ilvl w:val="0"/>
          <w:numId w:val="2"/>
        </w:numPr>
        <w:spacing w:after="80" w:line="276"/>
      </w:pPr>
      <w:r>
        <w:rPr>
          <w:rFonts w:ascii="Calibri" w:cs="Calibri" w:eastAsia="Calibri" w:hAnsi="Calibri"/>
          <w:sz w:val="20"/>
          <w:szCs w:val="20"/>
        </w:rPr>
        <w:t xml:space="preserve">New round of financing (changes capitalization and dilution risks)</w:t>
      </w:r>
    </w:p>
    <w:p>
      <w:pPr>
        <w:pStyle w:val="ListParagraph"/>
        <w:numPr>
          <w:ilvl w:val="0"/>
          <w:numId w:val="2"/>
        </w:numPr>
        <w:spacing w:after="80" w:line="276"/>
      </w:pPr>
      <w:r>
        <w:rPr>
          <w:rFonts w:ascii="Calibri" w:cs="Calibri" w:eastAsia="Calibri" w:hAnsi="Calibri"/>
          <w:sz w:val="20"/>
          <w:szCs w:val="20"/>
        </w:rPr>
        <w:t xml:space="preserve">Material litigation or regulatory action</w:t>
      </w:r>
    </w:p>
    <w:p>
      <w:pPr>
        <w:pStyle w:val="ListParagraph"/>
        <w:numPr>
          <w:ilvl w:val="0"/>
          <w:numId w:val="2"/>
        </w:numPr>
        <w:spacing w:after="80" w:line="276"/>
      </w:pPr>
      <w:r>
        <w:rPr>
          <w:rFonts w:ascii="Calibri" w:cs="Calibri" w:eastAsia="Calibri" w:hAnsi="Calibri"/>
          <w:sz w:val="20"/>
          <w:szCs w:val="20"/>
        </w:rPr>
        <w:t xml:space="preserve">Loss of key customer, supplier, or employee</w:t>
      </w:r>
    </w:p>
    <w:p>
      <w:pPr>
        <w:pStyle w:val="ListParagraph"/>
        <w:numPr>
          <w:ilvl w:val="0"/>
          <w:numId w:val="2"/>
        </w:numPr>
        <w:spacing w:after="80" w:line="276"/>
      </w:pPr>
      <w:r>
        <w:rPr>
          <w:rFonts w:ascii="Calibri" w:cs="Calibri" w:eastAsia="Calibri" w:hAnsi="Calibri"/>
          <w:sz w:val="20"/>
          <w:szCs w:val="20"/>
        </w:rPr>
        <w:t xml:space="preserve">Change in business model or strategy</w:t>
      </w:r>
    </w:p>
    <w:p>
      <w:pPr>
        <w:pStyle w:val="ListParagraph"/>
        <w:numPr>
          <w:ilvl w:val="0"/>
          <w:numId w:val="2"/>
        </w:numPr>
        <w:spacing w:after="80" w:line="276"/>
      </w:pPr>
      <w:r>
        <w:rPr>
          <w:rFonts w:ascii="Calibri" w:cs="Calibri" w:eastAsia="Calibri" w:hAnsi="Calibri"/>
          <w:sz w:val="20"/>
          <w:szCs w:val="20"/>
        </w:rPr>
        <w:t xml:space="preserve">Material adverse change in financial condition</w:t>
      </w:r>
    </w:p>
    <w:p>
      <w:pPr>
        <w:pStyle w:val="ListParagraph"/>
        <w:numPr>
          <w:ilvl w:val="0"/>
          <w:numId w:val="2"/>
        </w:numPr>
        <w:spacing w:after="80" w:line="276"/>
      </w:pPr>
      <w:r>
        <w:rPr>
          <w:rFonts w:ascii="Calibri" w:cs="Calibri" w:eastAsia="Calibri" w:hAnsi="Calibri"/>
          <w:sz w:val="20"/>
          <w:szCs w:val="20"/>
        </w:rPr>
        <w:t xml:space="preserve">Change in tax law affecting securities treatment</w:t>
      </w:r>
    </w:p>
    <w:p>
      <w:pPr>
        <w:pStyle w:val="Heading3"/>
        <w:spacing w:after="120" w:before="240"/>
      </w:pPr>
      <w:r>
        <w:rPr>
          <w:rFonts w:ascii="Calibri" w:cs="Calibri" w:eastAsia="Calibri" w:hAnsi="Calibri"/>
          <w:b/>
          <w:bCs/>
          <w:color w:val="1B2A4A"/>
          <w:sz w:val="22"/>
          <w:szCs w:val="22"/>
        </w:rPr>
        <w:t xml:space="preserve">6.2.3 Capitalization Summary</w:t>
      </w:r>
    </w:p>
    <w:p>
      <w:pPr>
        <w:spacing w:after="160" w:line="276"/>
        <w:jc w:val="both"/>
      </w:pPr>
      <w:r>
        <w:rPr>
          <w:rFonts w:ascii="Calibri" w:cs="Calibri" w:eastAsia="Calibri" w:hAnsi="Calibri"/>
          <w:b w:val="false"/>
          <w:bCs w:val="false"/>
          <w:i w:val="false"/>
          <w:iCs w:val="false"/>
          <w:color w:val="000000"/>
          <w:sz w:val="20"/>
          <w:szCs w:val="20"/>
        </w:rPr>
        <w:t xml:space="preserve">The capitalization summary becomes stale upon the issuance of any new securities (including under Rule 701) or the conversion/exercise of any outstanding convertible securities, warrants, or options. As a practical matter, the capitalization summary should be updated:</w:t>
      </w:r>
    </w:p>
    <w:p>
      <w:pPr>
        <w:pStyle w:val="ListParagraph"/>
        <w:numPr>
          <w:ilvl w:val="0"/>
          <w:numId w:val="2"/>
        </w:numPr>
        <w:spacing w:after="80" w:line="276"/>
      </w:pPr>
      <w:r>
        <w:rPr>
          <w:rFonts w:ascii="Calibri" w:cs="Calibri" w:eastAsia="Calibri" w:hAnsi="Calibri"/>
          <w:sz w:val="20"/>
          <w:szCs w:val="20"/>
        </w:rPr>
        <w:t xml:space="preserve">After each board meeting at which equity grants are approved</w:t>
      </w:r>
    </w:p>
    <w:p>
      <w:pPr>
        <w:pStyle w:val="ListParagraph"/>
        <w:numPr>
          <w:ilvl w:val="0"/>
          <w:numId w:val="2"/>
        </w:numPr>
        <w:spacing w:after="80" w:line="276"/>
      </w:pPr>
      <w:r>
        <w:rPr>
          <w:rFonts w:ascii="Calibri" w:cs="Calibri" w:eastAsia="Calibri" w:hAnsi="Calibri"/>
          <w:sz w:val="20"/>
          <w:szCs w:val="20"/>
        </w:rPr>
        <w:t xml:space="preserve">After each closing of a financing round</w:t>
      </w:r>
    </w:p>
    <w:p>
      <w:pPr>
        <w:pStyle w:val="ListParagraph"/>
        <w:numPr>
          <w:ilvl w:val="0"/>
          <w:numId w:val="2"/>
        </w:numPr>
        <w:spacing w:after="80" w:line="276"/>
      </w:pPr>
      <w:r>
        <w:rPr>
          <w:rFonts w:ascii="Calibri" w:cs="Calibri" w:eastAsia="Calibri" w:hAnsi="Calibri"/>
          <w:sz w:val="20"/>
          <w:szCs w:val="20"/>
        </w:rPr>
        <w:t xml:space="preserve">After any conversion of convertible notes or SAFEs</w:t>
      </w:r>
    </w:p>
    <w:p>
      <w:pPr>
        <w:pStyle w:val="ListParagraph"/>
        <w:numPr>
          <w:ilvl w:val="0"/>
          <w:numId w:val="2"/>
        </w:numPr>
        <w:spacing w:after="80" w:line="276"/>
      </w:pPr>
      <w:r>
        <w:rPr>
          <w:rFonts w:ascii="Calibri" w:cs="Calibri" w:eastAsia="Calibri" w:hAnsi="Calibri"/>
          <w:sz w:val="20"/>
          <w:szCs w:val="20"/>
        </w:rPr>
        <w:t xml:space="preserve">At least quarterly, regardless of whether any of the above events have occurred</w:t>
      </w:r>
    </w:p>
    <w:p>
      <w:pPr>
        <w:pStyle w:val="Heading2"/>
        <w:spacing w:after="160" w:before="300"/>
      </w:pPr>
      <w:r>
        <w:rPr>
          <w:rFonts w:ascii="Calibri" w:cs="Calibri" w:eastAsia="Calibri" w:hAnsi="Calibri"/>
          <w:b/>
          <w:bCs/>
          <w:color w:val="2E5090"/>
          <w:sz w:val="24"/>
          <w:szCs w:val="24"/>
        </w:rPr>
        <w:t xml:space="preserve">6.3 Material Subsequent Events</w:t>
      </w:r>
    </w:p>
    <w:p>
      <w:pPr>
        <w:spacing w:after="160" w:line="276"/>
        <w:jc w:val="both"/>
      </w:pPr>
      <w:r>
        <w:rPr>
          <w:rFonts w:ascii="Calibri" w:cs="Calibri" w:eastAsia="Calibri" w:hAnsi="Calibri"/>
          <w:b w:val="false"/>
          <w:bCs w:val="false"/>
          <w:i w:val="false"/>
          <w:iCs w:val="false"/>
          <w:color w:val="000000"/>
          <w:sz w:val="20"/>
          <w:szCs w:val="20"/>
        </w:rPr>
        <w:t xml:space="preserve">The following material events have occurred since the preparation dates of the components listed above and must be evaluated for their impact on the currency of the Bundle: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800"/>
        <w:gridCol w:w="2600"/>
        <w:gridCol w:w="1400"/>
        <w:gridCol w:w="1100"/>
        <w:gridCol w:w="1460"/>
        <w:gridCol w:w="1300"/>
      </w:tblGrid>
      <w:tr>
        <w:trPr>
          <w:tblHeader/>
        </w:trPr>
        <w:tc>
          <w:tcPr>
            <w:tcW w:type="dxa" w:w="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Event #</w:t>
            </w:r>
          </w:p>
        </w:tc>
        <w:tc>
          <w:tcPr>
            <w:tcW w:type="dxa" w:w="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Date</w:t>
            </w:r>
          </w:p>
        </w:tc>
        <w:tc>
          <w:tcPr>
            <w:tcW w:type="dxa" w:w="2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Description</w:t>
            </w:r>
          </w:p>
        </w:tc>
        <w:tc>
          <w:tcPr>
            <w:tcW w:type="dxa" w:w="14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Components Affected</w:t>
            </w:r>
          </w:p>
        </w:tc>
        <w:tc>
          <w:tcPr>
            <w:tcW w:type="dxa" w:w="11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Refresh Required?</w:t>
            </w:r>
          </w:p>
        </w:tc>
        <w:tc>
          <w:tcPr>
            <w:tcW w:type="dxa" w:w="14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Refresh Status</w:t>
            </w:r>
          </w:p>
        </w:tc>
        <w:tc>
          <w:tcPr>
            <w:tcW w:type="dxa" w:w="13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Responsible Person</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MSE-001</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2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 MATERIAL EVENT]</w:t>
            </w:r>
          </w:p>
        </w:tc>
        <w:tc>
          <w:tcPr>
            <w:tcW w:type="dxa" w:w="1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[CC-### LIST]</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14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[COMPLETED/IN PROGRESS/PENDING]</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r>
      <w:tr>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MSE-002</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2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 MATERIAL EVENT]</w:t>
            </w:r>
          </w:p>
        </w:tc>
        <w:tc>
          <w:tcPr>
            <w:tcW w:type="dxa" w:w="1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[CC-### LIST]</w:t>
            </w:r>
          </w:p>
        </w:tc>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14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[COMPLETED/IN PROGRESS/PENDING]</w:t>
            </w:r>
          </w:p>
        </w:tc>
        <w:tc>
          <w:tcPr>
            <w:tcW w:type="dxa" w:w="13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 ROWS]</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2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[AS NEEDED]</w:t>
            </w:r>
          </w:p>
        </w:tc>
        <w:tc>
          <w:tcPr>
            <w:tcW w:type="dxa" w:w="1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[CC-### LIST]</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14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[STATUS]</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r>
    </w:tbl>
    <w:p>
      <w:pPr>
        <w:pStyle w:val="Heading2"/>
        <w:spacing w:after="160" w:before="300"/>
      </w:pPr>
      <w:r>
        <w:rPr>
          <w:rFonts w:ascii="Calibri" w:cs="Calibri" w:eastAsia="Calibri" w:hAnsi="Calibri"/>
          <w:b/>
          <w:bCs/>
          <w:color w:val="2E5090"/>
          <w:sz w:val="24"/>
          <w:szCs w:val="24"/>
        </w:rPr>
        <w:t xml:space="preserve">6.4 Currency Certification</w:t>
      </w:r>
    </w:p>
    <w:p>
      <w:pPr>
        <w:spacing w:after="40"/>
      </w:pPr>
    </w:p>
    <w:p>
      <w:pPr>
        <w:spacing w:after="160" w:line="276"/>
        <w:jc w:val="both"/>
      </w:pPr>
      <w:r>
        <w:rPr>
          <w:rFonts w:ascii="Calibri" w:cs="Calibri" w:eastAsia="Calibri" w:hAnsi="Calibri"/>
          <w:b w:val="false"/>
          <w:bCs w:val="false"/>
          <w:i w:val="false"/>
          <w:iCs w:val="false"/>
          <w:color w:val="000000"/>
          <w:sz w:val="20"/>
          <w:szCs w:val="20"/>
        </w:rPr>
        <w:t xml:space="preserve">I, the undersigned, hereby certify that as of the date set forth below:</w:t>
      </w:r>
    </w:p>
    <w:p>
      <w:pPr>
        <w:spacing w:after="40"/>
      </w:pPr>
    </w:p>
    <w:p>
      <w:pPr>
        <w:pStyle w:val="ListParagraph"/>
        <w:numPr>
          <w:ilvl w:val="0"/>
          <w:numId w:val="3"/>
        </w:numPr>
        <w:spacing w:after="100" w:line="276"/>
      </w:pPr>
      <w:r>
        <w:rPr>
          <w:rFonts w:ascii="Calibri" w:cs="Calibri" w:eastAsia="Calibri" w:hAnsi="Calibri"/>
          <w:sz w:val="20"/>
          <w:szCs w:val="20"/>
        </w:rPr>
        <w:t xml:space="preserve">I have reviewed each component of the Controlled Disclosure Bundle identified in this Currency Certificate.</w:t>
      </w:r>
    </w:p>
    <w:p>
      <w:pPr>
        <w:pStyle w:val="ListParagraph"/>
        <w:numPr>
          <w:ilvl w:val="0"/>
          <w:numId w:val="3"/>
        </w:numPr>
        <w:spacing w:after="100" w:line="276"/>
      </w:pPr>
      <w:r>
        <w:rPr>
          <w:rFonts w:ascii="Calibri" w:cs="Calibri" w:eastAsia="Calibri" w:hAnsi="Calibri"/>
          <w:sz w:val="20"/>
          <w:szCs w:val="20"/>
        </w:rPr>
        <w:t xml:space="preserve">Each component that is identified as "Current" in Section 6.1 above is, to the best of my knowledge, current and complete as of the date of this certification.</w:t>
      </w:r>
    </w:p>
    <w:p>
      <w:pPr>
        <w:pStyle w:val="ListParagraph"/>
        <w:numPr>
          <w:ilvl w:val="0"/>
          <w:numId w:val="3"/>
        </w:numPr>
        <w:spacing w:after="100" w:line="276"/>
      </w:pPr>
      <w:r>
        <w:rPr>
          <w:rFonts w:ascii="Calibri" w:cs="Calibri" w:eastAsia="Calibri" w:hAnsi="Calibri"/>
          <w:sz w:val="20"/>
          <w:szCs w:val="20"/>
        </w:rPr>
        <w:t xml:space="preserve">Each component that is identified as "Stale" or "Refresh in Progress" in Section 6.1 above has been flagged for refresh, and no securities will be sold under Rule 701 until all required components are current.</w:t>
      </w:r>
    </w:p>
    <w:p>
      <w:pPr>
        <w:pStyle w:val="ListParagraph"/>
        <w:numPr>
          <w:ilvl w:val="0"/>
          <w:numId w:val="3"/>
        </w:numPr>
        <w:spacing w:after="100" w:line="276"/>
      </w:pPr>
      <w:r>
        <w:rPr>
          <w:rFonts w:ascii="Calibri" w:cs="Calibri" w:eastAsia="Calibri" w:hAnsi="Calibri"/>
          <w:sz w:val="20"/>
          <w:szCs w:val="20"/>
        </w:rPr>
        <w:t xml:space="preserve">All material subsequent events identified in Section 6.3 above have been evaluated for their impact on the currency of the Bundle, and all required refreshes have been completed or are in progress.</w:t>
      </w:r>
    </w:p>
    <w:p>
      <w:pPr>
        <w:pStyle w:val="ListParagraph"/>
        <w:numPr>
          <w:ilvl w:val="0"/>
          <w:numId w:val="3"/>
        </w:numPr>
        <w:spacing w:after="100" w:line="276"/>
      </w:pPr>
      <w:r>
        <w:rPr>
          <w:rFonts w:ascii="Calibri" w:cs="Calibri" w:eastAsia="Calibri" w:hAnsi="Calibri"/>
          <w:sz w:val="20"/>
          <w:szCs w:val="20"/>
        </w:rPr>
        <w:t xml:space="preserve">The financial statements included in the Bundle comply with the requirements of Rule 701(e)(3)–(5).</w:t>
      </w:r>
    </w:p>
    <w:p>
      <w:pPr>
        <w:spacing w:after="120"/>
      </w:pPr>
    </w:p>
    <w:p>
      <w:pPr>
        <w:spacing w:after="160" w:line="276"/>
        <w:jc w:val="both"/>
      </w:pPr>
      <w:r>
        <w:rPr>
          <w:rFonts w:ascii="Calibri" w:cs="Calibri" w:eastAsia="Calibri" w:hAnsi="Calibri"/>
          <w:b w:val="false"/>
          <w:bCs w:val="false"/>
          <w:i w:val="false"/>
          <w:iCs w:val="false"/>
          <w:color w:val="000000"/>
          <w:sz w:val="20"/>
          <w:szCs w:val="20"/>
        </w:rPr>
        <w:t xml:space="preserve">Signature: ________________________________________</w:t>
      </w:r>
    </w:p>
    <w:p>
      <w:pPr>
        <w:spacing w:after="160" w:line="276"/>
        <w:jc w:val="both"/>
      </w:pPr>
      <w:r>
        <w:rPr>
          <w:rFonts w:ascii="Calibri" w:cs="Calibri" w:eastAsia="Calibri" w:hAnsi="Calibri"/>
          <w:b w:val="false"/>
          <w:bCs w:val="false"/>
          <w:i w:val="false"/>
          <w:iCs w:val="false"/>
          <w:color w:val="000000"/>
          <w:sz w:val="20"/>
          <w:szCs w:val="20"/>
        </w:rPr>
        <w:t xml:space="preserve">Name: [NAME]</w:t>
      </w:r>
    </w:p>
    <w:p>
      <w:pPr>
        <w:spacing w:after="160" w:line="276"/>
        <w:jc w:val="both"/>
      </w:pPr>
      <w:r>
        <w:rPr>
          <w:rFonts w:ascii="Calibri" w:cs="Calibri" w:eastAsia="Calibri" w:hAnsi="Calibri"/>
          <w:b w:val="false"/>
          <w:bCs w:val="false"/>
          <w:i w:val="false"/>
          <w:iCs w:val="false"/>
          <w:color w:val="000000"/>
          <w:sz w:val="20"/>
          <w:szCs w:val="20"/>
        </w:rPr>
        <w:t xml:space="preserve">Title: [TITLE]</w:t>
      </w:r>
    </w:p>
    <w:p>
      <w:pPr>
        <w:spacing w:after="160" w:line="276"/>
        <w:jc w:val="both"/>
      </w:pPr>
      <w:r>
        <w:rPr>
          <w:rFonts w:ascii="Calibri" w:cs="Calibri" w:eastAsia="Calibri" w:hAnsi="Calibri"/>
          <w:b w:val="false"/>
          <w:bCs w:val="false"/>
          <w:i w:val="false"/>
          <w:iCs w:val="false"/>
          <w:color w:val="000000"/>
          <w:sz w:val="20"/>
          <w:szCs w:val="20"/>
        </w:rPr>
        <w:t xml:space="preserve">Date: [DATE]</w:t>
      </w:r>
    </w:p>
    <w:p>
      <w:r>
        <w:br w:type="page"/>
      </w:r>
    </w:p>
    <w:p>
      <w:pPr>
        <w:pStyle w:val="Heading1"/>
        <w:spacing w:after="200" w:before="360"/>
      </w:pPr>
      <w:r>
        <w:rPr>
          <w:rFonts w:ascii="Calibri" w:cs="Calibri" w:eastAsia="Calibri" w:hAnsi="Calibri"/>
          <w:b/>
          <w:bCs/>
          <w:color w:val="1B2A4A"/>
          <w:sz w:val="28"/>
          <w:szCs w:val="28"/>
        </w:rPr>
        <w:t xml:space="preserve">SECTION 7: DELIVERY PROTOCOL</w:t>
      </w:r>
    </w:p>
    <w:p>
      <w:pPr>
        <w:spacing w:after="160" w:line="276"/>
        <w:jc w:val="both"/>
      </w:pPr>
      <w:r>
        <w:rPr>
          <w:rFonts w:ascii="Calibri" w:cs="Calibri" w:eastAsia="Calibri" w:hAnsi="Calibri"/>
          <w:b w:val="false"/>
          <w:bCs w:val="false"/>
          <w:i w:val="false"/>
          <w:iCs w:val="false"/>
          <w:color w:val="000000"/>
          <w:sz w:val="20"/>
          <w:szCs w:val="20"/>
        </w:rPr>
        <w:t xml:space="preserve">This section establishes the protocol for delivering the Controlled Disclosure Bundle to each recipient of securities issued under Rule 701. Rule 701(e) requires delivery "a reasonable period of time before the date of sale." The Issuer adopts the following delivery standards.</w:t>
      </w:r>
    </w:p>
    <w:p>
      <w:pPr>
        <w:pStyle w:val="Heading2"/>
        <w:spacing w:after="160" w:before="300"/>
      </w:pPr>
      <w:r>
        <w:rPr>
          <w:rFonts w:ascii="Calibri" w:cs="Calibri" w:eastAsia="Calibri" w:hAnsi="Calibri"/>
          <w:b/>
          <w:bCs/>
          <w:color w:val="2E5090"/>
          <w:sz w:val="24"/>
          <w:szCs w:val="24"/>
        </w:rPr>
        <w:t xml:space="preserve">7.1 Timing Requirements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00"/>
        <w:gridCol w:w="2000"/>
        <w:gridCol w:w="2660"/>
        <w:gridCol w:w="2200"/>
      </w:tblGrid>
      <w:tr>
        <w:trPr>
          <w:tblHeader/>
        </w:trPr>
        <w:tc>
          <w:tcPr>
            <w:tcW w:type="dxa" w:w="25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Timing Standard</w:t>
            </w:r>
          </w:p>
        </w:tc>
        <w:tc>
          <w:tcPr>
            <w:tcW w:type="dxa" w:w="2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Minimum Period</w:t>
            </w:r>
          </w:p>
        </w:tc>
        <w:tc>
          <w:tcPr>
            <w:tcW w:type="dxa" w:w="26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Issuer's Standard</w:t>
            </w:r>
          </w:p>
        </w:tc>
        <w:tc>
          <w:tcPr>
            <w:tcW w:type="dxa" w:w="2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Notes</w:t>
            </w:r>
          </w:p>
        </w:tc>
      </w:tr>
      <w:tr>
        <w:tc>
          <w:tcPr>
            <w:tcW w:type="dxa" w:w="2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"Reasonable period" for Tier 2 disclosure</w:t>
            </w:r>
          </w:p>
        </w:tc>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Not defined by rule; SEC guidance suggests at least several days</w:t>
            </w:r>
          </w:p>
        </w:tc>
        <w:tc>
          <w:tcPr>
            <w:tcW w:type="dxa" w:w="26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[ISSUER'S STANDARD — E.G., 10 BUSINESS DAYS]</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Longer periods provide safer harbor against challenge</w:t>
            </w:r>
          </w:p>
        </w:tc>
      </w:tr>
      <w:tr>
        <w:tc>
          <w:tcPr>
            <w:tcW w:type="dxa" w:w="2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Initial grant (new hire)</w:t>
            </w:r>
          </w:p>
        </w:tc>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[STANDARD PERIOD]</w:t>
            </w:r>
          </w:p>
        </w:tc>
        <w:tc>
          <w:tcPr>
            <w:tcW w:type="dxa" w:w="26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[E.G., CONCURRENT WITH OFFER LETTER]</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[NOTES]</w:t>
            </w:r>
          </w:p>
        </w:tc>
      </w:tr>
      <w:tr>
        <w:tc>
          <w:tcPr>
            <w:tcW w:type="dxa" w:w="2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Annual/refresh grants (existing participants)</w:t>
            </w:r>
          </w:p>
        </w:tc>
        <w:tc>
          <w:tcPr>
            <w:tcW w:type="dxa" w:w="2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[STANDARD PERIOD]</w:t>
            </w:r>
          </w:p>
        </w:tc>
        <w:tc>
          <w:tcPr>
            <w:tcW w:type="dxa" w:w="26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[E.G., 5 BUSINESS DAYS BEFORE GRANT]</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[NOTES]</w:t>
            </w:r>
          </w:p>
        </w:tc>
      </w:tr>
      <w:tr>
        <w:tc>
          <w:tcPr>
            <w:tcW w:type="dxa" w:w="2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Threshold-crossing grants (newly Tier 2)</w:t>
            </w:r>
          </w:p>
        </w:tc>
        <w:tc>
          <w:tcPr>
            <w:tcW w:type="dxa" w:w="2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[STANDARD PERIOD]</w:t>
            </w:r>
          </w:p>
        </w:tc>
        <w:tc>
          <w:tcPr>
            <w:tcW w:type="dxa" w:w="26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[E.G., 15 BUSINESS DAYS BEFORE SALE]</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Longer period advisable when disclosure tier changes</w:t>
            </w:r>
          </w:p>
        </w:tc>
      </w:tr>
    </w:tbl>
    <w:p>
      <w:pPr>
        <w:pStyle w:val="Heading2"/>
        <w:spacing w:after="160" w:before="300"/>
      </w:pPr>
      <w:r>
        <w:rPr>
          <w:rFonts w:ascii="Calibri" w:cs="Calibri" w:eastAsia="Calibri" w:hAnsi="Calibri"/>
          <w:b/>
          <w:bCs/>
          <w:color w:val="2E5090"/>
          <w:sz w:val="24"/>
          <w:szCs w:val="24"/>
        </w:rPr>
        <w:t xml:space="preserve">7.2 Delivery Methods</w:t>
      </w:r>
    </w:p>
    <w:p>
      <w:pPr>
        <w:spacing w:after="160" w:line="276"/>
        <w:jc w:val="both"/>
      </w:pPr>
      <w:r>
        <w:rPr>
          <w:rFonts w:ascii="Calibri" w:cs="Calibri" w:eastAsia="Calibri" w:hAnsi="Calibri"/>
          <w:b w:val="false"/>
          <w:bCs w:val="false"/>
          <w:i w:val="false"/>
          <w:iCs w:val="false"/>
          <w:color w:val="000000"/>
          <w:sz w:val="20"/>
          <w:szCs w:val="20"/>
        </w:rPr>
        <w:t xml:space="preserve">The following delivery methods are approved for use in delivering the Controlled Disclosure Bundle: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3160"/>
        <w:gridCol w:w="1500"/>
        <w:gridCol w:w="1700"/>
        <w:gridCol w:w="1500"/>
      </w:tblGrid>
      <w:tr>
        <w:trPr>
          <w:tblHeader/>
        </w:trPr>
        <w:tc>
          <w:tcPr>
            <w:tcW w:type="dxa" w:w="15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Method</w:t>
            </w:r>
          </w:p>
        </w:tc>
        <w:tc>
          <w:tcPr>
            <w:tcW w:type="dxa" w:w="31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Description</w:t>
            </w:r>
          </w:p>
        </w:tc>
        <w:tc>
          <w:tcPr>
            <w:tcW w:type="dxa" w:w="15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Authentication Required?</w:t>
            </w:r>
          </w:p>
        </w:tc>
        <w:tc>
          <w:tcPr>
            <w:tcW w:type="dxa" w:w="1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Receipt Confirmation</w:t>
            </w:r>
          </w:p>
        </w:tc>
        <w:tc>
          <w:tcPr>
            <w:tcW w:type="dxa" w:w="15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Retention Period</w:t>
            </w:r>
          </w:p>
        </w:tc>
      </w:tr>
      <w:tr>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Secure Portal</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[PLATFORM NAME] — Recipient logs in with unique credentials to access and download the Bundle</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 — [MFA/SSO/PASSWORD]</w:t>
            </w:r>
          </w:p>
        </w:tc>
        <w:tc>
          <w:tcPr>
            <w:tcW w:type="dxa" w:w="1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Platform access log with timestamp</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[RETENTION PERIOD]</w:t>
            </w:r>
          </w:p>
        </w:tc>
      </w:tr>
      <w:tr>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Encrypted Email</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Bundle delivered as encrypted PDF attachment via [EMAIL PLATFORM]</w:t>
            </w:r>
          </w:p>
        </w:tc>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 — [ENCRYPTION METHOD]</w:t>
            </w:r>
          </w:p>
        </w:tc>
        <w:tc>
          <w:tcPr>
            <w:tcW w:type="dxa" w:w="1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Read receipt + delivery confirmation</w:t>
            </w:r>
          </w:p>
        </w:tc>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[RETENTION PERIOD]</w:t>
            </w:r>
          </w:p>
        </w:tc>
      </w:tr>
      <w:tr>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Physical Delivery</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Printed copy delivered in person or by [CARRIER] with tracking</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 — Signature on receipt</w:t>
            </w:r>
          </w:p>
        </w:tc>
        <w:tc>
          <w:tcPr>
            <w:tcW w:type="dxa" w:w="1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Signed receipt or carrier tracking confirmation</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[RETENTION PERIOD]</w:t>
            </w:r>
          </w:p>
        </w:tc>
      </w:tr>
      <w:tr>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DocuSign / E-Signature Platform</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Bundle delivered through [PLATFORM] with embedded acknowledgment</w:t>
            </w:r>
          </w:p>
        </w:tc>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 — Platform authentication</w:t>
            </w:r>
          </w:p>
        </w:tc>
        <w:tc>
          <w:tcPr>
            <w:tcW w:type="dxa" w:w="1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Signed acknowledgment with certificate of completion</w:t>
            </w:r>
          </w:p>
        </w:tc>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[RETENTION PERIOD]</w:t>
            </w:r>
          </w:p>
        </w:tc>
      </w:tr>
    </w:tbl>
    <w:p>
      <w:pPr>
        <w:pStyle w:val="Heading2"/>
        <w:spacing w:after="160" w:before="300"/>
      </w:pPr>
      <w:r>
        <w:rPr>
          <w:rFonts w:ascii="Calibri" w:cs="Calibri" w:eastAsia="Calibri" w:hAnsi="Calibri"/>
          <w:b/>
          <w:bCs/>
          <w:color w:val="2E5090"/>
          <w:sz w:val="24"/>
          <w:szCs w:val="24"/>
        </w:rPr>
        <w:t xml:space="preserve">7.3 Delivery Record</w:t>
      </w:r>
    </w:p>
    <w:p>
      <w:pPr>
        <w:spacing w:after="160" w:line="276"/>
        <w:jc w:val="both"/>
      </w:pPr>
      <w:r>
        <w:rPr>
          <w:rFonts w:ascii="Calibri" w:cs="Calibri" w:eastAsia="Calibri" w:hAnsi="Calibri"/>
          <w:b w:val="false"/>
          <w:bCs w:val="false"/>
          <w:i w:val="false"/>
          <w:iCs w:val="false"/>
          <w:color w:val="000000"/>
          <w:sz w:val="20"/>
          <w:szCs w:val="20"/>
        </w:rPr>
        <w:t xml:space="preserve">For each delivery event, maintain the following record: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4000"/>
        <w:gridCol w:w="3160"/>
      </w:tblGrid>
      <w:tr>
        <w:trPr>
          <w:tblHeader/>
        </w:trPr>
        <w:tc>
          <w:tcPr>
            <w:tcW w:type="dxa" w:w="2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Field</w:t>
            </w:r>
          </w:p>
        </w:tc>
        <w:tc>
          <w:tcPr>
            <w:tcW w:type="dxa" w:w="4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Description</w:t>
            </w:r>
          </w:p>
        </w:tc>
        <w:tc>
          <w:tcPr>
            <w:tcW w:type="dxa" w:w="31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Entry</w:t>
            </w:r>
          </w:p>
        </w:tc>
      </w:tr>
      <w:tr>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Recipient Name</w:t>
            </w:r>
          </w:p>
        </w:tc>
        <w:tc>
          <w:tcPr>
            <w:tcW w:type="dxa" w:w="4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Full legal name of recipient</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r>
      <w:tr>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Recipient ID</w:t>
            </w:r>
          </w:p>
        </w:tc>
        <w:tc>
          <w:tcPr>
            <w:tcW w:type="dxa" w:w="4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Employee/Contractor ID number</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[ID]</w:t>
            </w:r>
          </w:p>
        </w:tc>
      </w:tr>
      <w:tr>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Security Type</w:t>
            </w:r>
          </w:p>
        </w:tc>
        <w:tc>
          <w:tcPr>
            <w:tcW w:type="dxa" w:w="4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Type of security being granted</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[ISO/NSO/RSA/RSU/OTHER]</w:t>
            </w:r>
          </w:p>
        </w:tc>
      </w:tr>
      <w:tr>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Sale Event</w:t>
            </w:r>
          </w:p>
        </w:tc>
        <w:tc>
          <w:tcPr>
            <w:tcW w:type="dxa" w:w="4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Description of the sale triggering delivery</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[GRANT/EXERCISE/SETTLEMENT/VESTING]</w:t>
            </w:r>
          </w:p>
        </w:tc>
      </w:tr>
      <w:tr>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Package Version</w:t>
            </w:r>
          </w:p>
        </w:tc>
        <w:tc>
          <w:tcPr>
            <w:tcW w:type="dxa" w:w="4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 number of the Bundle delivered</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r>
      <w:tr>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Package Hash</w:t>
            </w:r>
          </w:p>
        </w:tc>
        <w:tc>
          <w:tcPr>
            <w:tcW w:type="dxa" w:w="4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SHA-256 hash of the digital Bundle</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[HASH]</w:t>
            </w:r>
          </w:p>
        </w:tc>
      </w:tr>
      <w:tr>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Delivery Date</w:t>
            </w:r>
          </w:p>
        </w:tc>
        <w:tc>
          <w:tcPr>
            <w:tcW w:type="dxa" w:w="4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the Bundle was made available to recipient</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r>
      <w:tr>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Delivery Time</w:t>
            </w:r>
          </w:p>
        </w:tc>
        <w:tc>
          <w:tcPr>
            <w:tcW w:type="dxa" w:w="4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Time the Bundle was made available</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[TIME]</w:t>
            </w:r>
          </w:p>
        </w:tc>
      </w:tr>
      <w:tr>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Timezone</w:t>
            </w:r>
          </w:p>
        </w:tc>
        <w:tc>
          <w:tcPr>
            <w:tcW w:type="dxa" w:w="4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Timezone for delivery date/time</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[TIMEZONE — E.G., ET/CT/PT]</w:t>
            </w:r>
          </w:p>
        </w:tc>
      </w:tr>
      <w:tr>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Delivery Method</w:t>
            </w:r>
          </w:p>
        </w:tc>
        <w:tc>
          <w:tcPr>
            <w:tcW w:type="dxa" w:w="4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Method used for delivery</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[PORTAL/EMAIL/PHYSICAL/DOCUSIGN]</w:t>
            </w:r>
          </w:p>
        </w:tc>
      </w:tr>
      <w:tr>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Access Period</w:t>
            </w:r>
          </w:p>
        </w:tc>
        <w:tc>
          <w:tcPr>
            <w:tcW w:type="dxa" w:w="4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Period during which recipient may access the Bundle</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[START DATE] through [END DATE]</w:t>
            </w:r>
          </w:p>
        </w:tc>
      </w:tr>
      <w:tr>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Authentication Method</w:t>
            </w:r>
          </w:p>
        </w:tc>
        <w:tc>
          <w:tcPr>
            <w:tcW w:type="dxa" w:w="4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How recipient identity was verified</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[MFA/SSO/PASSWORD/IN-PERSON ID]</w:t>
            </w:r>
          </w:p>
        </w:tc>
      </w:tr>
      <w:tr>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Download Confirmed?</w:t>
            </w:r>
          </w:p>
        </w:tc>
        <w:tc>
          <w:tcPr>
            <w:tcW w:type="dxa" w:w="4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Has recipient downloaded or accessed the Bundle?</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 — [DATE/TIME IF YES]</w:t>
            </w:r>
          </w:p>
        </w:tc>
      </w:tr>
      <w:tr>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Print Permitted?</w:t>
            </w:r>
          </w:p>
        </w:tc>
        <w:tc>
          <w:tcPr>
            <w:tcW w:type="dxa" w:w="4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Whether recipient may print the Bundle</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r>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Language</w:t>
            </w:r>
          </w:p>
        </w:tc>
        <w:tc>
          <w:tcPr>
            <w:tcW w:type="dxa" w:w="4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Language of the Bundle</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[ENGLISH / OTHER]</w:t>
            </w:r>
          </w:p>
        </w:tc>
      </w:tr>
      <w:tr>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Accessibility</w:t>
            </w:r>
          </w:p>
        </w:tc>
        <w:tc>
          <w:tcPr>
            <w:tcW w:type="dxa" w:w="4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Accessibility accommodations provided</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[STANDARD / LARGE PRINT / SCREEN READER / OTHER]</w:t>
            </w:r>
          </w:p>
        </w:tc>
      </w:tr>
      <w:tr>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Reminder Sent?</w:t>
            </w:r>
          </w:p>
        </w:tc>
        <w:tc>
          <w:tcPr>
            <w:tcW w:type="dxa" w:w="4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If recipient has not accessed, was a reminder sent?</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[YES/NO/N/A] — [DATE IF YES]</w:t>
            </w:r>
          </w:p>
        </w:tc>
      </w:tr>
      <w:tr>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Failed Delivery?</w:t>
            </w:r>
          </w:p>
        </w:tc>
        <w:tc>
          <w:tcPr>
            <w:tcW w:type="dxa" w:w="4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Was the delivery unsuccessful?</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 — [DESCRIBE IF YES]</w:t>
            </w:r>
          </w:p>
        </w:tc>
      </w:tr>
      <w:tr>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Support Contact</w:t>
            </w:r>
          </w:p>
        </w:tc>
        <w:tc>
          <w:tcPr>
            <w:tcW w:type="dxa" w:w="4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Person recipient may contact with questions</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 — [EMAIL] — [PHONE]</w:t>
            </w:r>
          </w:p>
        </w:tc>
      </w:tr>
    </w:tbl>
    <w:p>
      <w:pPr>
        <w:pStyle w:val="Heading2"/>
        <w:spacing w:after="160" w:before="300"/>
      </w:pPr>
      <w:r>
        <w:rPr>
          <w:rFonts w:ascii="Calibri" w:cs="Calibri" w:eastAsia="Calibri" w:hAnsi="Calibri"/>
          <w:b/>
          <w:bCs/>
          <w:color w:val="2E5090"/>
          <w:sz w:val="24"/>
          <w:szCs w:val="24"/>
        </w:rPr>
        <w:t xml:space="preserve">7.4 Failed Delivery Protocol</w:t>
      </w:r>
    </w:p>
    <w:p>
      <w:pPr>
        <w:spacing w:after="160" w:line="276"/>
        <w:jc w:val="both"/>
      </w:pPr>
      <w:r>
        <w:rPr>
          <w:rFonts w:ascii="Calibri" w:cs="Calibri" w:eastAsia="Calibri" w:hAnsi="Calibri"/>
          <w:b w:val="false"/>
          <w:bCs w:val="false"/>
          <w:i w:val="false"/>
          <w:iCs w:val="false"/>
          <w:color w:val="000000"/>
          <w:sz w:val="20"/>
          <w:szCs w:val="20"/>
        </w:rPr>
        <w:t xml:space="preserve">If a delivery attempt fails (bounce-back, incorrect address, recipient unable to access portal, etc.), the following protocol applies:</w:t>
      </w:r>
    </w:p>
    <w:p>
      <w:pPr>
        <w:pStyle w:val="ListParagraph"/>
        <w:numPr>
          <w:ilvl w:val="0"/>
          <w:numId w:val="3"/>
        </w:numPr>
        <w:spacing w:after="100" w:line="276"/>
      </w:pPr>
      <w:r>
        <w:rPr>
          <w:rFonts w:ascii="Calibri" w:cs="Calibri" w:eastAsia="Calibri" w:hAnsi="Calibri"/>
          <w:sz w:val="20"/>
          <w:szCs w:val="20"/>
        </w:rPr>
        <w:t xml:space="preserve">Log the failed delivery in the Delivery Record (Section 7.3) with the date, time, and reason for failure.</w:t>
      </w:r>
    </w:p>
    <w:p>
      <w:pPr>
        <w:pStyle w:val="ListParagraph"/>
        <w:numPr>
          <w:ilvl w:val="0"/>
          <w:numId w:val="3"/>
        </w:numPr>
        <w:spacing w:after="100" w:line="276"/>
      </w:pPr>
      <w:r>
        <w:rPr>
          <w:rFonts w:ascii="Calibri" w:cs="Calibri" w:eastAsia="Calibri" w:hAnsi="Calibri"/>
          <w:sz w:val="20"/>
          <w:szCs w:val="20"/>
        </w:rPr>
        <w:t xml:space="preserve">Attempt re-delivery using an alternative approved method within [NUMBER] business days.</w:t>
      </w:r>
    </w:p>
    <w:p>
      <w:pPr>
        <w:pStyle w:val="ListParagraph"/>
        <w:numPr>
          <w:ilvl w:val="0"/>
          <w:numId w:val="3"/>
        </w:numPr>
        <w:spacing w:after="100" w:line="276"/>
      </w:pPr>
      <w:r>
        <w:rPr>
          <w:rFonts w:ascii="Calibri" w:cs="Calibri" w:eastAsia="Calibri" w:hAnsi="Calibri"/>
          <w:sz w:val="20"/>
          <w:szCs w:val="20"/>
        </w:rPr>
        <w:t xml:space="preserve">If a second delivery attempt fails, escalate to [ESCALATION CONTACT — NAME/TITLE] within [NUMBER] business days.</w:t>
      </w:r>
    </w:p>
    <w:p>
      <w:pPr>
        <w:pStyle w:val="ListParagraph"/>
        <w:numPr>
          <w:ilvl w:val="0"/>
          <w:numId w:val="3"/>
        </w:numPr>
        <w:spacing w:after="100" w:line="276"/>
      </w:pPr>
      <w:r>
        <w:rPr>
          <w:rFonts w:ascii="Calibri" w:cs="Calibri" w:eastAsia="Calibri" w:hAnsi="Calibri"/>
          <w:sz w:val="20"/>
          <w:szCs w:val="20"/>
        </w:rPr>
        <w:t xml:space="preserve">If delivery cannot be completed before the planned sale date, the sale MUST be deferred until successful delivery is confirmed, or an alternative exemption must be identified.</w:t>
      </w:r>
    </w:p>
    <w:p>
      <w:pPr>
        <w:pStyle w:val="ListParagraph"/>
        <w:numPr>
          <w:ilvl w:val="0"/>
          <w:numId w:val="3"/>
        </w:numPr>
        <w:spacing w:after="100" w:line="276"/>
      </w:pPr>
      <w:r>
        <w:rPr>
          <w:rFonts w:ascii="Calibri" w:cs="Calibri" w:eastAsia="Calibri" w:hAnsi="Calibri"/>
          <w:sz w:val="20"/>
          <w:szCs w:val="20"/>
        </w:rPr>
        <w:t xml:space="preserve">Document the entire failed delivery and re-delivery sequence in the Receipt Evidence section (Section 8).</w:t>
      </w:r>
    </w:p>
    <w:p>
      <w:pPr>
        <w:pStyle w:val="Heading2"/>
        <w:spacing w:after="160" w:before="300"/>
      </w:pPr>
      <w:r>
        <w:rPr>
          <w:rFonts w:ascii="Calibri" w:cs="Calibri" w:eastAsia="Calibri" w:hAnsi="Calibri"/>
          <w:b/>
          <w:bCs/>
          <w:color w:val="2E5090"/>
          <w:sz w:val="24"/>
          <w:szCs w:val="24"/>
        </w:rPr>
        <w:t xml:space="preserve">7.5 Reminder Protocol</w:t>
      </w:r>
    </w:p>
    <w:p>
      <w:pPr>
        <w:spacing w:after="160" w:line="276"/>
        <w:jc w:val="both"/>
      </w:pPr>
      <w:r>
        <w:rPr>
          <w:rFonts w:ascii="Calibri" w:cs="Calibri" w:eastAsia="Calibri" w:hAnsi="Calibri"/>
          <w:b w:val="false"/>
          <w:bCs w:val="false"/>
          <w:i w:val="false"/>
          <w:iCs w:val="false"/>
          <w:color w:val="000000"/>
          <w:sz w:val="20"/>
          <w:szCs w:val="20"/>
        </w:rPr>
        <w:t xml:space="preserve">If a recipient has not accessed or acknowledged the Bundle within [NUMBER] business days of initial delivery, the following reminder sequence applies:</w:t>
      </w:r>
    </w:p>
    <w:p>
      <w:pPr>
        <w:pStyle w:val="ListParagraph"/>
        <w:numPr>
          <w:ilvl w:val="0"/>
          <w:numId w:val="3"/>
        </w:numPr>
        <w:spacing w:after="100" w:line="276"/>
      </w:pPr>
      <w:r>
        <w:rPr>
          <w:rFonts w:ascii="Calibri" w:cs="Calibri" w:eastAsia="Calibri" w:hAnsi="Calibri"/>
          <w:sz w:val="20"/>
          <w:szCs w:val="20"/>
        </w:rPr>
        <w:t xml:space="preserve">First Reminder: Email reminder sent [NUMBER] business days after initial delivery.</w:t>
      </w:r>
    </w:p>
    <w:p>
      <w:pPr>
        <w:pStyle w:val="ListParagraph"/>
        <w:numPr>
          <w:ilvl w:val="0"/>
          <w:numId w:val="3"/>
        </w:numPr>
        <w:spacing w:after="100" w:line="276"/>
      </w:pPr>
      <w:r>
        <w:rPr>
          <w:rFonts w:ascii="Calibri" w:cs="Calibri" w:eastAsia="Calibri" w:hAnsi="Calibri"/>
          <w:sz w:val="20"/>
          <w:szCs w:val="20"/>
        </w:rPr>
        <w:t xml:space="preserve">Second Reminder: Email and [PHONE/TEXT] reminder sent [NUMBER] business days after first reminder.</w:t>
      </w:r>
    </w:p>
    <w:p>
      <w:pPr>
        <w:pStyle w:val="ListParagraph"/>
        <w:numPr>
          <w:ilvl w:val="0"/>
          <w:numId w:val="3"/>
        </w:numPr>
        <w:spacing w:after="100" w:line="276"/>
      </w:pPr>
      <w:r>
        <w:rPr>
          <w:rFonts w:ascii="Calibri" w:cs="Calibri" w:eastAsia="Calibri" w:hAnsi="Calibri"/>
          <w:sz w:val="20"/>
          <w:szCs w:val="20"/>
        </w:rPr>
        <w:t xml:space="preserve">Third Reminder: Direct outreach by [HR CONTACT / MANAGER NAME] within [NUMBER] business days after second reminder.</w:t>
      </w:r>
    </w:p>
    <w:p>
      <w:pPr>
        <w:pStyle w:val="ListParagraph"/>
        <w:numPr>
          <w:ilvl w:val="0"/>
          <w:numId w:val="3"/>
        </w:numPr>
        <w:spacing w:after="100" w:line="276"/>
      </w:pPr>
      <w:r>
        <w:rPr>
          <w:rFonts w:ascii="Calibri" w:cs="Calibri" w:eastAsia="Calibri" w:hAnsi="Calibri"/>
          <w:sz w:val="20"/>
          <w:szCs w:val="20"/>
        </w:rPr>
        <w:t xml:space="preserve">Escalation: If no access or acknowledgment after third reminder, escalate to [ESCALATION CONTACT] and consider deferring the sale.</w:t>
      </w:r>
    </w:p>
    <w:p>
      <w:r>
        <w:br w:type="page"/>
      </w:r>
    </w:p>
    <w:p>
      <w:pPr>
        <w:pStyle w:val="Heading1"/>
        <w:spacing w:after="200" w:before="360"/>
      </w:pPr>
      <w:r>
        <w:rPr>
          <w:rFonts w:ascii="Calibri" w:cs="Calibri" w:eastAsia="Calibri" w:hAnsi="Calibri"/>
          <w:b/>
          <w:bCs/>
          <w:color w:val="1B2A4A"/>
          <w:sz w:val="28"/>
          <w:szCs w:val="28"/>
        </w:rPr>
        <w:t xml:space="preserve">SECTION 8: RECEIPT EVIDENCE</w:t>
      </w:r>
    </w:p>
    <w:p>
      <w:pPr>
        <w:spacing w:after="160" w:line="276"/>
        <w:jc w:val="both"/>
      </w:pPr>
      <w:r>
        <w:rPr>
          <w:rFonts w:ascii="Calibri" w:cs="Calibri" w:eastAsia="Calibri" w:hAnsi="Calibri"/>
          <w:b w:val="false"/>
          <w:bCs w:val="false"/>
          <w:i w:val="false"/>
          <w:iCs w:val="false"/>
          <w:color w:val="000000"/>
          <w:sz w:val="20"/>
          <w:szCs w:val="20"/>
        </w:rPr>
        <w:t xml:space="preserve">This section documents the evidence of receipt by each recipient of the Controlled Disclosure Bundle. Under Rule 701(e), the Issuer bears the burden of demonstrating that the required disclosures were delivered to each recipient a reasonable period of time before the date of sale.</w:t>
      </w:r>
    </w:p>
    <w:p>
      <w:pPr>
        <w:pStyle w:val="Heading2"/>
        <w:spacing w:after="160" w:before="300"/>
      </w:pPr>
      <w:r>
        <w:rPr>
          <w:rFonts w:ascii="Calibri" w:cs="Calibri" w:eastAsia="Calibri" w:hAnsi="Calibri"/>
          <w:b/>
          <w:bCs/>
          <w:color w:val="2E5090"/>
          <w:sz w:val="24"/>
          <w:szCs w:val="24"/>
        </w:rPr>
        <w:t xml:space="preserve">8.1 Platform Access Logs</w:t>
      </w:r>
    </w:p>
    <w:p>
      <w:pPr>
        <w:spacing w:after="160" w:line="276"/>
        <w:jc w:val="both"/>
      </w:pPr>
      <w:r>
        <w:rPr>
          <w:rFonts w:ascii="Calibri" w:cs="Calibri" w:eastAsia="Calibri" w:hAnsi="Calibri"/>
          <w:b w:val="false"/>
          <w:bCs w:val="false"/>
          <w:i w:val="false"/>
          <w:iCs w:val="false"/>
          <w:color w:val="000000"/>
          <w:sz w:val="20"/>
          <w:szCs w:val="20"/>
        </w:rPr>
        <w:t xml:space="preserve">If the Bundle is delivered via a secure portal, maintain the following access log:</w:t>
      </w:r>
    </w:p>
    <w:tbl>
      <w:tblPr>
        <w:tblW w:type="dxa" w:w="8360"/>
        <w:tblBorders>
          <w:top w:val="single" w:color="auto" w:sz="4"/>
          <w:left w:val="single" w:color="auto" w:sz="4"/>
          <w:bottom w:val="single" w:color="auto" w:sz="4"/>
          <w:right w:val="single" w:color="auto" w:sz="4"/>
          <w:insideH w:val="single" w:color="auto" w:sz="4"/>
          <w:insideV w:val="single" w:color="auto" w:sz="4"/>
        </w:tblBorders>
      </w:tblPr>
      <w:tblGrid>
        <w:gridCol w:w="1300"/>
        <w:gridCol w:w="1100"/>
        <w:gridCol w:w="1500"/>
        <w:gridCol w:w="1000"/>
        <w:gridCol w:w="1560"/>
        <w:gridCol w:w="1000"/>
        <w:gridCol w:w="900"/>
      </w:tblGrid>
      <w:tr>
        <w:trPr>
          <w:tblHeader/>
        </w:trPr>
        <w:tc>
          <w:tcPr>
            <w:tcW w:type="dxa" w:w="13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Recipient</w:t>
            </w:r>
          </w:p>
        </w:tc>
        <w:tc>
          <w:tcPr>
            <w:tcW w:type="dxa" w:w="11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Platform</w:t>
            </w:r>
          </w:p>
        </w:tc>
        <w:tc>
          <w:tcPr>
            <w:tcW w:type="dxa" w:w="15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First Access Date/Time</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Total Accesses</w:t>
            </w:r>
          </w:p>
        </w:tc>
        <w:tc>
          <w:tcPr>
            <w:tcW w:type="dxa" w:w="15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Pages/Sections Viewed</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Download?</w:t>
            </w:r>
          </w:p>
        </w:tc>
        <w:tc>
          <w:tcPr>
            <w:tcW w:type="dxa" w:w="9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Time Spent</w:t>
            </w:r>
          </w:p>
        </w:tc>
      </w:tr>
      <w:tr>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[PLATFORM]</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[DATE/TIME]</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[LIST]</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[DURATION]</w:t>
            </w:r>
          </w:p>
        </w:tc>
      </w:tr>
      <w:tr>
        <w:tc>
          <w:tcPr>
            <w:tcW w:type="dxa" w:w="13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[PLATFORM]</w:t>
            </w:r>
          </w:p>
        </w:tc>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[DATE/TIME]</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[LIST]</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[DURATION]</w:t>
            </w:r>
          </w:p>
        </w:tc>
      </w:tr>
      <w:tr>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 ROWS]</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[AS NEEDED]</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[DATE/TIME]</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[LIST]</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[DURATION]</w:t>
            </w:r>
          </w:p>
        </w:tc>
      </w:tr>
    </w:tbl>
    <w:p>
      <w:pPr>
        <w:pStyle w:val="Heading2"/>
        <w:spacing w:after="160" w:before="300"/>
      </w:pPr>
      <w:r>
        <w:rPr>
          <w:rFonts w:ascii="Calibri" w:cs="Calibri" w:eastAsia="Calibri" w:hAnsi="Calibri"/>
          <w:b/>
          <w:bCs/>
          <w:color w:val="2E5090"/>
          <w:sz w:val="24"/>
          <w:szCs w:val="24"/>
        </w:rPr>
        <w:t xml:space="preserve">8.2 Email Delivery Records</w:t>
      </w:r>
    </w:p>
    <w:p>
      <w:pPr>
        <w:spacing w:after="160" w:line="276"/>
        <w:jc w:val="both"/>
      </w:pPr>
      <w:r>
        <w:rPr>
          <w:rFonts w:ascii="Calibri" w:cs="Calibri" w:eastAsia="Calibri" w:hAnsi="Calibri"/>
          <w:b w:val="false"/>
          <w:bCs w:val="false"/>
          <w:i w:val="false"/>
          <w:iCs w:val="false"/>
          <w:color w:val="000000"/>
          <w:sz w:val="20"/>
          <w:szCs w:val="20"/>
        </w:rPr>
        <w:t xml:space="preserve">If the Bundle is delivered via email, maintain the following email delivery records:</w:t>
      </w:r>
    </w:p>
    <w:tbl>
      <w:tblPr>
        <w:tblW w:type="dxa" w:w="8560"/>
        <w:tblBorders>
          <w:top w:val="single" w:color="auto" w:sz="4"/>
          <w:left w:val="single" w:color="auto" w:sz="4"/>
          <w:bottom w:val="single" w:color="auto" w:sz="4"/>
          <w:right w:val="single" w:color="auto" w:sz="4"/>
          <w:insideH w:val="single" w:color="auto" w:sz="4"/>
          <w:insideV w:val="single" w:color="auto" w:sz="4"/>
        </w:tblBorders>
      </w:tblPr>
      <w:tblGrid>
        <w:gridCol w:w="1200"/>
        <w:gridCol w:w="1500"/>
        <w:gridCol w:w="1200"/>
        <w:gridCol w:w="1200"/>
        <w:gridCol w:w="1460"/>
        <w:gridCol w:w="1000"/>
        <w:gridCol w:w="1000"/>
      </w:tblGrid>
      <w:tr>
        <w:trPr>
          <w:tblHeader/>
        </w:trPr>
        <w:tc>
          <w:tcPr>
            <w:tcW w:type="dxa" w:w="1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Recipient</w:t>
            </w:r>
          </w:p>
        </w:tc>
        <w:tc>
          <w:tcPr>
            <w:tcW w:type="dxa" w:w="15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Email Address</w:t>
            </w:r>
          </w:p>
        </w:tc>
        <w:tc>
          <w:tcPr>
            <w:tcW w:type="dxa" w:w="1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Sent Date/Time</w:t>
            </w:r>
          </w:p>
        </w:tc>
        <w:tc>
          <w:tcPr>
            <w:tcW w:type="dxa" w:w="1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Delivery Confirmed?</w:t>
            </w:r>
          </w:p>
        </w:tc>
        <w:tc>
          <w:tcPr>
            <w:tcW w:type="dxa" w:w="14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Read Receipt?</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Attachment Size</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Encryption</w:t>
            </w:r>
          </w:p>
        </w:tc>
      </w:tr>
      <w:tr>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[EMAIL]</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[DATE/TIME]</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14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[YES/NO/NOT REQUESTED]</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[SIZE]</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[METHOD]</w:t>
            </w:r>
          </w:p>
        </w:tc>
      </w:tr>
      <w:tr>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[EMAIL]</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[DATE/TIME]</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14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[YES/NO/NOT REQUESTED]</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[SIZE]</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[METHOD]</w:t>
            </w:r>
          </w:p>
        </w:tc>
      </w:tr>
      <w:tr>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 ROWS]</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[AS NEEDED]</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[DATE/TIME]</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14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[YES/NO/NOT REQUESTED]</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[SIZE]</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[METHOD]</w:t>
            </w:r>
          </w:p>
        </w:tc>
      </w:tr>
    </w:tbl>
    <w:p>
      <w:pPr>
        <w:pStyle w:val="Heading2"/>
        <w:spacing w:after="160" w:before="300"/>
      </w:pPr>
      <w:r>
        <w:rPr>
          <w:rFonts w:ascii="Calibri" w:cs="Calibri" w:eastAsia="Calibri" w:hAnsi="Calibri"/>
          <w:b/>
          <w:bCs/>
          <w:color w:val="2E5090"/>
          <w:sz w:val="24"/>
          <w:szCs w:val="24"/>
        </w:rPr>
        <w:t xml:space="preserve">8.3 Recipient Acknowledgment</w:t>
      </w:r>
    </w:p>
    <w:p>
      <w:pPr>
        <w:spacing w:after="160" w:line="276"/>
        <w:jc w:val="both"/>
      </w:pPr>
      <w:r>
        <w:rPr>
          <w:rFonts w:ascii="Calibri" w:cs="Calibri" w:eastAsia="Calibri" w:hAnsi="Calibri"/>
          <w:b w:val="false"/>
          <w:bCs w:val="false"/>
          <w:i w:val="false"/>
          <w:iCs w:val="false"/>
          <w:color w:val="000000"/>
          <w:sz w:val="20"/>
          <w:szCs w:val="20"/>
        </w:rPr>
        <w:t xml:space="preserve">The following form of acknowledgment is used to document each recipient's receipt of the Bundle. The acknowledgment is designed to confirm receipt and access without containing any release of claims, waiver of rights, or false representation regarding understanding of the materials:</w:t>
      </w:r>
    </w:p>
    <w:p>
      <w:pPr>
        <w:spacing w:after="40"/>
      </w:pPr>
    </w:p>
    <w:p>
      <w:pPr>
        <w:pBdr>
          <w:bottom w:val="single" w:color="8DB4E2" w:sz="6" w:space="4"/>
        </w:pBdr>
        <w:spacing w:after="120" w:before="120"/>
      </w:pPr>
    </w:p>
    <w:p>
      <w:pPr>
        <w:spacing w:after="160" w:line="276"/>
        <w:jc w:val="center"/>
      </w:pPr>
      <w:r>
        <w:rPr>
          <w:rFonts w:ascii="Calibri" w:cs="Calibri" w:eastAsia="Calibri" w:hAnsi="Calibri"/>
          <w:b/>
          <w:bCs/>
          <w:i w:val="false"/>
          <w:iCs w:val="false"/>
          <w:color w:val="000000"/>
          <w:sz w:val="20"/>
          <w:szCs w:val="20"/>
        </w:rPr>
        <w:t xml:space="preserve">ACKNOWLEDGMENT OF RECEIPT</w:t>
      </w:r>
    </w:p>
    <w:p>
      <w:pPr>
        <w:spacing w:after="160" w:line="276"/>
        <w:jc w:val="center"/>
      </w:pPr>
      <w:r>
        <w:rPr>
          <w:rFonts w:ascii="Calibri" w:cs="Calibri" w:eastAsia="Calibri" w:hAnsi="Calibri"/>
          <w:b w:val="false"/>
          <w:bCs w:val="false"/>
          <w:i/>
          <w:iCs/>
          <w:color w:val="000000"/>
          <w:sz w:val="20"/>
          <w:szCs w:val="20"/>
        </w:rPr>
        <w:t xml:space="preserve">(Rule 701 Disclosure Package)</w:t>
      </w:r>
    </w:p>
    <w:p>
      <w:pPr>
        <w:spacing w:after="40"/>
      </w:pPr>
    </w:p>
    <w:p>
      <w:pPr>
        <w:spacing w:after="160" w:line="276"/>
        <w:jc w:val="both"/>
      </w:pPr>
      <w:r>
        <w:rPr>
          <w:rFonts w:ascii="Calibri" w:cs="Calibri" w:eastAsia="Calibri" w:hAnsi="Calibri"/>
          <w:b w:val="false"/>
          <w:bCs w:val="false"/>
          <w:i w:val="false"/>
          <w:iCs w:val="false"/>
          <w:color w:val="000000"/>
          <w:sz w:val="20"/>
          <w:szCs w:val="20"/>
        </w:rPr>
        <w:t xml:space="preserve">I, [RECIPIENT NAME], acknowledge that I have received access to the Rule 701 Disclosure Package (Version [VERSION]) provided by [ISSUER LEGAL NAME] (the "Company") in connection with [DESCRIPTION OF EQUITY AWARD — E.G., "the grant of a stock option to purchase [NUMBER] shares of the Company's [CLASS] stock under the Company's [PLAN NAME]"].</w:t>
      </w:r>
    </w:p>
    <w:p>
      <w:pPr>
        <w:spacing w:after="160" w:line="276"/>
        <w:jc w:val="both"/>
      </w:pPr>
      <w:r>
        <w:rPr>
          <w:rFonts w:ascii="Calibri" w:cs="Calibri" w:eastAsia="Calibri" w:hAnsi="Calibri"/>
          <w:b w:val="false"/>
          <w:bCs w:val="false"/>
          <w:i w:val="false"/>
          <w:iCs w:val="false"/>
          <w:color w:val="000000"/>
          <w:sz w:val="20"/>
          <w:szCs w:val="20"/>
        </w:rPr>
        <w:t xml:space="preserve">I acknowledge that the Package was made available to me on [DELIVERY DATE] via [DELIVERY METHOD] and that I have had a reasonable opportunity to review the materials contained therein.</w:t>
      </w:r>
    </w:p>
    <w:p>
      <w:pPr>
        <w:spacing w:after="160" w:line="276"/>
        <w:jc w:val="both"/>
      </w:pPr>
      <w:r>
        <w:rPr>
          <w:rFonts w:ascii="Calibri" w:cs="Calibri" w:eastAsia="Calibri" w:hAnsi="Calibri"/>
          <w:b w:val="false"/>
          <w:bCs w:val="false"/>
          <w:i w:val="false"/>
          <w:iCs w:val="false"/>
          <w:color w:val="000000"/>
          <w:sz w:val="20"/>
          <w:szCs w:val="20"/>
        </w:rPr>
        <w:t xml:space="preserve">I understand that:</w:t>
      </w:r>
    </w:p>
    <w:p>
      <w:pPr>
        <w:pStyle w:val="ListParagraph"/>
        <w:numPr>
          <w:ilvl w:val="0"/>
          <w:numId w:val="3"/>
        </w:numPr>
        <w:spacing w:after="100" w:line="276"/>
      </w:pPr>
      <w:r>
        <w:rPr>
          <w:rFonts w:ascii="Calibri" w:cs="Calibri" w:eastAsia="Calibri" w:hAnsi="Calibri"/>
          <w:sz w:val="20"/>
          <w:szCs w:val="20"/>
        </w:rPr>
        <w:t xml:space="preserve">The Package contains important information about the securities being offered, including risk factors and financial information.</w:t>
      </w:r>
    </w:p>
    <w:p>
      <w:pPr>
        <w:pStyle w:val="ListParagraph"/>
        <w:numPr>
          <w:ilvl w:val="0"/>
          <w:numId w:val="3"/>
        </w:numPr>
        <w:spacing w:after="100" w:line="276"/>
      </w:pPr>
      <w:r>
        <w:rPr>
          <w:rFonts w:ascii="Calibri" w:cs="Calibri" w:eastAsia="Calibri" w:hAnsi="Calibri"/>
          <w:sz w:val="20"/>
          <w:szCs w:val="20"/>
        </w:rPr>
        <w:t xml:space="preserve">I am encouraged to review the Package carefully and to consult with my own legal, tax, and financial advisors before making any decision regarding my equity compensation.</w:t>
      </w:r>
    </w:p>
    <w:p>
      <w:pPr>
        <w:pStyle w:val="ListParagraph"/>
        <w:numPr>
          <w:ilvl w:val="0"/>
          <w:numId w:val="3"/>
        </w:numPr>
        <w:spacing w:after="100" w:line="276"/>
      </w:pPr>
      <w:r>
        <w:rPr>
          <w:rFonts w:ascii="Calibri" w:cs="Calibri" w:eastAsia="Calibri" w:hAnsi="Calibri"/>
          <w:sz w:val="20"/>
          <w:szCs w:val="20"/>
        </w:rPr>
        <w:t xml:space="preserve">The Company is providing the Package for informational purposes only and is not providing investment, tax, or legal advice.</w:t>
      </w:r>
    </w:p>
    <w:p>
      <w:pPr>
        <w:pStyle w:val="ListParagraph"/>
        <w:numPr>
          <w:ilvl w:val="0"/>
          <w:numId w:val="3"/>
        </w:numPr>
        <w:spacing w:after="100" w:line="276"/>
      </w:pPr>
      <w:r>
        <w:rPr>
          <w:rFonts w:ascii="Calibri" w:cs="Calibri" w:eastAsia="Calibri" w:hAnsi="Calibri"/>
          <w:sz w:val="20"/>
          <w:szCs w:val="20"/>
        </w:rPr>
        <w:t xml:space="preserve">I have an obligation to maintain the confidentiality of the Package in accordance with the terms set forth therein and in my applicable compensatory benefit plan or compensation contract.</w:t>
      </w:r>
    </w:p>
    <w:p>
      <w:pPr>
        <w:spacing w:after="40"/>
      </w:pPr>
    </w:p>
    <w:p>
      <w:pPr>
        <w:spacing w:after="160" w:line="276"/>
        <w:jc w:val="both"/>
      </w:pPr>
      <w:r>
        <w:rPr>
          <w:rFonts w:ascii="Calibri" w:cs="Calibri" w:eastAsia="Calibri" w:hAnsi="Calibri"/>
          <w:b/>
          <w:bCs/>
          <w:i w:val="false"/>
          <w:iCs w:val="false"/>
          <w:color w:val="000000"/>
          <w:sz w:val="20"/>
          <w:szCs w:val="20"/>
        </w:rPr>
        <w:t xml:space="preserve">This acknowledgment does not constitute a waiver of any rights, a release of any claims, or a representation that I have read, understood, or agree with the contents of the Package.</w:t>
      </w:r>
    </w:p>
    <w:p>
      <w:pPr>
        <w:spacing w:after="80"/>
      </w:pPr>
    </w:p>
    <w:p>
      <w:pPr>
        <w:spacing w:after="160" w:line="276"/>
        <w:jc w:val="both"/>
      </w:pPr>
      <w:r>
        <w:rPr>
          <w:rFonts w:ascii="Calibri" w:cs="Calibri" w:eastAsia="Calibri" w:hAnsi="Calibri"/>
          <w:b w:val="false"/>
          <w:bCs w:val="false"/>
          <w:i w:val="false"/>
          <w:iCs w:val="false"/>
          <w:color w:val="000000"/>
          <w:sz w:val="20"/>
          <w:szCs w:val="20"/>
        </w:rPr>
        <w:t xml:space="preserve">Recipient Signature: ________________________________________</w:t>
      </w:r>
    </w:p>
    <w:p>
      <w:pPr>
        <w:spacing w:after="160" w:line="276"/>
        <w:jc w:val="both"/>
      </w:pPr>
      <w:r>
        <w:rPr>
          <w:rFonts w:ascii="Calibri" w:cs="Calibri" w:eastAsia="Calibri" w:hAnsi="Calibri"/>
          <w:b w:val="false"/>
          <w:bCs w:val="false"/>
          <w:i w:val="false"/>
          <w:iCs w:val="false"/>
          <w:color w:val="000000"/>
          <w:sz w:val="20"/>
          <w:szCs w:val="20"/>
        </w:rPr>
        <w:t xml:space="preserve">Printed Name: [RECIPIENT NAME]</w:t>
      </w:r>
    </w:p>
    <w:p>
      <w:pPr>
        <w:spacing w:after="160" w:line="276"/>
        <w:jc w:val="both"/>
      </w:pPr>
      <w:r>
        <w:rPr>
          <w:rFonts w:ascii="Calibri" w:cs="Calibri" w:eastAsia="Calibri" w:hAnsi="Calibri"/>
          <w:b w:val="false"/>
          <w:bCs w:val="false"/>
          <w:i w:val="false"/>
          <w:iCs w:val="false"/>
          <w:color w:val="000000"/>
          <w:sz w:val="20"/>
          <w:szCs w:val="20"/>
        </w:rPr>
        <w:t xml:space="preserve">Date: [DATE]</w:t>
      </w:r>
    </w:p>
    <w:p>
      <w:pPr>
        <w:spacing w:after="160" w:line="276"/>
        <w:jc w:val="both"/>
      </w:pPr>
      <w:r>
        <w:rPr>
          <w:rFonts w:ascii="Calibri" w:cs="Calibri" w:eastAsia="Calibri" w:hAnsi="Calibri"/>
          <w:b w:val="false"/>
          <w:bCs w:val="false"/>
          <w:i w:val="false"/>
          <w:iCs w:val="false"/>
          <w:color w:val="000000"/>
          <w:sz w:val="20"/>
          <w:szCs w:val="20"/>
        </w:rPr>
        <w:t xml:space="preserve">Employee/Contractor ID: [ID]</w:t>
      </w:r>
    </w:p>
    <w:p>
      <w:pPr>
        <w:pBdr>
          <w:bottom w:val="single" w:color="8DB4E2" w:sz="6" w:space="4"/>
        </w:pBdr>
        <w:spacing w:after="120" w:before="120"/>
      </w:pPr>
    </w:p>
    <w:p>
      <w:pPr>
        <w:pStyle w:val="Heading2"/>
        <w:spacing w:after="160" w:before="300"/>
      </w:pPr>
      <w:r>
        <w:rPr>
          <w:rFonts w:ascii="Calibri" w:cs="Calibri" w:eastAsia="Calibri" w:hAnsi="Calibri"/>
          <w:b/>
          <w:bCs/>
          <w:color w:val="2E5090"/>
          <w:sz w:val="24"/>
          <w:szCs w:val="24"/>
        </w:rPr>
        <w:t xml:space="preserve">8.4 Bounce and Access Exceptions</w:t>
      </w:r>
    </w:p>
    <w:p>
      <w:pPr>
        <w:spacing w:after="160" w:line="276"/>
        <w:jc w:val="both"/>
      </w:pPr>
      <w:r>
        <w:rPr>
          <w:rFonts w:ascii="Calibri" w:cs="Calibri" w:eastAsia="Calibri" w:hAnsi="Calibri"/>
          <w:b w:val="false"/>
          <w:bCs w:val="false"/>
          <w:i w:val="false"/>
          <w:iCs w:val="false"/>
          <w:color w:val="000000"/>
          <w:sz w:val="20"/>
          <w:szCs w:val="20"/>
        </w:rPr>
        <w:t xml:space="preserve">Document any delivery failures, access issues, or exceptions: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1000"/>
        <w:gridCol w:w="800"/>
        <w:gridCol w:w="1460"/>
        <w:gridCol w:w="1500"/>
        <w:gridCol w:w="1600"/>
        <w:gridCol w:w="1000"/>
        <w:gridCol w:w="1200"/>
      </w:tblGrid>
      <w:tr>
        <w:trPr>
          <w:tblHeader/>
        </w:trPr>
        <w:tc>
          <w:tcPr>
            <w:tcW w:type="dxa" w:w="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Exception #</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Recipient</w:t>
            </w:r>
          </w:p>
        </w:tc>
        <w:tc>
          <w:tcPr>
            <w:tcW w:type="dxa" w:w="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Date</w:t>
            </w:r>
          </w:p>
        </w:tc>
        <w:tc>
          <w:tcPr>
            <w:tcW w:type="dxa" w:w="14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Type</w:t>
            </w:r>
          </w:p>
        </w:tc>
        <w:tc>
          <w:tcPr>
            <w:tcW w:type="dxa" w:w="15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Description</w:t>
            </w:r>
          </w:p>
        </w:tc>
        <w:tc>
          <w:tcPr>
            <w:tcW w:type="dxa" w:w="1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Resolution</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Resolution Date</w:t>
            </w:r>
          </w:p>
        </w:tc>
        <w:tc>
          <w:tcPr>
            <w:tcW w:type="dxa" w:w="1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Resolved By</w:t>
            </w:r>
          </w:p>
        </w:tc>
      </w:tr>
      <w:tr>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EXC-001</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4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[BOUNCE/ACCESS FAILURE/TIMEOUT]</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 RESOLUTION]</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r>
      <w:tr>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EXC-002</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4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[TYPE]</w:t>
            </w:r>
          </w:p>
        </w:tc>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 RESOLUTION]</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r>
      <w:tr>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 ROWS]</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[AS NEEDED]</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4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[TYPE]</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[RESOLUTION]</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r>
    </w:tbl>
    <w:p>
      <w:pPr>
        <w:pStyle w:val="Heading2"/>
        <w:spacing w:after="160" w:before="300"/>
      </w:pPr>
      <w:r>
        <w:rPr>
          <w:rFonts w:ascii="Calibri" w:cs="Calibri" w:eastAsia="Calibri" w:hAnsi="Calibri"/>
          <w:b/>
          <w:bCs/>
          <w:color w:val="2E5090"/>
          <w:sz w:val="24"/>
          <w:szCs w:val="24"/>
        </w:rPr>
        <w:t xml:space="preserve">8.5 Custodian Certificate</w:t>
      </w:r>
    </w:p>
    <w:p>
      <w:pPr>
        <w:spacing w:after="160" w:line="276"/>
        <w:jc w:val="both"/>
      </w:pPr>
      <w:r>
        <w:rPr>
          <w:rFonts w:ascii="Calibri" w:cs="Calibri" w:eastAsia="Calibri" w:hAnsi="Calibri"/>
          <w:b w:val="false"/>
          <w:bCs w:val="false"/>
          <w:i w:val="false"/>
          <w:iCs w:val="false"/>
          <w:color w:val="000000"/>
          <w:sz w:val="20"/>
          <w:szCs w:val="20"/>
        </w:rPr>
        <w:t xml:space="preserve">The following certificate is executed by the person responsible for maintaining the delivery and receipt records:</w:t>
      </w:r>
    </w:p>
    <w:p>
      <w:pPr>
        <w:spacing w:after="40"/>
      </w:pPr>
    </w:p>
    <w:p>
      <w:pPr>
        <w:pBdr>
          <w:bottom w:val="single" w:color="8DB4E2" w:sz="6" w:space="4"/>
        </w:pBdr>
        <w:spacing w:after="120" w:before="120"/>
      </w:pPr>
    </w:p>
    <w:p>
      <w:pPr>
        <w:spacing w:after="160" w:line="276"/>
        <w:jc w:val="center"/>
      </w:pPr>
      <w:r>
        <w:rPr>
          <w:rFonts w:ascii="Calibri" w:cs="Calibri" w:eastAsia="Calibri" w:hAnsi="Calibri"/>
          <w:b/>
          <w:bCs/>
          <w:i w:val="false"/>
          <w:iCs w:val="false"/>
          <w:color w:val="000000"/>
          <w:sz w:val="20"/>
          <w:szCs w:val="20"/>
        </w:rPr>
        <w:t xml:space="preserve">CUSTODIAN CERTIFICATE</w:t>
      </w:r>
    </w:p>
    <w:p>
      <w:pPr>
        <w:spacing w:after="40"/>
      </w:pPr>
    </w:p>
    <w:p>
      <w:pPr>
        <w:spacing w:after="160" w:line="276"/>
        <w:jc w:val="both"/>
      </w:pPr>
      <w:r>
        <w:rPr>
          <w:rFonts w:ascii="Calibri" w:cs="Calibri" w:eastAsia="Calibri" w:hAnsi="Calibri"/>
          <w:b w:val="false"/>
          <w:bCs w:val="false"/>
          <w:i w:val="false"/>
          <w:iCs w:val="false"/>
          <w:color w:val="000000"/>
          <w:sz w:val="20"/>
          <w:szCs w:val="20"/>
        </w:rPr>
        <w:t xml:space="preserve">I, [CUSTODIAN NAME], [TITLE], hereby certify that:</w:t>
      </w:r>
    </w:p>
    <w:p>
      <w:pPr>
        <w:pStyle w:val="ListParagraph"/>
        <w:numPr>
          <w:ilvl w:val="0"/>
          <w:numId w:val="3"/>
        </w:numPr>
        <w:spacing w:after="100" w:line="276"/>
      </w:pPr>
      <w:r>
        <w:rPr>
          <w:rFonts w:ascii="Calibri" w:cs="Calibri" w:eastAsia="Calibri" w:hAnsi="Calibri"/>
          <w:sz w:val="20"/>
          <w:szCs w:val="20"/>
        </w:rPr>
        <w:t xml:space="preserve">I am the designated custodian of the Rule 701 delivery and receipt records for [ISSUER LEGAL NAME].</w:t>
      </w:r>
    </w:p>
    <w:p>
      <w:pPr>
        <w:pStyle w:val="ListParagraph"/>
        <w:numPr>
          <w:ilvl w:val="0"/>
          <w:numId w:val="3"/>
        </w:numPr>
        <w:spacing w:after="100" w:line="276"/>
      </w:pPr>
      <w:r>
        <w:rPr>
          <w:rFonts w:ascii="Calibri" w:cs="Calibri" w:eastAsia="Calibri" w:hAnsi="Calibri"/>
          <w:sz w:val="20"/>
          <w:szCs w:val="20"/>
        </w:rPr>
        <w:t xml:space="preserve">The records maintained in this Section 8 are true, complete, and accurate to the best of my knowledge as of the date set forth below.</w:t>
      </w:r>
    </w:p>
    <w:p>
      <w:pPr>
        <w:pStyle w:val="ListParagraph"/>
        <w:numPr>
          <w:ilvl w:val="0"/>
          <w:numId w:val="3"/>
        </w:numPr>
        <w:spacing w:after="100" w:line="276"/>
      </w:pPr>
      <w:r>
        <w:rPr>
          <w:rFonts w:ascii="Calibri" w:cs="Calibri" w:eastAsia="Calibri" w:hAnsi="Calibri"/>
          <w:sz w:val="20"/>
          <w:szCs w:val="20"/>
        </w:rPr>
        <w:t xml:space="preserve">All delivery events have been logged in accordance with the Delivery Protocol (Section 7).</w:t>
      </w:r>
    </w:p>
    <w:p>
      <w:pPr>
        <w:pStyle w:val="ListParagraph"/>
        <w:numPr>
          <w:ilvl w:val="0"/>
          <w:numId w:val="3"/>
        </w:numPr>
        <w:spacing w:after="100" w:line="276"/>
      </w:pPr>
      <w:r>
        <w:rPr>
          <w:rFonts w:ascii="Calibri" w:cs="Calibri" w:eastAsia="Calibri" w:hAnsi="Calibri"/>
          <w:sz w:val="20"/>
          <w:szCs w:val="20"/>
        </w:rPr>
        <w:t xml:space="preserve">All receipt acknowledgments have been obtained or, where not obtained, the reasons for non-receipt have been documented in Section 8.4.</w:t>
      </w:r>
    </w:p>
    <w:p>
      <w:pPr>
        <w:pStyle w:val="ListParagraph"/>
        <w:numPr>
          <w:ilvl w:val="0"/>
          <w:numId w:val="3"/>
        </w:numPr>
        <w:spacing w:after="100" w:line="276"/>
      </w:pPr>
      <w:r>
        <w:rPr>
          <w:rFonts w:ascii="Calibri" w:cs="Calibri" w:eastAsia="Calibri" w:hAnsi="Calibri"/>
          <w:sz w:val="20"/>
          <w:szCs w:val="20"/>
        </w:rPr>
        <w:t xml:space="preserve">The records are maintained in [DESCRIBE RECORD-KEEPING SYSTEM] and are available for inspection by authorized persons.</w:t>
      </w:r>
    </w:p>
    <w:p>
      <w:pPr>
        <w:pStyle w:val="ListParagraph"/>
        <w:numPr>
          <w:ilvl w:val="0"/>
          <w:numId w:val="3"/>
        </w:numPr>
        <w:spacing w:after="100" w:line="276"/>
      </w:pPr>
      <w:r>
        <w:rPr>
          <w:rFonts w:ascii="Calibri" w:cs="Calibri" w:eastAsia="Calibri" w:hAnsi="Calibri"/>
          <w:sz w:val="20"/>
          <w:szCs w:val="20"/>
        </w:rPr>
        <w:t xml:space="preserve">No acknowledgment form includes any release of claims, waiver of rights, or false representation by the recipient.</w:t>
      </w:r>
    </w:p>
    <w:p>
      <w:pPr>
        <w:spacing w:after="80"/>
      </w:pPr>
    </w:p>
    <w:p>
      <w:pPr>
        <w:spacing w:after="160" w:line="276"/>
        <w:jc w:val="both"/>
      </w:pPr>
      <w:r>
        <w:rPr>
          <w:rFonts w:ascii="Calibri" w:cs="Calibri" w:eastAsia="Calibri" w:hAnsi="Calibri"/>
          <w:b w:val="false"/>
          <w:bCs w:val="false"/>
          <w:i w:val="false"/>
          <w:iCs w:val="false"/>
          <w:color w:val="000000"/>
          <w:sz w:val="20"/>
          <w:szCs w:val="20"/>
        </w:rPr>
        <w:t xml:space="preserve">Signature: ________________________________________</w:t>
      </w:r>
    </w:p>
    <w:p>
      <w:pPr>
        <w:spacing w:after="160" w:line="276"/>
        <w:jc w:val="both"/>
      </w:pPr>
      <w:r>
        <w:rPr>
          <w:rFonts w:ascii="Calibri" w:cs="Calibri" w:eastAsia="Calibri" w:hAnsi="Calibri"/>
          <w:b w:val="false"/>
          <w:bCs w:val="false"/>
          <w:i w:val="false"/>
          <w:iCs w:val="false"/>
          <w:color w:val="000000"/>
          <w:sz w:val="20"/>
          <w:szCs w:val="20"/>
        </w:rPr>
        <w:t xml:space="preserve">Name: [CUSTODIAN NAME]</w:t>
      </w:r>
    </w:p>
    <w:p>
      <w:pPr>
        <w:spacing w:after="160" w:line="276"/>
        <w:jc w:val="both"/>
      </w:pPr>
      <w:r>
        <w:rPr>
          <w:rFonts w:ascii="Calibri" w:cs="Calibri" w:eastAsia="Calibri" w:hAnsi="Calibri"/>
          <w:b w:val="false"/>
          <w:bCs w:val="false"/>
          <w:i w:val="false"/>
          <w:iCs w:val="false"/>
          <w:color w:val="000000"/>
          <w:sz w:val="20"/>
          <w:szCs w:val="20"/>
        </w:rPr>
        <w:t xml:space="preserve">Title: [TITLE]</w:t>
      </w:r>
    </w:p>
    <w:p>
      <w:pPr>
        <w:spacing w:after="160" w:line="276"/>
        <w:jc w:val="both"/>
      </w:pPr>
      <w:r>
        <w:rPr>
          <w:rFonts w:ascii="Calibri" w:cs="Calibri" w:eastAsia="Calibri" w:hAnsi="Calibri"/>
          <w:b w:val="false"/>
          <w:bCs w:val="false"/>
          <w:i w:val="false"/>
          <w:iCs w:val="false"/>
          <w:color w:val="000000"/>
          <w:sz w:val="20"/>
          <w:szCs w:val="20"/>
        </w:rPr>
        <w:t xml:space="preserve">Date: [DATE]</w:t>
      </w:r>
    </w:p>
    <w:p>
      <w:pPr>
        <w:pBdr>
          <w:bottom w:val="single" w:color="8DB4E2" w:sz="6" w:space="4"/>
        </w:pBdr>
        <w:spacing w:after="120" w:before="120"/>
      </w:pPr>
    </w:p>
    <w:p>
      <w:r>
        <w:br w:type="page"/>
      </w:r>
    </w:p>
    <w:p>
      <w:pPr>
        <w:pStyle w:val="Heading1"/>
        <w:spacing w:after="200" w:before="360"/>
      </w:pPr>
      <w:r>
        <w:rPr>
          <w:rFonts w:ascii="Calibri" w:cs="Calibri" w:eastAsia="Calibri" w:hAnsi="Calibri"/>
          <w:b/>
          <w:bCs/>
          <w:color w:val="1B2A4A"/>
          <w:sz w:val="28"/>
          <w:szCs w:val="28"/>
        </w:rPr>
        <w:t xml:space="preserve">SECTION 9: CONFIDENTIALITY AND PRIVACY</w:t>
      </w:r>
    </w:p>
    <w:p>
      <w:pPr>
        <w:spacing w:after="160" w:line="276"/>
        <w:jc w:val="both"/>
      </w:pPr>
      <w:r>
        <w:rPr>
          <w:rFonts w:ascii="Calibri" w:cs="Calibri" w:eastAsia="Calibri" w:hAnsi="Calibri"/>
          <w:b w:val="false"/>
          <w:bCs w:val="false"/>
          <w:i w:val="false"/>
          <w:iCs w:val="false"/>
          <w:color w:val="000000"/>
          <w:sz w:val="20"/>
          <w:szCs w:val="20"/>
        </w:rPr>
        <w:t xml:space="preserve">This section establishes the confidentiality obligations and privacy protections applicable to the information contained in the Rule 701 Disclosure Package. The Issuer must balance the disclosure obligations of Rule 701 against the legitimate need to protect confidential business and personal information.</w:t>
      </w:r>
    </w:p>
    <w:p>
      <w:pPr>
        <w:pStyle w:val="Heading2"/>
        <w:spacing w:after="160" w:before="300"/>
      </w:pPr>
      <w:r>
        <w:rPr>
          <w:rFonts w:ascii="Calibri" w:cs="Calibri" w:eastAsia="Calibri" w:hAnsi="Calibri"/>
          <w:b/>
          <w:bCs/>
          <w:color w:val="2E5090"/>
          <w:sz w:val="24"/>
          <w:szCs w:val="24"/>
        </w:rPr>
        <w:t xml:space="preserve">9.1 Proportionate Access Controls</w:t>
      </w:r>
    </w:p>
    <w:p>
      <w:pPr>
        <w:spacing w:after="160" w:line="276"/>
        <w:jc w:val="both"/>
      </w:pPr>
      <w:r>
        <w:rPr>
          <w:rFonts w:ascii="Calibri" w:cs="Calibri" w:eastAsia="Calibri" w:hAnsi="Calibri"/>
          <w:b w:val="false"/>
          <w:bCs w:val="false"/>
          <w:i w:val="false"/>
          <w:iCs w:val="false"/>
          <w:color w:val="000000"/>
          <w:sz w:val="20"/>
          <w:szCs w:val="20"/>
        </w:rPr>
        <w:t xml:space="preserve">The following access controls are implemented to protect the confidentiality of the information contained in the Bundle:</w:t>
      </w:r>
    </w:p>
    <w:p>
      <w:pPr>
        <w:pStyle w:val="Heading3"/>
        <w:spacing w:after="120" w:before="240"/>
      </w:pPr>
      <w:r>
        <w:rPr>
          <w:rFonts w:ascii="Calibri" w:cs="Calibri" w:eastAsia="Calibri" w:hAnsi="Calibri"/>
          <w:b/>
          <w:bCs/>
          <w:color w:val="1B2A4A"/>
          <w:sz w:val="22"/>
          <w:szCs w:val="22"/>
        </w:rPr>
        <w:t xml:space="preserve">9.1.1 Physical Controls</w:t>
      </w:r>
    </w:p>
    <w:p>
      <w:pPr>
        <w:pStyle w:val="ListParagraph"/>
        <w:numPr>
          <w:ilvl w:val="0"/>
          <w:numId w:val="2"/>
        </w:numPr>
        <w:spacing w:after="80" w:line="276"/>
      </w:pPr>
      <w:r>
        <w:rPr>
          <w:rFonts w:ascii="Calibri" w:cs="Calibri" w:eastAsia="Calibri" w:hAnsi="Calibri"/>
          <w:sz w:val="20"/>
          <w:szCs w:val="20"/>
        </w:rPr>
        <w:t xml:space="preserve">Printed copies of the Bundle are numbered and tracked by serial number</w:t>
      </w:r>
    </w:p>
    <w:p>
      <w:pPr>
        <w:pStyle w:val="ListParagraph"/>
        <w:numPr>
          <w:ilvl w:val="0"/>
          <w:numId w:val="2"/>
        </w:numPr>
        <w:spacing w:after="80" w:line="276"/>
      </w:pPr>
      <w:r>
        <w:rPr>
          <w:rFonts w:ascii="Calibri" w:cs="Calibri" w:eastAsia="Calibri" w:hAnsi="Calibri"/>
          <w:sz w:val="20"/>
          <w:szCs w:val="20"/>
        </w:rPr>
        <w:t xml:space="preserve">Printed copies are distributed in sealed envelopes marked "CONFIDENTIAL"</w:t>
      </w:r>
    </w:p>
    <w:p>
      <w:pPr>
        <w:pStyle w:val="ListParagraph"/>
        <w:numPr>
          <w:ilvl w:val="0"/>
          <w:numId w:val="2"/>
        </w:numPr>
        <w:spacing w:after="80" w:line="276"/>
      </w:pPr>
      <w:r>
        <w:rPr>
          <w:rFonts w:ascii="Calibri" w:cs="Calibri" w:eastAsia="Calibri" w:hAnsi="Calibri"/>
          <w:sz w:val="20"/>
          <w:szCs w:val="20"/>
        </w:rPr>
        <w:t xml:space="preserve">Recipients are required to store printed copies in a secure location</w:t>
      </w:r>
    </w:p>
    <w:p>
      <w:pPr>
        <w:pStyle w:val="ListParagraph"/>
        <w:numPr>
          <w:ilvl w:val="0"/>
          <w:numId w:val="2"/>
        </w:numPr>
        <w:spacing w:after="80" w:line="276"/>
      </w:pPr>
      <w:r>
        <w:rPr>
          <w:rFonts w:ascii="Calibri" w:cs="Calibri" w:eastAsia="Calibri" w:hAnsi="Calibri"/>
          <w:sz w:val="20"/>
          <w:szCs w:val="20"/>
        </w:rPr>
        <w:t xml:space="preserve">Printed copies must be returned or destroyed upon request by the Issuer or upon termination of the recipient's service relationship</w:t>
      </w:r>
    </w:p>
    <w:p>
      <w:pPr>
        <w:pStyle w:val="Heading3"/>
        <w:spacing w:after="120" w:before="240"/>
      </w:pPr>
      <w:r>
        <w:rPr>
          <w:rFonts w:ascii="Calibri" w:cs="Calibri" w:eastAsia="Calibri" w:hAnsi="Calibri"/>
          <w:b/>
          <w:bCs/>
          <w:color w:val="1B2A4A"/>
          <w:sz w:val="22"/>
          <w:szCs w:val="22"/>
        </w:rPr>
        <w:t xml:space="preserve">9.1.2 Digital Controls</w:t>
      </w:r>
    </w:p>
    <w:p>
      <w:pPr>
        <w:pStyle w:val="ListParagraph"/>
        <w:numPr>
          <w:ilvl w:val="0"/>
          <w:numId w:val="2"/>
        </w:numPr>
        <w:spacing w:after="80" w:line="276"/>
      </w:pPr>
      <w:r>
        <w:rPr>
          <w:rFonts w:ascii="Calibri" w:cs="Calibri" w:eastAsia="Calibri" w:hAnsi="Calibri"/>
          <w:sz w:val="20"/>
          <w:szCs w:val="20"/>
        </w:rPr>
        <w:t xml:space="preserve">Digital copies are distributed via [PLATFORM] with recipient-specific access credentials</w:t>
      </w:r>
    </w:p>
    <w:p>
      <w:pPr>
        <w:pStyle w:val="ListParagraph"/>
        <w:numPr>
          <w:ilvl w:val="0"/>
          <w:numId w:val="2"/>
        </w:numPr>
        <w:spacing w:after="80" w:line="276"/>
      </w:pPr>
      <w:r>
        <w:rPr>
          <w:rFonts w:ascii="Calibri" w:cs="Calibri" w:eastAsia="Calibri" w:hAnsi="Calibri"/>
          <w:sz w:val="20"/>
          <w:szCs w:val="20"/>
        </w:rPr>
        <w:t xml:space="preserve">Digital copies are [ENCRYPTED / PASSWORD-PROTECTED / DRM-PROTECTED]</w:t>
      </w:r>
    </w:p>
    <w:p>
      <w:pPr>
        <w:pStyle w:val="ListParagraph"/>
        <w:numPr>
          <w:ilvl w:val="0"/>
          <w:numId w:val="2"/>
        </w:numPr>
        <w:spacing w:after="80" w:line="276"/>
      </w:pPr>
      <w:r>
        <w:rPr>
          <w:rFonts w:ascii="Calibri" w:cs="Calibri" w:eastAsia="Calibri" w:hAnsi="Calibri"/>
          <w:sz w:val="20"/>
          <w:szCs w:val="20"/>
        </w:rPr>
        <w:t xml:space="preserve">[WATERMARKING] — Each digital copy is watermarked with the recipient's name and the date of access</w:t>
      </w:r>
    </w:p>
    <w:p>
      <w:pPr>
        <w:pStyle w:val="ListParagraph"/>
        <w:numPr>
          <w:ilvl w:val="0"/>
          <w:numId w:val="2"/>
        </w:numPr>
        <w:spacing w:after="80" w:line="276"/>
      </w:pPr>
      <w:r>
        <w:rPr>
          <w:rFonts w:ascii="Calibri" w:cs="Calibri" w:eastAsia="Calibri" w:hAnsi="Calibri"/>
          <w:sz w:val="20"/>
          <w:szCs w:val="20"/>
        </w:rPr>
        <w:t xml:space="preserve">[COPY/PASTE RESTRICTIONS] — [ENABLED/DISABLED]</w:t>
      </w:r>
    </w:p>
    <w:p>
      <w:pPr>
        <w:pStyle w:val="ListParagraph"/>
        <w:numPr>
          <w:ilvl w:val="0"/>
          <w:numId w:val="2"/>
        </w:numPr>
        <w:spacing w:after="80" w:line="276"/>
      </w:pPr>
      <w:r>
        <w:rPr>
          <w:rFonts w:ascii="Calibri" w:cs="Calibri" w:eastAsia="Calibri" w:hAnsi="Calibri"/>
          <w:sz w:val="20"/>
          <w:szCs w:val="20"/>
        </w:rPr>
        <w:t xml:space="preserve">[PRINT RESTRICTIONS] — [ENABLED/DISABLED/LIMITED TO [NUMBER] COPIES]</w:t>
      </w:r>
    </w:p>
    <w:p>
      <w:pPr>
        <w:pStyle w:val="ListParagraph"/>
        <w:numPr>
          <w:ilvl w:val="0"/>
          <w:numId w:val="2"/>
        </w:numPr>
        <w:spacing w:after="80" w:line="276"/>
      </w:pPr>
      <w:r>
        <w:rPr>
          <w:rFonts w:ascii="Calibri" w:cs="Calibri" w:eastAsia="Calibri" w:hAnsi="Calibri"/>
          <w:sz w:val="20"/>
          <w:szCs w:val="20"/>
        </w:rPr>
        <w:t xml:space="preserve">[SCREENSHOT RESTRICTIONS] — [ENABLED/DISABLED]</w:t>
      </w:r>
    </w:p>
    <w:p>
      <w:pPr>
        <w:pStyle w:val="ListParagraph"/>
        <w:numPr>
          <w:ilvl w:val="0"/>
          <w:numId w:val="2"/>
        </w:numPr>
        <w:spacing w:after="80" w:line="276"/>
      </w:pPr>
      <w:r>
        <w:rPr>
          <w:rFonts w:ascii="Calibri" w:cs="Calibri" w:eastAsia="Calibri" w:hAnsi="Calibri"/>
          <w:sz w:val="20"/>
          <w:szCs w:val="20"/>
        </w:rPr>
        <w:t xml:space="preserve">[ACCESS EXPIRATION] — Digital access expires on [DATE OR PERIOD AFTER DELIVERY]</w:t>
      </w:r>
    </w:p>
    <w:p>
      <w:pPr>
        <w:pStyle w:val="ListParagraph"/>
        <w:numPr>
          <w:ilvl w:val="0"/>
          <w:numId w:val="2"/>
        </w:numPr>
        <w:spacing w:after="80" w:line="276"/>
      </w:pPr>
      <w:r>
        <w:rPr>
          <w:rFonts w:ascii="Calibri" w:cs="Calibri" w:eastAsia="Calibri" w:hAnsi="Calibri"/>
          <w:sz w:val="20"/>
          <w:szCs w:val="20"/>
        </w:rPr>
        <w:t xml:space="preserve">[SESSION LOGGING] — All access sessions are logged with timestamp, duration, and pages viewed</w:t>
      </w:r>
    </w:p>
    <w:p>
      <w:pPr>
        <w:pStyle w:val="Heading3"/>
        <w:spacing w:after="120" w:before="240"/>
      </w:pPr>
      <w:r>
        <w:rPr>
          <w:rFonts w:ascii="Calibri" w:cs="Calibri" w:eastAsia="Calibri" w:hAnsi="Calibri"/>
          <w:b/>
          <w:bCs/>
          <w:color w:val="1B2A4A"/>
          <w:sz w:val="22"/>
          <w:szCs w:val="22"/>
        </w:rPr>
        <w:t xml:space="preserve">9.1.3 Personnel Controls</w:t>
      </w:r>
    </w:p>
    <w:p>
      <w:pPr>
        <w:pStyle w:val="ListParagraph"/>
        <w:numPr>
          <w:ilvl w:val="0"/>
          <w:numId w:val="2"/>
        </w:numPr>
        <w:spacing w:after="80" w:line="276"/>
      </w:pPr>
      <w:r>
        <w:rPr>
          <w:rFonts w:ascii="Calibri" w:cs="Calibri" w:eastAsia="Calibri" w:hAnsi="Calibri"/>
          <w:sz w:val="20"/>
          <w:szCs w:val="20"/>
        </w:rPr>
        <w:t xml:space="preserve">Access to the master Bundle and underlying records is limited to [LIST OF AUTHORIZED PERSONNEL BY TITLE]</w:t>
      </w:r>
    </w:p>
    <w:p>
      <w:pPr>
        <w:pStyle w:val="ListParagraph"/>
        <w:numPr>
          <w:ilvl w:val="0"/>
          <w:numId w:val="2"/>
        </w:numPr>
        <w:spacing w:after="80" w:line="276"/>
      </w:pPr>
      <w:r>
        <w:rPr>
          <w:rFonts w:ascii="Calibri" w:cs="Calibri" w:eastAsia="Calibri" w:hAnsi="Calibri"/>
          <w:sz w:val="20"/>
          <w:szCs w:val="20"/>
        </w:rPr>
        <w:t xml:space="preserve">All authorized personnel have signed a confidentiality acknowledgment</w:t>
      </w:r>
    </w:p>
    <w:p>
      <w:pPr>
        <w:pStyle w:val="ListParagraph"/>
        <w:numPr>
          <w:ilvl w:val="0"/>
          <w:numId w:val="2"/>
        </w:numPr>
        <w:spacing w:after="80" w:line="276"/>
      </w:pPr>
      <w:r>
        <w:rPr>
          <w:rFonts w:ascii="Calibri" w:cs="Calibri" w:eastAsia="Calibri" w:hAnsi="Calibri"/>
          <w:sz w:val="20"/>
          <w:szCs w:val="20"/>
        </w:rPr>
        <w:t xml:space="preserve">Access is reviewed [QUARTERLY/ANNUALLY] and revoked upon change of role or departure</w:t>
      </w:r>
    </w:p>
    <w:p>
      <w:pPr>
        <w:pStyle w:val="Heading2"/>
        <w:spacing w:after="160" w:before="300"/>
      </w:pPr>
      <w:r>
        <w:rPr>
          <w:rFonts w:ascii="Calibri" w:cs="Calibri" w:eastAsia="Calibri" w:hAnsi="Calibri"/>
          <w:b/>
          <w:bCs/>
          <w:color w:val="2E5090"/>
          <w:sz w:val="24"/>
          <w:szCs w:val="24"/>
        </w:rPr>
        <w:t xml:space="preserve">9.2 Recipient Confidentiality Obligations</w:t>
      </w:r>
    </w:p>
    <w:p>
      <w:pPr>
        <w:spacing w:after="160" w:line="276"/>
        <w:jc w:val="both"/>
      </w:pPr>
      <w:r>
        <w:rPr>
          <w:rFonts w:ascii="Calibri" w:cs="Calibri" w:eastAsia="Calibri" w:hAnsi="Calibri"/>
          <w:b w:val="false"/>
          <w:bCs w:val="false"/>
          <w:i w:val="false"/>
          <w:iCs w:val="false"/>
          <w:color w:val="000000"/>
          <w:sz w:val="20"/>
          <w:szCs w:val="20"/>
        </w:rPr>
        <w:t xml:space="preserve">Each recipient of the Bundle is subject to the following confidentiality obligations, which are set forth in the applicable compensatory benefit plan or compensation contract and reinforced in the cover notice (Section 5.6):</w:t>
      </w:r>
    </w:p>
    <w:p>
      <w:pPr>
        <w:pStyle w:val="ListParagraph"/>
        <w:numPr>
          <w:ilvl w:val="0"/>
          <w:numId w:val="3"/>
        </w:numPr>
        <w:spacing w:after="100" w:line="276"/>
      </w:pPr>
      <w:r>
        <w:rPr>
          <w:rFonts w:ascii="Calibri" w:cs="Calibri" w:eastAsia="Calibri" w:hAnsi="Calibri"/>
          <w:sz w:val="20"/>
          <w:szCs w:val="20"/>
        </w:rPr>
        <w:t xml:space="preserve">The recipient shall maintain the confidentiality of all information contained in the Bundle, including all financial statements, capitalization information, risk factors, and other business information.</w:t>
      </w:r>
    </w:p>
    <w:p>
      <w:pPr>
        <w:pStyle w:val="ListParagraph"/>
        <w:numPr>
          <w:ilvl w:val="0"/>
          <w:numId w:val="3"/>
        </w:numPr>
        <w:spacing w:after="100" w:line="276"/>
      </w:pPr>
      <w:r>
        <w:rPr>
          <w:rFonts w:ascii="Calibri" w:cs="Calibri" w:eastAsia="Calibri" w:hAnsi="Calibri"/>
          <w:sz w:val="20"/>
          <w:szCs w:val="20"/>
        </w:rPr>
        <w:t xml:space="preserve">The recipient shall not disclose any information from the Bundle to any person who is not an authorized recipient, except to the recipient's own legal, tax, and financial advisors who have a need to know and who agree to maintain confidentiality.</w:t>
      </w:r>
    </w:p>
    <w:p>
      <w:pPr>
        <w:pStyle w:val="ListParagraph"/>
        <w:numPr>
          <w:ilvl w:val="0"/>
          <w:numId w:val="3"/>
        </w:numPr>
        <w:spacing w:after="100" w:line="276"/>
      </w:pPr>
      <w:r>
        <w:rPr>
          <w:rFonts w:ascii="Calibri" w:cs="Calibri" w:eastAsia="Calibri" w:hAnsi="Calibri"/>
          <w:sz w:val="20"/>
          <w:szCs w:val="20"/>
        </w:rPr>
        <w:t xml:space="preserve">The recipient shall not use any information from the Bundle for any purpose other than evaluating the recipient's equity compensation from the Issuer.</w:t>
      </w:r>
    </w:p>
    <w:p>
      <w:pPr>
        <w:pStyle w:val="ListParagraph"/>
        <w:numPr>
          <w:ilvl w:val="0"/>
          <w:numId w:val="3"/>
        </w:numPr>
        <w:spacing w:after="100" w:line="276"/>
      </w:pPr>
      <w:r>
        <w:rPr>
          <w:rFonts w:ascii="Calibri" w:cs="Calibri" w:eastAsia="Calibri" w:hAnsi="Calibri"/>
          <w:sz w:val="20"/>
          <w:szCs w:val="20"/>
        </w:rPr>
        <w:t xml:space="preserve">The recipient shall not copy, reproduce, or distribute the Bundle or any portion thereof without the prior written consent of the Issuer.</w:t>
      </w:r>
    </w:p>
    <w:p>
      <w:pPr>
        <w:pStyle w:val="ListParagraph"/>
        <w:numPr>
          <w:ilvl w:val="0"/>
          <w:numId w:val="3"/>
        </w:numPr>
        <w:spacing w:after="100" w:line="276"/>
      </w:pPr>
      <w:r>
        <w:rPr>
          <w:rFonts w:ascii="Calibri" w:cs="Calibri" w:eastAsia="Calibri" w:hAnsi="Calibri"/>
          <w:sz w:val="20"/>
          <w:szCs w:val="20"/>
        </w:rPr>
        <w:t xml:space="preserve">The recipient's confidentiality obligations survive the termination of the recipient's service relationship with the Issuer.</w:t>
      </w:r>
    </w:p>
    <w:p>
      <w:pPr>
        <w:pStyle w:val="Heading2"/>
        <w:spacing w:after="160" w:before="300"/>
      </w:pPr>
      <w:r>
        <w:rPr>
          <w:rFonts w:ascii="Calibri" w:cs="Calibri" w:eastAsia="Calibri" w:hAnsi="Calibri"/>
          <w:b/>
          <w:bCs/>
          <w:color w:val="2E5090"/>
          <w:sz w:val="24"/>
          <w:szCs w:val="24"/>
        </w:rPr>
        <w:t xml:space="preserve">9.3 Protected Disclosures</w:t>
      </w:r>
    </w:p>
    <w:p>
      <w:pPr>
        <w:spacing w:after="160" w:line="276"/>
        <w:jc w:val="both"/>
      </w:pPr>
      <w:r>
        <w:rPr>
          <w:rFonts w:ascii="Calibri" w:cs="Calibri" w:eastAsia="Calibri" w:hAnsi="Calibri"/>
          <w:b w:val="false"/>
          <w:bCs w:val="false"/>
          <w:i w:val="false"/>
          <w:iCs w:val="false"/>
          <w:color w:val="000000"/>
          <w:sz w:val="20"/>
          <w:szCs w:val="20"/>
        </w:rPr>
        <w:t xml:space="preserve">Notwithstanding the foregoing confidentiality obligations, nothing in this Package or in any compensatory benefit plan, compensation contract, or acknowledgment shall prohibit or restrict a recipient from:</w:t>
      </w:r>
    </w:p>
    <w:p>
      <w:pPr>
        <w:pStyle w:val="ListParagraph"/>
        <w:numPr>
          <w:ilvl w:val="0"/>
          <w:numId w:val="2"/>
        </w:numPr>
        <w:spacing w:after="80" w:line="276"/>
      </w:pPr>
      <w:r>
        <w:rPr>
          <w:rFonts w:ascii="Calibri" w:cs="Calibri" w:eastAsia="Calibri" w:hAnsi="Calibri"/>
          <w:sz w:val="20"/>
          <w:szCs w:val="20"/>
        </w:rPr>
        <w:t xml:space="preserve">Communicating with any federal, state, or local governmental agency or commission, including the U.S. Securities and Exchange Commission, the U.S. Department of Justice, the U.S. Equal Employment Opportunity Commission, or any self-regulatory organization</w:t>
      </w:r>
    </w:p>
    <w:p>
      <w:pPr>
        <w:pStyle w:val="ListParagraph"/>
        <w:numPr>
          <w:ilvl w:val="0"/>
          <w:numId w:val="2"/>
        </w:numPr>
        <w:spacing w:after="80" w:line="276"/>
      </w:pPr>
      <w:r>
        <w:rPr>
          <w:rFonts w:ascii="Calibri" w:cs="Calibri" w:eastAsia="Calibri" w:hAnsi="Calibri"/>
          <w:sz w:val="20"/>
          <w:szCs w:val="20"/>
        </w:rPr>
        <w:t xml:space="preserve">Providing documents or other information to any such agency or commission in connection with any investigation or proceeding</w:t>
      </w:r>
    </w:p>
    <w:p>
      <w:pPr>
        <w:pStyle w:val="ListParagraph"/>
        <w:numPr>
          <w:ilvl w:val="0"/>
          <w:numId w:val="2"/>
        </w:numPr>
        <w:spacing w:after="80" w:line="276"/>
      </w:pPr>
      <w:r>
        <w:rPr>
          <w:rFonts w:ascii="Calibri" w:cs="Calibri" w:eastAsia="Calibri" w:hAnsi="Calibri"/>
          <w:sz w:val="20"/>
          <w:szCs w:val="20"/>
        </w:rPr>
        <w:t xml:space="preserve">Filing a charge or complaint with any such agency or commission</w:t>
      </w:r>
    </w:p>
    <w:p>
      <w:pPr>
        <w:pStyle w:val="ListParagraph"/>
        <w:numPr>
          <w:ilvl w:val="0"/>
          <w:numId w:val="2"/>
        </w:numPr>
        <w:spacing w:after="80" w:line="276"/>
      </w:pPr>
      <w:r>
        <w:rPr>
          <w:rFonts w:ascii="Calibri" w:cs="Calibri" w:eastAsia="Calibri" w:hAnsi="Calibri"/>
          <w:sz w:val="20"/>
          <w:szCs w:val="20"/>
        </w:rPr>
        <w:t xml:space="preserve">Exercising any rights under Section 7 of the National Labor Relations Act</w:t>
      </w:r>
    </w:p>
    <w:p>
      <w:pPr>
        <w:pStyle w:val="ListParagraph"/>
        <w:numPr>
          <w:ilvl w:val="0"/>
          <w:numId w:val="2"/>
        </w:numPr>
        <w:spacing w:after="80" w:line="276"/>
      </w:pPr>
      <w:r>
        <w:rPr>
          <w:rFonts w:ascii="Calibri" w:cs="Calibri" w:eastAsia="Calibri" w:hAnsi="Calibri"/>
          <w:sz w:val="20"/>
          <w:szCs w:val="20"/>
        </w:rPr>
        <w:t xml:space="preserve">Making disclosures protected under the whistleblower provisions of federal or state law, including but not limited to the Dodd-Frank Wall Street Reform and Consumer Protection Act and the Sarbanes-Oxley Act of 2002</w:t>
      </w:r>
    </w:p>
    <w:p>
      <w:pPr>
        <w:pStyle w:val="ListParagraph"/>
        <w:numPr>
          <w:ilvl w:val="0"/>
          <w:numId w:val="2"/>
        </w:numPr>
        <w:spacing w:after="80" w:line="276"/>
      </w:pPr>
      <w:r>
        <w:rPr>
          <w:rFonts w:ascii="Calibri" w:cs="Calibri" w:eastAsia="Calibri" w:hAnsi="Calibri"/>
          <w:sz w:val="20"/>
          <w:szCs w:val="20"/>
        </w:rPr>
        <w:t xml:space="preserve">Testifying in any administrative, legislative, or judicial proceeding concerning alleged criminal conduct or alleged sexual harassment</w:t>
      </w:r>
    </w:p>
    <w:p>
      <w:pPr>
        <w:pStyle w:val="Heading2"/>
        <w:spacing w:after="160" w:before="300"/>
      </w:pPr>
      <w:r>
        <w:rPr>
          <w:rFonts w:ascii="Calibri" w:cs="Calibri" w:eastAsia="Calibri" w:hAnsi="Calibri"/>
          <w:b/>
          <w:bCs/>
          <w:color w:val="2E5090"/>
          <w:sz w:val="24"/>
          <w:szCs w:val="24"/>
        </w:rPr>
        <w:t xml:space="preserve">9.4 Redaction of Personal Information</w:t>
      </w:r>
    </w:p>
    <w:p>
      <w:pPr>
        <w:spacing w:after="160" w:line="276"/>
        <w:jc w:val="both"/>
      </w:pPr>
      <w:r>
        <w:rPr>
          <w:rFonts w:ascii="Calibri" w:cs="Calibri" w:eastAsia="Calibri" w:hAnsi="Calibri"/>
          <w:b w:val="false"/>
          <w:bCs w:val="false"/>
          <w:i w:val="false"/>
          <w:iCs w:val="false"/>
          <w:color w:val="000000"/>
          <w:sz w:val="20"/>
          <w:szCs w:val="20"/>
        </w:rPr>
        <w:t xml:space="preserve">Before including any personal information in the Bundle or its supporting records, the Issuer shall apply the following redaction protocol: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1300"/>
        <w:gridCol w:w="2200"/>
        <w:gridCol w:w="3260"/>
      </w:tblGrid>
      <w:tr>
        <w:trPr>
          <w:tblHeader/>
        </w:trPr>
        <w:tc>
          <w:tcPr>
            <w:tcW w:type="dxa" w:w="2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Information Type</w:t>
            </w:r>
          </w:p>
        </w:tc>
        <w:tc>
          <w:tcPr>
            <w:tcW w:type="dxa" w:w="13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Include in Bundle?</w:t>
            </w:r>
          </w:p>
        </w:tc>
        <w:tc>
          <w:tcPr>
            <w:tcW w:type="dxa" w:w="2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Include in Internal Records?</w:t>
            </w:r>
          </w:p>
        </w:tc>
        <w:tc>
          <w:tcPr>
            <w:tcW w:type="dxa" w:w="32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Redaction Method</w:t>
            </w:r>
          </w:p>
        </w:tc>
      </w:tr>
      <w:tr>
        <w:tc>
          <w:tcPr>
            <w:tcW w:type="dxa" w:w="2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Recipient full legal name</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w:t>
            </w:r>
          </w:p>
        </w:tc>
        <w:tc>
          <w:tcPr>
            <w:tcW w:type="dxa" w:w="32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None — required for identification</w:t>
            </w:r>
          </w:p>
        </w:tc>
      </w:tr>
      <w:tr>
        <w:tc>
          <w:tcPr>
            <w:tcW w:type="dxa" w:w="2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Recipient Social Security number</w:t>
            </w:r>
          </w:p>
        </w:tc>
        <w:tc>
          <w:tcPr>
            <w:tcW w:type="dxa" w:w="13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 — access-controlled</w:t>
            </w:r>
          </w:p>
        </w:tc>
        <w:tc>
          <w:tcPr>
            <w:tcW w:type="dxa" w:w="32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Full redaction in Bundle; stored separately in HRIS</w:t>
            </w:r>
          </w:p>
        </w:tc>
      </w:tr>
      <w:tr>
        <w:tc>
          <w:tcPr>
            <w:tcW w:type="dxa" w:w="2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Recipient home address</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 — access-controlled</w:t>
            </w:r>
          </w:p>
        </w:tc>
        <w:tc>
          <w:tcPr>
            <w:tcW w:type="dxa" w:w="32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Redacted in Bundle; stored in HRIS</w:t>
            </w:r>
          </w:p>
        </w:tc>
      </w:tr>
      <w:tr>
        <w:tc>
          <w:tcPr>
            <w:tcW w:type="dxa" w:w="2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Recipient personal email</w:t>
            </w:r>
          </w:p>
        </w:tc>
        <w:tc>
          <w:tcPr>
            <w:tcW w:type="dxa" w:w="13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 — for delivery records only</w:t>
            </w:r>
          </w:p>
        </w:tc>
        <w:tc>
          <w:tcPr>
            <w:tcW w:type="dxa" w:w="32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Redacted in Bundle</w:t>
            </w:r>
          </w:p>
        </w:tc>
      </w:tr>
      <w:tr>
        <w:tc>
          <w:tcPr>
            <w:tcW w:type="dxa" w:w="2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Recipient compensation details (other than equity)</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w:t>
            </w:r>
          </w:p>
        </w:tc>
        <w:tc>
          <w:tcPr>
            <w:tcW w:type="dxa" w:w="32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Not included in any Rule 701 record</w:t>
            </w:r>
          </w:p>
        </w:tc>
      </w:tr>
      <w:tr>
        <w:tc>
          <w:tcPr>
            <w:tcW w:type="dxa" w:w="2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Recipient tax information</w:t>
            </w:r>
          </w:p>
        </w:tc>
        <w:tc>
          <w:tcPr>
            <w:tcW w:type="dxa" w:w="13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w:t>
            </w:r>
          </w:p>
        </w:tc>
        <w:tc>
          <w:tcPr>
            <w:tcW w:type="dxa" w:w="32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Recipient's responsibility; not included</w:t>
            </w:r>
          </w:p>
        </w:tc>
      </w:tr>
      <w:tr>
        <w:tc>
          <w:tcPr>
            <w:tcW w:type="dxa" w:w="2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Other recipient PII</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Minimized</w:t>
            </w:r>
          </w:p>
        </w:tc>
        <w:tc>
          <w:tcPr>
            <w:tcW w:type="dxa" w:w="32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Redact or pseudonymize where possible</w:t>
            </w:r>
          </w:p>
        </w:tc>
      </w:tr>
    </w:tbl>
    <w:p>
      <w:r>
        <w:br w:type="page"/>
      </w:r>
    </w:p>
    <w:p>
      <w:pPr>
        <w:pStyle w:val="Heading1"/>
        <w:spacing w:after="200" w:before="360"/>
      </w:pPr>
      <w:r>
        <w:rPr>
          <w:rFonts w:ascii="Calibri" w:cs="Calibri" w:eastAsia="Calibri" w:hAnsi="Calibri"/>
          <w:b/>
          <w:bCs/>
          <w:color w:val="1B2A4A"/>
          <w:sz w:val="28"/>
          <w:szCs w:val="28"/>
        </w:rPr>
        <w:t xml:space="preserve">SECTION 10: HOLD, REFRESH, AND EXCEPTION PROCESS</w:t>
      </w:r>
    </w:p>
    <w:p>
      <w:pPr>
        <w:spacing w:after="160" w:line="276"/>
        <w:jc w:val="both"/>
      </w:pPr>
      <w:r>
        <w:rPr>
          <w:rFonts w:ascii="Calibri" w:cs="Calibri" w:eastAsia="Calibri" w:hAnsi="Calibri"/>
          <w:b w:val="false"/>
          <w:bCs w:val="false"/>
          <w:i w:val="false"/>
          <w:iCs w:val="false"/>
          <w:color w:val="000000"/>
          <w:sz w:val="20"/>
          <w:szCs w:val="20"/>
        </w:rPr>
        <w:t xml:space="preserve">This section establishes the process for halting Rule 701 sales when any component of the compliance package is incomplete, stale, or otherwise deficient, and for resolving such deficiencies before sales resume.</w:t>
      </w:r>
    </w:p>
    <w:p>
      <w:pPr>
        <w:pStyle w:val="Heading2"/>
        <w:spacing w:after="160" w:before="300"/>
      </w:pPr>
      <w:r>
        <w:rPr>
          <w:rFonts w:ascii="Calibri" w:cs="Calibri" w:eastAsia="Calibri" w:hAnsi="Calibri"/>
          <w:b/>
          <w:bCs/>
          <w:color w:val="2E5090"/>
          <w:sz w:val="24"/>
          <w:szCs w:val="24"/>
        </w:rPr>
        <w:t xml:space="preserve">10.1 Mandatory Hold Triggers</w:t>
      </w:r>
    </w:p>
    <w:p>
      <w:pPr>
        <w:spacing w:after="160" w:line="276"/>
        <w:jc w:val="both"/>
      </w:pPr>
      <w:r>
        <w:rPr>
          <w:rFonts w:ascii="Calibri" w:cs="Calibri" w:eastAsia="Calibri" w:hAnsi="Calibri"/>
          <w:b w:val="false"/>
          <w:bCs w:val="false"/>
          <w:i w:val="false"/>
          <w:iCs w:val="false"/>
          <w:color w:val="000000"/>
          <w:sz w:val="20"/>
          <w:szCs w:val="20"/>
        </w:rPr>
        <w:t xml:space="preserve">The Issuer shall immediately halt all sales of securities under Rule 701 (a "Hold") upon the occurrence of any of the following events:</w:t>
      </w:r>
    </w:p>
    <w:p>
      <w:pPr>
        <w:pStyle w:val="Heading3"/>
        <w:spacing w:after="120" w:before="240"/>
      </w:pPr>
      <w:r>
        <w:rPr>
          <w:rFonts w:ascii="Calibri" w:cs="Calibri" w:eastAsia="Calibri" w:hAnsi="Calibri"/>
          <w:b/>
          <w:bCs/>
          <w:color w:val="1B2A4A"/>
          <w:sz w:val="22"/>
          <w:szCs w:val="22"/>
        </w:rPr>
        <w:t xml:space="preserve">10.1.1 Calculator Deficiency</w:t>
      </w:r>
    </w:p>
    <w:p>
      <w:pPr>
        <w:pStyle w:val="ListParagraph"/>
        <w:numPr>
          <w:ilvl w:val="0"/>
          <w:numId w:val="2"/>
        </w:numPr>
        <w:spacing w:after="80" w:line="276"/>
      </w:pPr>
      <w:r>
        <w:rPr>
          <w:rFonts w:ascii="Calibri" w:cs="Calibri" w:eastAsia="Calibri" w:hAnsi="Calibri"/>
          <w:sz w:val="20"/>
          <w:szCs w:val="20"/>
        </w:rPr>
        <w:t xml:space="preserve">The Rolling-Period Calculator (Section 2) has not been updated within [NUMBER] business days of the most recent sale</w:t>
      </w:r>
    </w:p>
    <w:p>
      <w:pPr>
        <w:pStyle w:val="ListParagraph"/>
        <w:numPr>
          <w:ilvl w:val="0"/>
          <w:numId w:val="2"/>
        </w:numPr>
        <w:spacing w:after="80" w:line="276"/>
      </w:pPr>
      <w:r>
        <w:rPr>
          <w:rFonts w:ascii="Calibri" w:cs="Calibri" w:eastAsia="Calibri" w:hAnsi="Calibri"/>
          <w:sz w:val="20"/>
          <w:szCs w:val="20"/>
        </w:rPr>
        <w:t xml:space="preserve">A mathematical error or data inconsistency is identified in the Calculator</w:t>
      </w:r>
    </w:p>
    <w:p>
      <w:pPr>
        <w:pStyle w:val="ListParagraph"/>
        <w:numPr>
          <w:ilvl w:val="0"/>
          <w:numId w:val="2"/>
        </w:numPr>
        <w:spacing w:after="80" w:line="276"/>
      </w:pPr>
      <w:r>
        <w:rPr>
          <w:rFonts w:ascii="Calibri" w:cs="Calibri" w:eastAsia="Calibri" w:hAnsi="Calibri"/>
          <w:sz w:val="20"/>
          <w:szCs w:val="20"/>
        </w:rPr>
        <w:t xml:space="preserve">The aggregate sales price cannot be determined with reasonable certainty</w:t>
      </w:r>
    </w:p>
    <w:p>
      <w:pPr>
        <w:pStyle w:val="ListParagraph"/>
        <w:numPr>
          <w:ilvl w:val="0"/>
          <w:numId w:val="2"/>
        </w:numPr>
        <w:spacing w:after="80" w:line="276"/>
      </w:pPr>
      <w:r>
        <w:rPr>
          <w:rFonts w:ascii="Calibri" w:cs="Calibri" w:eastAsia="Calibri" w:hAnsi="Calibri"/>
          <w:sz w:val="20"/>
          <w:szCs w:val="20"/>
        </w:rPr>
        <w:t xml:space="preserve">The applicable limb ceiling cannot be determined (e.g., financial data is stale or unavailable)</w:t>
      </w:r>
    </w:p>
    <w:p>
      <w:pPr>
        <w:pStyle w:val="Heading3"/>
        <w:spacing w:after="120" w:before="240"/>
      </w:pPr>
      <w:r>
        <w:rPr>
          <w:rFonts w:ascii="Calibri" w:cs="Calibri" w:eastAsia="Calibri" w:hAnsi="Calibri"/>
          <w:b/>
          <w:bCs/>
          <w:color w:val="1B2A4A"/>
          <w:sz w:val="22"/>
          <w:szCs w:val="22"/>
        </w:rPr>
        <w:t xml:space="preserve">10.1.2 Financial Statement Deficiency</w:t>
      </w:r>
    </w:p>
    <w:p>
      <w:pPr>
        <w:pStyle w:val="ListParagraph"/>
        <w:numPr>
          <w:ilvl w:val="0"/>
          <w:numId w:val="2"/>
        </w:numPr>
        <w:spacing w:after="80" w:line="276"/>
      </w:pPr>
      <w:r>
        <w:rPr>
          <w:rFonts w:ascii="Calibri" w:cs="Calibri" w:eastAsia="Calibri" w:hAnsi="Calibri"/>
          <w:sz w:val="20"/>
          <w:szCs w:val="20"/>
        </w:rPr>
        <w:t xml:space="preserve">The balance sheet included in the Bundle is dated more than 180 days before the planned sale date</w:t>
      </w:r>
    </w:p>
    <w:p>
      <w:pPr>
        <w:pStyle w:val="ListParagraph"/>
        <w:numPr>
          <w:ilvl w:val="0"/>
          <w:numId w:val="2"/>
        </w:numPr>
        <w:spacing w:after="80" w:line="276"/>
      </w:pPr>
      <w:r>
        <w:rPr>
          <w:rFonts w:ascii="Calibri" w:cs="Calibri" w:eastAsia="Calibri" w:hAnsi="Calibri"/>
          <w:sz w:val="20"/>
          <w:szCs w:val="20"/>
        </w:rPr>
        <w:t xml:space="preserve">The financial statements contain a known material misstatement</w:t>
      </w:r>
    </w:p>
    <w:p>
      <w:pPr>
        <w:pStyle w:val="ListParagraph"/>
        <w:numPr>
          <w:ilvl w:val="0"/>
          <w:numId w:val="2"/>
        </w:numPr>
        <w:spacing w:after="80" w:line="276"/>
      </w:pPr>
      <w:r>
        <w:rPr>
          <w:rFonts w:ascii="Calibri" w:cs="Calibri" w:eastAsia="Calibri" w:hAnsi="Calibri"/>
          <w:sz w:val="20"/>
          <w:szCs w:val="20"/>
        </w:rPr>
        <w:t xml:space="preserve">The financial statements have not been updated to reflect a material subsequent event</w:t>
      </w:r>
    </w:p>
    <w:p>
      <w:pPr>
        <w:pStyle w:val="ListParagraph"/>
        <w:numPr>
          <w:ilvl w:val="0"/>
          <w:numId w:val="2"/>
        </w:numPr>
        <w:spacing w:after="80" w:line="276"/>
      </w:pPr>
      <w:r>
        <w:rPr>
          <w:rFonts w:ascii="Calibri" w:cs="Calibri" w:eastAsia="Calibri" w:hAnsi="Calibri"/>
          <w:sz w:val="20"/>
          <w:szCs w:val="20"/>
        </w:rPr>
        <w:t xml:space="preserve">The financial statements were prepared on a basis inconsistent with the prior period and no reconciliation has been provided</w:t>
      </w:r>
    </w:p>
    <w:p>
      <w:pPr>
        <w:pStyle w:val="Heading3"/>
        <w:spacing w:after="120" w:before="240"/>
      </w:pPr>
      <w:r>
        <w:rPr>
          <w:rFonts w:ascii="Calibri" w:cs="Calibri" w:eastAsia="Calibri" w:hAnsi="Calibri"/>
          <w:b/>
          <w:bCs/>
          <w:color w:val="1B2A4A"/>
          <w:sz w:val="22"/>
          <w:szCs w:val="22"/>
        </w:rPr>
        <w:t xml:space="preserve">10.1.3 Risk Factor Deficiency</w:t>
      </w:r>
    </w:p>
    <w:p>
      <w:pPr>
        <w:pStyle w:val="ListParagraph"/>
        <w:numPr>
          <w:ilvl w:val="0"/>
          <w:numId w:val="2"/>
        </w:numPr>
        <w:spacing w:after="80" w:line="276"/>
      </w:pPr>
      <w:r>
        <w:rPr>
          <w:rFonts w:ascii="Calibri" w:cs="Calibri" w:eastAsia="Calibri" w:hAnsi="Calibri"/>
          <w:sz w:val="20"/>
          <w:szCs w:val="20"/>
        </w:rPr>
        <w:t xml:space="preserve">A material change in the Issuer's risk profile has occurred and the risk factors have not been updated</w:t>
      </w:r>
    </w:p>
    <w:p>
      <w:pPr>
        <w:pStyle w:val="ListParagraph"/>
        <w:numPr>
          <w:ilvl w:val="0"/>
          <w:numId w:val="2"/>
        </w:numPr>
        <w:spacing w:after="80" w:line="276"/>
      </w:pPr>
      <w:r>
        <w:rPr>
          <w:rFonts w:ascii="Calibri" w:cs="Calibri" w:eastAsia="Calibri" w:hAnsi="Calibri"/>
          <w:sz w:val="20"/>
          <w:szCs w:val="20"/>
        </w:rPr>
        <w:t xml:space="preserve">The risk factors omit a known material risk</w:t>
      </w:r>
    </w:p>
    <w:p>
      <w:pPr>
        <w:pStyle w:val="ListParagraph"/>
        <w:numPr>
          <w:ilvl w:val="0"/>
          <w:numId w:val="2"/>
        </w:numPr>
        <w:spacing w:after="80" w:line="276"/>
      </w:pPr>
      <w:r>
        <w:rPr>
          <w:rFonts w:ascii="Calibri" w:cs="Calibri" w:eastAsia="Calibri" w:hAnsi="Calibri"/>
          <w:sz w:val="20"/>
          <w:szCs w:val="20"/>
        </w:rPr>
        <w:t xml:space="preserve">Outside counsel has identified a deficiency in the risk factor disclosure</w:t>
      </w:r>
    </w:p>
    <w:p>
      <w:pPr>
        <w:pStyle w:val="Heading3"/>
        <w:spacing w:after="120" w:before="240"/>
      </w:pPr>
      <w:r>
        <w:rPr>
          <w:rFonts w:ascii="Calibri" w:cs="Calibri" w:eastAsia="Calibri" w:hAnsi="Calibri"/>
          <w:b/>
          <w:bCs/>
          <w:color w:val="1B2A4A"/>
          <w:sz w:val="22"/>
          <w:szCs w:val="22"/>
        </w:rPr>
        <w:t xml:space="preserve">10.1.4 Eligibility Deficiency</w:t>
      </w:r>
    </w:p>
    <w:p>
      <w:pPr>
        <w:pStyle w:val="ListParagraph"/>
        <w:numPr>
          <w:ilvl w:val="0"/>
          <w:numId w:val="2"/>
        </w:numPr>
        <w:spacing w:after="80" w:line="276"/>
      </w:pPr>
      <w:r>
        <w:rPr>
          <w:rFonts w:ascii="Calibri" w:cs="Calibri" w:eastAsia="Calibri" w:hAnsi="Calibri"/>
          <w:sz w:val="20"/>
          <w:szCs w:val="20"/>
        </w:rPr>
        <w:t xml:space="preserve">A recipient's eligibility status cannot be confirmed under the criteria in Section 3</w:t>
      </w:r>
    </w:p>
    <w:p>
      <w:pPr>
        <w:pStyle w:val="ListParagraph"/>
        <w:numPr>
          <w:ilvl w:val="0"/>
          <w:numId w:val="2"/>
        </w:numPr>
        <w:spacing w:after="80" w:line="276"/>
      </w:pPr>
      <w:r>
        <w:rPr>
          <w:rFonts w:ascii="Calibri" w:cs="Calibri" w:eastAsia="Calibri" w:hAnsi="Calibri"/>
          <w:sz w:val="20"/>
          <w:szCs w:val="20"/>
        </w:rPr>
        <w:t xml:space="preserve">A recipient's service relationship has been terminated or reclassified</w:t>
      </w:r>
    </w:p>
    <w:p>
      <w:pPr>
        <w:pStyle w:val="ListParagraph"/>
        <w:numPr>
          <w:ilvl w:val="0"/>
          <w:numId w:val="2"/>
        </w:numPr>
        <w:spacing w:after="80" w:line="276"/>
      </w:pPr>
      <w:r>
        <w:rPr>
          <w:rFonts w:ascii="Calibri" w:cs="Calibri" w:eastAsia="Calibri" w:hAnsi="Calibri"/>
          <w:sz w:val="20"/>
          <w:szCs w:val="20"/>
        </w:rPr>
        <w:t xml:space="preserve">A consultant or advisor's "bona fide services" status is in question</w:t>
      </w:r>
    </w:p>
    <w:p>
      <w:pPr>
        <w:pStyle w:val="Heading3"/>
        <w:spacing w:after="120" w:before="240"/>
      </w:pPr>
      <w:r>
        <w:rPr>
          <w:rFonts w:ascii="Calibri" w:cs="Calibri" w:eastAsia="Calibri" w:hAnsi="Calibri"/>
          <w:b/>
          <w:bCs/>
          <w:color w:val="1B2A4A"/>
          <w:sz w:val="22"/>
          <w:szCs w:val="22"/>
        </w:rPr>
        <w:t xml:space="preserve">10.1.5 Delivery Proof Deficiency</w:t>
      </w:r>
    </w:p>
    <w:p>
      <w:pPr>
        <w:pStyle w:val="ListParagraph"/>
        <w:numPr>
          <w:ilvl w:val="0"/>
          <w:numId w:val="2"/>
        </w:numPr>
        <w:spacing w:after="80" w:line="276"/>
      </w:pPr>
      <w:r>
        <w:rPr>
          <w:rFonts w:ascii="Calibri" w:cs="Calibri" w:eastAsia="Calibri" w:hAnsi="Calibri"/>
          <w:sz w:val="20"/>
          <w:szCs w:val="20"/>
        </w:rPr>
        <w:t xml:space="preserve">Delivery of the Bundle to a recipient cannot be confirmed</w:t>
      </w:r>
    </w:p>
    <w:p>
      <w:pPr>
        <w:pStyle w:val="ListParagraph"/>
        <w:numPr>
          <w:ilvl w:val="0"/>
          <w:numId w:val="2"/>
        </w:numPr>
        <w:spacing w:after="80" w:line="276"/>
      </w:pPr>
      <w:r>
        <w:rPr>
          <w:rFonts w:ascii="Calibri" w:cs="Calibri" w:eastAsia="Calibri" w:hAnsi="Calibri"/>
          <w:sz w:val="20"/>
          <w:szCs w:val="20"/>
        </w:rPr>
        <w:t xml:space="preserve">A recipient has not acknowledged receipt and the reminder protocol (Section 7.5) has been exhausted</w:t>
      </w:r>
    </w:p>
    <w:p>
      <w:pPr>
        <w:pStyle w:val="ListParagraph"/>
        <w:numPr>
          <w:ilvl w:val="0"/>
          <w:numId w:val="2"/>
        </w:numPr>
        <w:spacing w:after="80" w:line="276"/>
      </w:pPr>
      <w:r>
        <w:rPr>
          <w:rFonts w:ascii="Calibri" w:cs="Calibri" w:eastAsia="Calibri" w:hAnsi="Calibri"/>
          <w:sz w:val="20"/>
          <w:szCs w:val="20"/>
        </w:rPr>
        <w:t xml:space="preserve">A delivery method failure has occurred and re-delivery has not been completed</w:t>
      </w:r>
    </w:p>
    <w:p>
      <w:pPr>
        <w:pStyle w:val="Heading2"/>
        <w:spacing w:after="160" w:before="300"/>
      </w:pPr>
      <w:r>
        <w:rPr>
          <w:rFonts w:ascii="Calibri" w:cs="Calibri" w:eastAsia="Calibri" w:hAnsi="Calibri"/>
          <w:b/>
          <w:bCs/>
          <w:color w:val="2E5090"/>
          <w:sz w:val="24"/>
          <w:szCs w:val="24"/>
        </w:rPr>
        <w:t xml:space="preserve">10.2 Hold Decision Log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850"/>
        <w:gridCol w:w="1300"/>
        <w:gridCol w:w="2100"/>
        <w:gridCol w:w="1100"/>
        <w:gridCol w:w="1710"/>
        <w:gridCol w:w="1600"/>
      </w:tblGrid>
      <w:tr>
        <w:trPr>
          <w:tblHeader/>
        </w:trPr>
        <w:tc>
          <w:tcPr>
            <w:tcW w:type="dxa" w:w="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Hold #</w:t>
            </w:r>
          </w:p>
        </w:tc>
        <w:tc>
          <w:tcPr>
            <w:tcW w:type="dxa" w:w="8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Trigger Date</w:t>
            </w:r>
          </w:p>
        </w:tc>
        <w:tc>
          <w:tcPr>
            <w:tcW w:type="dxa" w:w="13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Trigger Category</w:t>
            </w:r>
          </w:p>
        </w:tc>
        <w:tc>
          <w:tcPr>
            <w:tcW w:type="dxa" w:w="21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Description</w:t>
            </w:r>
          </w:p>
        </w:tc>
        <w:tc>
          <w:tcPr>
            <w:tcW w:type="dxa" w:w="11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Decision Maker</w:t>
            </w:r>
          </w:p>
        </w:tc>
        <w:tc>
          <w:tcPr>
            <w:tcW w:type="dxa" w:w="171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Hold Scope</w:t>
            </w:r>
          </w:p>
        </w:tc>
        <w:tc>
          <w:tcPr>
            <w:tcW w:type="dxa" w:w="1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Status</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HOLD-001</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[CALCULATOR/FINANCIAL/RISK/ELIGIBILITY/DELIVERY]</w:t>
            </w:r>
          </w:p>
        </w:tc>
        <w:tc>
          <w:tcPr>
            <w:tcW w:type="dxa" w:w="2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 DEFICIENCY]</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c>
          <w:tcPr>
            <w:tcW w:type="dxa" w:w="171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[ALL SALES / SPECIFIC PLAN / SPECIFIC RECIPIENT]</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[ACTIVE/CURED/RELEASED]</w:t>
            </w:r>
          </w:p>
        </w:tc>
      </w:tr>
      <w:tr>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HOLD-002</w:t>
            </w:r>
          </w:p>
        </w:tc>
        <w:tc>
          <w:tcPr>
            <w:tcW w:type="dxa" w:w="8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3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[CATEGORY]</w:t>
            </w:r>
          </w:p>
        </w:tc>
        <w:tc>
          <w:tcPr>
            <w:tcW w:type="dxa" w:w="2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[DESCRIPTION]</w:t>
            </w:r>
          </w:p>
        </w:tc>
        <w:tc>
          <w:tcPr>
            <w:tcW w:type="dxa" w:w="11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c>
          <w:tcPr>
            <w:tcW w:type="dxa" w:w="171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[SCOPE]</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[STATUS]</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 ROWS]</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[CATEGORY]</w:t>
            </w:r>
          </w:p>
        </w:tc>
        <w:tc>
          <w:tcPr>
            <w:tcW w:type="dxa" w:w="2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[DESCRIPTION]</w:t>
            </w:r>
          </w:p>
        </w:tc>
        <w:tc>
          <w:tcPr>
            <w:tcW w:type="dxa" w:w="11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c>
          <w:tcPr>
            <w:tcW w:type="dxa" w:w="171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[SCOPE]</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[STATUS]</w:t>
            </w:r>
          </w:p>
        </w:tc>
      </w:tr>
    </w:tbl>
    <w:p>
      <w:pPr>
        <w:pStyle w:val="Heading2"/>
        <w:spacing w:after="160" w:before="300"/>
      </w:pPr>
      <w:r>
        <w:rPr>
          <w:rFonts w:ascii="Calibri" w:cs="Calibri" w:eastAsia="Calibri" w:hAnsi="Calibri"/>
          <w:b/>
          <w:bCs/>
          <w:color w:val="2E5090"/>
          <w:sz w:val="24"/>
          <w:szCs w:val="24"/>
        </w:rPr>
        <w:t xml:space="preserve">10.3 Cure Process</w:t>
      </w:r>
    </w:p>
    <w:p>
      <w:pPr>
        <w:spacing w:after="160" w:line="276"/>
        <w:jc w:val="both"/>
      </w:pPr>
      <w:r>
        <w:rPr>
          <w:rFonts w:ascii="Calibri" w:cs="Calibri" w:eastAsia="Calibri" w:hAnsi="Calibri"/>
          <w:b w:val="false"/>
          <w:bCs w:val="false"/>
          <w:i w:val="false"/>
          <w:iCs w:val="false"/>
          <w:color w:val="000000"/>
          <w:sz w:val="20"/>
          <w:szCs w:val="20"/>
        </w:rPr>
        <w:t xml:space="preserve">For each active Hold, the following cure process must be completed before sales may resume:</w:t>
      </w:r>
    </w:p>
    <w:p>
      <w:pPr>
        <w:pStyle w:val="ListParagraph"/>
        <w:numPr>
          <w:ilvl w:val="0"/>
          <w:numId w:val="3"/>
        </w:numPr>
        <w:spacing w:after="100" w:line="276"/>
      </w:pPr>
      <w:r>
        <w:rPr>
          <w:rFonts w:ascii="Calibri" w:cs="Calibri" w:eastAsia="Calibri" w:hAnsi="Calibri"/>
          <w:sz w:val="20"/>
          <w:szCs w:val="20"/>
        </w:rPr>
        <w:t xml:space="preserve">Identification: Identify the specific deficiency that triggered the Hold and all affected components of the compliance package.</w:t>
      </w:r>
    </w:p>
    <w:p>
      <w:pPr>
        <w:pStyle w:val="ListParagraph"/>
        <w:numPr>
          <w:ilvl w:val="0"/>
          <w:numId w:val="3"/>
        </w:numPr>
        <w:spacing w:after="100" w:line="276"/>
      </w:pPr>
      <w:r>
        <w:rPr>
          <w:rFonts w:ascii="Calibri" w:cs="Calibri" w:eastAsia="Calibri" w:hAnsi="Calibri"/>
          <w:sz w:val="20"/>
          <w:szCs w:val="20"/>
        </w:rPr>
        <w:t xml:space="preserve">Assignment: Assign a cure owner responsible for resolving the deficiency, with a target cure date.</w:t>
      </w:r>
    </w:p>
    <w:p>
      <w:pPr>
        <w:pStyle w:val="ListParagraph"/>
        <w:numPr>
          <w:ilvl w:val="0"/>
          <w:numId w:val="3"/>
        </w:numPr>
        <w:spacing w:after="100" w:line="276"/>
      </w:pPr>
      <w:r>
        <w:rPr>
          <w:rFonts w:ascii="Calibri" w:cs="Calibri" w:eastAsia="Calibri" w:hAnsi="Calibri"/>
          <w:sz w:val="20"/>
          <w:szCs w:val="20"/>
        </w:rPr>
        <w:t xml:space="preserve">Remediation: Complete the required update, correction, or supplemental disclosure.</w:t>
      </w:r>
    </w:p>
    <w:p>
      <w:pPr>
        <w:pStyle w:val="ListParagraph"/>
        <w:numPr>
          <w:ilvl w:val="0"/>
          <w:numId w:val="3"/>
        </w:numPr>
        <w:spacing w:after="100" w:line="276"/>
      </w:pPr>
      <w:r>
        <w:rPr>
          <w:rFonts w:ascii="Calibri" w:cs="Calibri" w:eastAsia="Calibri" w:hAnsi="Calibri"/>
          <w:sz w:val="20"/>
          <w:szCs w:val="20"/>
        </w:rPr>
        <w:t xml:space="preserve">Review: The cure owner's work product is reviewed by [GENERAL COUNSEL / OUTSIDE COUNSEL / CFO] for completeness and accuracy.</w:t>
      </w:r>
    </w:p>
    <w:p>
      <w:pPr>
        <w:pStyle w:val="ListParagraph"/>
        <w:numPr>
          <w:ilvl w:val="0"/>
          <w:numId w:val="3"/>
        </w:numPr>
        <w:spacing w:after="100" w:line="276"/>
      </w:pPr>
      <w:r>
        <w:rPr>
          <w:rFonts w:ascii="Calibri" w:cs="Calibri" w:eastAsia="Calibri" w:hAnsi="Calibri"/>
          <w:sz w:val="20"/>
          <w:szCs w:val="20"/>
        </w:rPr>
        <w:t xml:space="preserve">Certification: The cure owner and reviewer jointly certify that the deficiency has been cured.</w:t>
      </w:r>
    </w:p>
    <w:p>
      <w:pPr>
        <w:pStyle w:val="ListParagraph"/>
        <w:numPr>
          <w:ilvl w:val="0"/>
          <w:numId w:val="3"/>
        </w:numPr>
        <w:spacing w:after="100" w:line="276"/>
      </w:pPr>
      <w:r>
        <w:rPr>
          <w:rFonts w:ascii="Calibri" w:cs="Calibri" w:eastAsia="Calibri" w:hAnsi="Calibri"/>
          <w:sz w:val="20"/>
          <w:szCs w:val="20"/>
        </w:rPr>
        <w:t xml:space="preserve">Update: Update the Currency Certificate (Section 6) and all affected sections of this Package.</w:t>
      </w:r>
    </w:p>
    <w:p>
      <w:pPr>
        <w:pStyle w:val="ListParagraph"/>
        <w:numPr>
          <w:ilvl w:val="0"/>
          <w:numId w:val="3"/>
        </w:numPr>
        <w:spacing w:after="100" w:line="276"/>
      </w:pPr>
      <w:r>
        <w:rPr>
          <w:rFonts w:ascii="Calibri" w:cs="Calibri" w:eastAsia="Calibri" w:hAnsi="Calibri"/>
          <w:sz w:val="20"/>
          <w:szCs w:val="20"/>
        </w:rPr>
        <w:t xml:space="preserve">Release: The Hold is released by [AUTHORIZED RELEASE PERSON — NAME/TITLE], and sales may resume.</w:t>
      </w:r>
    </w:p>
    <w:p>
      <w:pPr>
        <w:pStyle w:val="Heading2"/>
        <w:spacing w:after="160" w:before="300"/>
      </w:pPr>
      <w:r>
        <w:rPr>
          <w:rFonts w:ascii="Calibri" w:cs="Calibri" w:eastAsia="Calibri" w:hAnsi="Calibri"/>
          <w:b/>
          <w:bCs/>
          <w:color w:val="2E5090"/>
          <w:sz w:val="24"/>
          <w:szCs w:val="24"/>
        </w:rPr>
        <w:t xml:space="preserve">10.4 Cure Status Tracker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1300"/>
        <w:gridCol w:w="1200"/>
        <w:gridCol w:w="1200"/>
        <w:gridCol w:w="1300"/>
        <w:gridCol w:w="1060"/>
        <w:gridCol w:w="2600"/>
      </w:tblGrid>
      <w:tr>
        <w:trPr>
          <w:tblHeader/>
        </w:trPr>
        <w:tc>
          <w:tcPr>
            <w:tcW w:type="dxa" w:w="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Hold #</w:t>
            </w:r>
          </w:p>
        </w:tc>
        <w:tc>
          <w:tcPr>
            <w:tcW w:type="dxa" w:w="13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Cure Owner</w:t>
            </w:r>
          </w:p>
        </w:tc>
        <w:tc>
          <w:tcPr>
            <w:tcW w:type="dxa" w:w="1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Target Cure Date</w:t>
            </w:r>
          </w:p>
        </w:tc>
        <w:tc>
          <w:tcPr>
            <w:tcW w:type="dxa" w:w="1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Actual Cure Date</w:t>
            </w:r>
          </w:p>
        </w:tc>
        <w:tc>
          <w:tcPr>
            <w:tcW w:type="dxa" w:w="13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Reviewer</w:t>
            </w:r>
          </w:p>
        </w:tc>
        <w:tc>
          <w:tcPr>
            <w:tcW w:type="dxa" w:w="10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Review Date</w:t>
            </w:r>
          </w:p>
        </w:tc>
        <w:tc>
          <w:tcPr>
            <w:tcW w:type="dxa" w:w="2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Certification Status</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HOLD-001</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OR PENDING]</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0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OR PENDING]</w:t>
            </w:r>
          </w:p>
        </w:tc>
        <w:tc>
          <w:tcPr>
            <w:tcW w:type="dxa" w:w="2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[CERTIFIED/PENDING/FAILED]</w:t>
            </w:r>
          </w:p>
        </w:tc>
      </w:tr>
      <w:tr>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HOLD-002</w:t>
            </w:r>
          </w:p>
        </w:tc>
        <w:tc>
          <w:tcPr>
            <w:tcW w:type="dxa" w:w="13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OR PENDING]</w:t>
            </w:r>
          </w:p>
        </w:tc>
        <w:tc>
          <w:tcPr>
            <w:tcW w:type="dxa" w:w="13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0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OR PENDING]</w:t>
            </w:r>
          </w:p>
        </w:tc>
        <w:tc>
          <w:tcPr>
            <w:tcW w:type="dxa" w:w="2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[STATUS]</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 ROWS]</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OR PENDING]</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0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 OR PENDING]</w:t>
            </w:r>
          </w:p>
        </w:tc>
        <w:tc>
          <w:tcPr>
            <w:tcW w:type="dxa" w:w="2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[STATUS]</w:t>
            </w:r>
          </w:p>
        </w:tc>
      </w:tr>
    </w:tbl>
    <w:p>
      <w:pPr>
        <w:pStyle w:val="Heading2"/>
        <w:spacing w:after="160" w:before="300"/>
      </w:pPr>
      <w:r>
        <w:rPr>
          <w:rFonts w:ascii="Calibri" w:cs="Calibri" w:eastAsia="Calibri" w:hAnsi="Calibri"/>
          <w:b/>
          <w:bCs/>
          <w:color w:val="2E5090"/>
          <w:sz w:val="24"/>
          <w:szCs w:val="24"/>
        </w:rPr>
        <w:t xml:space="preserve">10.5 Alternative Exemption Analysis</w:t>
      </w:r>
    </w:p>
    <w:p>
      <w:pPr>
        <w:spacing w:after="160" w:line="276"/>
        <w:jc w:val="both"/>
      </w:pPr>
      <w:r>
        <w:rPr>
          <w:rFonts w:ascii="Calibri" w:cs="Calibri" w:eastAsia="Calibri" w:hAnsi="Calibri"/>
          <w:b w:val="false"/>
          <w:bCs w:val="false"/>
          <w:i w:val="false"/>
          <w:iCs w:val="false"/>
          <w:color w:val="000000"/>
          <w:sz w:val="20"/>
          <w:szCs w:val="20"/>
        </w:rPr>
        <w:t xml:space="preserve">If a Hold cannot be cured within the required timeframe, the Issuer should evaluate whether an alternative exemption is available for the pending transaction: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2400"/>
        <w:gridCol w:w="1000"/>
        <w:gridCol w:w="3060"/>
        <w:gridCol w:w="2200"/>
      </w:tblGrid>
      <w:tr>
        <w:trPr>
          <w:tblHeader/>
        </w:trPr>
        <w:tc>
          <w:tcPr>
            <w:tcW w:type="dxa" w:w="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Hold #</w:t>
            </w:r>
          </w:p>
        </w:tc>
        <w:tc>
          <w:tcPr>
            <w:tcW w:type="dxa" w:w="24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Alternative Exemption Considered</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Available?</w:t>
            </w:r>
          </w:p>
        </w:tc>
        <w:tc>
          <w:tcPr>
            <w:tcW w:type="dxa" w:w="30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Analysis Summary</w:t>
            </w:r>
          </w:p>
        </w:tc>
        <w:tc>
          <w:tcPr>
            <w:tcW w:type="dxa" w:w="2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Counsel Sign-Off</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HOLD-001</w:t>
            </w:r>
          </w:p>
        </w:tc>
        <w:tc>
          <w:tcPr>
            <w:tcW w:type="dxa" w:w="2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[SECTION 4(a)(2) / RULE 506(b) / RULE 506(c) / REG A / OTHER]</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0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[BRIEF ANALYSIS]</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[COUNSEL NAME / DATE]</w:t>
            </w:r>
          </w:p>
        </w:tc>
      </w:tr>
      <w:tr>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HOLD-002</w:t>
            </w:r>
          </w:p>
        </w:tc>
        <w:tc>
          <w:tcPr>
            <w:tcW w:type="dxa" w:w="2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[EXEMPTION]</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0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[ANALYSIS]</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[COUNSEL NAME / DATE]</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 ROWS]</w:t>
            </w:r>
          </w:p>
        </w:tc>
        <w:tc>
          <w:tcPr>
            <w:tcW w:type="dxa" w:w="2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[EXEMPTION]</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30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[ANALYSIS]</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[COUNSEL NAME / DATE]</w:t>
            </w:r>
          </w:p>
        </w:tc>
      </w:tr>
    </w:tbl>
    <w:p>
      <w:pPr>
        <w:pStyle w:val="Heading2"/>
        <w:spacing w:after="160" w:before="300"/>
      </w:pPr>
      <w:r>
        <w:rPr>
          <w:rFonts w:ascii="Calibri" w:cs="Calibri" w:eastAsia="Calibri" w:hAnsi="Calibri"/>
          <w:b/>
          <w:bCs/>
          <w:color w:val="2E5090"/>
          <w:sz w:val="24"/>
          <w:szCs w:val="24"/>
        </w:rPr>
        <w:t xml:space="preserve">10.6 Release Approval</w:t>
      </w:r>
    </w:p>
    <w:p>
      <w:pPr>
        <w:spacing w:after="160" w:line="276"/>
        <w:jc w:val="both"/>
      </w:pPr>
      <w:r>
        <w:rPr>
          <w:rFonts w:ascii="Calibri" w:cs="Calibri" w:eastAsia="Calibri" w:hAnsi="Calibri"/>
          <w:b w:val="false"/>
          <w:bCs w:val="false"/>
          <w:i w:val="false"/>
          <w:iCs w:val="false"/>
          <w:color w:val="000000"/>
          <w:sz w:val="20"/>
          <w:szCs w:val="20"/>
        </w:rPr>
        <w:t xml:space="preserve">A Hold may be released only upon the following approvals: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1300"/>
        <w:gridCol w:w="1000"/>
        <w:gridCol w:w="1300"/>
        <w:gridCol w:w="1000"/>
        <w:gridCol w:w="2460"/>
        <w:gridCol w:w="1600"/>
      </w:tblGrid>
      <w:tr>
        <w:trPr>
          <w:tblHeader/>
        </w:trPr>
        <w:tc>
          <w:tcPr>
            <w:tcW w:type="dxa" w:w="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Hold #</w:t>
            </w:r>
          </w:p>
        </w:tc>
        <w:tc>
          <w:tcPr>
            <w:tcW w:type="dxa" w:w="13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Release Requested By</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Request Date</w:t>
            </w:r>
          </w:p>
        </w:tc>
        <w:tc>
          <w:tcPr>
            <w:tcW w:type="dxa" w:w="13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Approved By</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Approval Date</w:t>
            </w:r>
          </w:p>
        </w:tc>
        <w:tc>
          <w:tcPr>
            <w:tcW w:type="dxa" w:w="24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Conditions (if any)</w:t>
            </w:r>
          </w:p>
        </w:tc>
        <w:tc>
          <w:tcPr>
            <w:tcW w:type="dxa" w:w="1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Effective Date of Release</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HOLD-001</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24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[ANY CONDITIONS ON RESUMPTION]</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r>
      <w:tr>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HOLD-002</w:t>
            </w:r>
          </w:p>
        </w:tc>
        <w:tc>
          <w:tcPr>
            <w:tcW w:type="dxa" w:w="13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3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24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[CONDITIONS]</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 ROWS]</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24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[CONDITIONS]</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r>
    </w:tbl>
    <w:p>
      <w:pPr>
        <w:spacing w:after="80"/>
      </w:pPr>
    </w:p>
    <w:p>
      <w:pPr>
        <w:spacing w:after="160" w:line="276"/>
        <w:jc w:val="both"/>
      </w:pPr>
      <w:r>
        <w:rPr>
          <w:rFonts w:ascii="Calibri" w:cs="Calibri" w:eastAsia="Calibri" w:hAnsi="Calibri"/>
          <w:b/>
          <w:bCs/>
          <w:i w:val="false"/>
          <w:iCs w:val="false"/>
          <w:color w:val="000000"/>
          <w:sz w:val="20"/>
          <w:szCs w:val="20"/>
        </w:rPr>
        <w:t xml:space="preserve">Minimum Release Authority: [TITLE OF PERSON AUTHORIZED TO RELEASE HOLDS — E.G., GENERAL COUNSEL OR CFO]</w:t>
      </w:r>
    </w:p>
    <w:p>
      <w:pPr>
        <w:spacing w:after="160" w:line="276"/>
        <w:jc w:val="both"/>
      </w:pPr>
      <w:r>
        <w:rPr>
          <w:rFonts w:ascii="Calibri" w:cs="Calibri" w:eastAsia="Calibri" w:hAnsi="Calibri"/>
          <w:b/>
          <w:bCs/>
          <w:i/>
          <w:iCs/>
          <w:color w:val="2E5090"/>
          <w:sz w:val="19"/>
          <w:szCs w:val="19"/>
        </w:rPr>
        <w:t xml:space="preserve">Note: </w:t>
      </w:r>
      <w:r>
        <w:rPr>
          <w:rFonts w:ascii="Calibri" w:cs="Calibri" w:eastAsia="Calibri" w:hAnsi="Calibri"/>
          <w:b w:val="false"/>
          <w:bCs w:val="false"/>
          <w:i/>
          <w:iCs/>
          <w:color w:val="666666"/>
          <w:sz w:val="19"/>
          <w:szCs w:val="19"/>
        </w:rPr>
        <w:t xml:space="preserve">No Hold may be released by the person who triggered the Hold or the person responsible for curing the deficiency. The release authority must be independent of the cure process.</w:t>
      </w:r>
    </w:p>
    <w:p>
      <w:r>
        <w:br w:type="page"/>
      </w:r>
    </w:p>
    <w:p>
      <w:pPr>
        <w:pStyle w:val="Heading1"/>
        <w:spacing w:after="200" w:before="360"/>
      </w:pPr>
      <w:r>
        <w:rPr>
          <w:rFonts w:ascii="Calibri" w:cs="Calibri" w:eastAsia="Calibri" w:hAnsi="Calibri"/>
          <w:b/>
          <w:bCs/>
          <w:color w:val="1B2A4A"/>
          <w:sz w:val="28"/>
          <w:szCs w:val="28"/>
        </w:rPr>
        <w:t xml:space="preserve">EXHIBITS</w:t>
      </w:r>
    </w:p>
    <w:p>
      <w:pPr>
        <w:spacing w:after="80"/>
      </w:pPr>
    </w:p>
    <w:p>
      <w:pPr>
        <w:pStyle w:val="Heading2"/>
        <w:spacing w:after="160" w:before="300"/>
      </w:pPr>
      <w:r>
        <w:rPr>
          <w:rFonts w:ascii="Calibri" w:cs="Calibri" w:eastAsia="Calibri" w:hAnsi="Calibri"/>
          <w:b/>
          <w:bCs/>
          <w:color w:val="2E5090"/>
          <w:sz w:val="24"/>
          <w:szCs w:val="24"/>
        </w:rPr>
        <w:t xml:space="preserve">Exhibit A: Rule 701 Transaction Ledger and Rolling-Period Calculator</w:t>
      </w:r>
    </w:p>
    <w:p>
      <w:pPr>
        <w:spacing w:after="160" w:line="276"/>
        <w:jc w:val="both"/>
      </w:pPr>
      <w:r>
        <w:rPr>
          <w:rFonts w:ascii="Calibri" w:cs="Calibri" w:eastAsia="Calibri" w:hAnsi="Calibri"/>
          <w:b w:val="false"/>
          <w:bCs w:val="false"/>
          <w:i w:val="false"/>
          <w:iCs w:val="false"/>
          <w:color w:val="000000"/>
          <w:sz w:val="20"/>
          <w:szCs w:val="20"/>
        </w:rPr>
        <w:t xml:space="preserve">This Exhibit provides a comprehensive transaction ledger for all securities sales under Rule 701 and the rolling 12-month period calculation. This Exhibit should be maintained as a living document and updated for each new sale.</w:t>
      </w:r>
    </w:p>
    <w:p>
      <w:pPr>
        <w:spacing w:after="40"/>
      </w:pPr>
    </w:p>
    <w:tbl>
      <w:tblPr>
        <w:tblW w:type="dxa" w:w="8960"/>
        <w:tblBorders>
          <w:top w:val="single" w:color="auto" w:sz="4"/>
          <w:left w:val="single" w:color="auto" w:sz="4"/>
          <w:bottom w:val="single" w:color="auto" w:sz="4"/>
          <w:right w:val="single" w:color="auto" w:sz="4"/>
          <w:insideH w:val="single" w:color="auto" w:sz="4"/>
          <w:insideV w:val="single" w:color="auto" w:sz="4"/>
        </w:tblBorders>
      </w:tblPr>
      <w:tblGrid>
        <w:gridCol w:w="500"/>
        <w:gridCol w:w="600"/>
        <w:gridCol w:w="700"/>
        <w:gridCol w:w="550"/>
        <w:gridCol w:w="550"/>
        <w:gridCol w:w="600"/>
        <w:gridCol w:w="450"/>
        <w:gridCol w:w="500"/>
        <w:gridCol w:w="800"/>
        <w:gridCol w:w="750"/>
        <w:gridCol w:w="700"/>
        <w:gridCol w:w="500"/>
        <w:gridCol w:w="700"/>
        <w:gridCol w:w="600"/>
        <w:gridCol w:w="460"/>
      </w:tblGrid>
      <w:tr>
        <w:trPr>
          <w:tblHeader/>
        </w:trPr>
        <w:tc>
          <w:tcPr>
            <w:tcW w:type="dxa" w:w="5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Txn #</w:t>
            </w:r>
          </w:p>
        </w:tc>
        <w:tc>
          <w:tcPr>
            <w:tcW w:type="dxa" w:w="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Sale Date</w:t>
            </w:r>
          </w:p>
        </w:tc>
        <w:tc>
          <w:tcPr>
            <w:tcW w:type="dxa" w:w="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Recipient</w:t>
            </w:r>
          </w:p>
        </w:tc>
        <w:tc>
          <w:tcPr>
            <w:tcW w:type="dxa" w:w="5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Category</w:t>
            </w:r>
          </w:p>
        </w:tc>
        <w:tc>
          <w:tcPr>
            <w:tcW w:type="dxa" w:w="5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Plan/Contract</w:t>
            </w:r>
          </w:p>
        </w:tc>
        <w:tc>
          <w:tcPr>
            <w:tcW w:type="dxa" w:w="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Security</w:t>
            </w:r>
          </w:p>
        </w:tc>
        <w:tc>
          <w:tcPr>
            <w:tcW w:type="dxa" w:w="4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Qty</w:t>
            </w:r>
          </w:p>
        </w:tc>
        <w:tc>
          <w:tcPr>
            <w:tcW w:type="dxa" w:w="5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Price</w:t>
            </w:r>
          </w:p>
        </w:tc>
        <w:tc>
          <w:tcPr>
            <w:tcW w:type="dxa" w:w="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Agg. Sales Price</w:t>
            </w:r>
          </w:p>
        </w:tc>
        <w:tc>
          <w:tcPr>
            <w:tcW w:type="dxa" w:w="7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12-Mo Window Start</w:t>
            </w:r>
          </w:p>
        </w:tc>
        <w:tc>
          <w:tcPr>
            <w:tcW w:type="dxa" w:w="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Rolling Total</w:t>
            </w:r>
          </w:p>
        </w:tc>
        <w:tc>
          <w:tcPr>
            <w:tcW w:type="dxa" w:w="5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Limb</w:t>
            </w:r>
          </w:p>
        </w:tc>
        <w:tc>
          <w:tcPr>
            <w:tcW w:type="dxa" w:w="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Limb Ceiling</w:t>
            </w:r>
          </w:p>
        </w:tc>
        <w:tc>
          <w:tcPr>
            <w:tcW w:type="dxa" w:w="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Headroom</w:t>
            </w:r>
          </w:p>
        </w:tc>
        <w:tc>
          <w:tcPr>
            <w:tcW w:type="dxa" w:w="4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Tier</w:t>
            </w:r>
          </w:p>
        </w:tc>
      </w:tr>
      <w:tr>
        <w:tc>
          <w:tcPr>
            <w:tcW w:type="dxa" w:w="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001</w:t>
            </w:r>
          </w:p>
        </w:tc>
        <w:tc>
          <w:tcPr>
            <w:tcW w:type="dxa" w:w="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5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[CAT]</w:t>
            </w:r>
          </w:p>
        </w:tc>
        <w:tc>
          <w:tcPr>
            <w:tcW w:type="dxa" w:w="5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[ID]</w:t>
            </w:r>
          </w:p>
        </w:tc>
        <w:tc>
          <w:tcPr>
            <w:tcW w:type="dxa" w:w="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[TYPE]</w:t>
            </w:r>
          </w:p>
        </w:tc>
        <w:tc>
          <w:tcPr>
            <w:tcW w:type="dxa" w:w="4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$[ASP]</w:t>
            </w:r>
          </w:p>
        </w:tc>
        <w:tc>
          <w:tcPr>
            <w:tcW w:type="dxa" w:w="7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$[RT]</w:t>
            </w:r>
          </w:p>
        </w:tc>
        <w:tc>
          <w:tcPr>
            <w:tcW w:type="dxa" w:w="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[1/2/3]</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$[CEIL]</w:t>
            </w:r>
          </w:p>
        </w:tc>
        <w:tc>
          <w:tcPr>
            <w:tcW w:type="dxa" w:w="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$[HR]</w:t>
            </w:r>
          </w:p>
        </w:tc>
        <w:tc>
          <w:tcPr>
            <w:tcW w:type="dxa" w:w="4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[1/2]</w:t>
            </w:r>
          </w:p>
        </w:tc>
      </w:tr>
      <w:tr>
        <w:tc>
          <w:tcPr>
            <w:tcW w:type="dxa" w:w="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002</w:t>
            </w:r>
          </w:p>
        </w:tc>
        <w:tc>
          <w:tcPr>
            <w:tcW w:type="dxa" w:w="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5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[CAT]</w:t>
            </w:r>
          </w:p>
        </w:tc>
        <w:tc>
          <w:tcPr>
            <w:tcW w:type="dxa" w:w="5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[ID]</w:t>
            </w:r>
          </w:p>
        </w:tc>
        <w:tc>
          <w:tcPr>
            <w:tcW w:type="dxa" w:w="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[TYPE]</w:t>
            </w:r>
          </w:p>
        </w:tc>
        <w:tc>
          <w:tcPr>
            <w:tcW w:type="dxa" w:w="4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$[ASP]</w:t>
            </w:r>
          </w:p>
        </w:tc>
        <w:tc>
          <w:tcPr>
            <w:tcW w:type="dxa" w:w="7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$[RT]</w:t>
            </w:r>
          </w:p>
        </w:tc>
        <w:tc>
          <w:tcPr>
            <w:tcW w:type="dxa" w:w="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[1/2/3]</w:t>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$[CEIL]</w:t>
            </w:r>
          </w:p>
        </w:tc>
        <w:tc>
          <w:tcPr>
            <w:tcW w:type="dxa" w:w="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$[HR]</w:t>
            </w:r>
          </w:p>
        </w:tc>
        <w:tc>
          <w:tcPr>
            <w:tcW w:type="dxa" w:w="4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[1/2]</w:t>
            </w:r>
          </w:p>
        </w:tc>
      </w:tr>
      <w:tr>
        <w:tc>
          <w:tcPr>
            <w:tcW w:type="dxa" w:w="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003</w:t>
            </w:r>
          </w:p>
        </w:tc>
        <w:tc>
          <w:tcPr>
            <w:tcW w:type="dxa" w:w="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5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[CAT]</w:t>
            </w:r>
          </w:p>
        </w:tc>
        <w:tc>
          <w:tcPr>
            <w:tcW w:type="dxa" w:w="5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[ID]</w:t>
            </w:r>
          </w:p>
        </w:tc>
        <w:tc>
          <w:tcPr>
            <w:tcW w:type="dxa" w:w="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[TYPE]</w:t>
            </w:r>
          </w:p>
        </w:tc>
        <w:tc>
          <w:tcPr>
            <w:tcW w:type="dxa" w:w="4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$[ASP]</w:t>
            </w:r>
          </w:p>
        </w:tc>
        <w:tc>
          <w:tcPr>
            <w:tcW w:type="dxa" w:w="7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$[RT]</w:t>
            </w:r>
          </w:p>
        </w:tc>
        <w:tc>
          <w:tcPr>
            <w:tcW w:type="dxa" w:w="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[1/2/3]</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$[CEIL]</w:t>
            </w:r>
          </w:p>
        </w:tc>
        <w:tc>
          <w:tcPr>
            <w:tcW w:type="dxa" w:w="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$[HR]</w:t>
            </w:r>
          </w:p>
        </w:tc>
        <w:tc>
          <w:tcPr>
            <w:tcW w:type="dxa" w:w="4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[1/2]</w:t>
            </w:r>
          </w:p>
        </w:tc>
      </w:tr>
      <w:tr>
        <w:tc>
          <w:tcPr>
            <w:tcW w:type="dxa" w:w="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w:r>
          </w:p>
        </w:tc>
        <w:tc>
          <w:tcPr>
            <w:tcW w:type="dxa" w:w="5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w:r>
          </w:p>
        </w:tc>
        <w:tc>
          <w:tcPr>
            <w:tcW w:type="dxa" w:w="5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w:r>
          </w:p>
        </w:tc>
        <w:tc>
          <w:tcPr>
            <w:tcW w:type="dxa" w:w="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w:r>
          </w:p>
        </w:tc>
        <w:tc>
          <w:tcPr>
            <w:tcW w:type="dxa" w:w="4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w:r>
          </w:p>
        </w:tc>
        <w:tc>
          <w:tcPr>
            <w:tcW w:type="dxa" w:w="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w:r>
          </w:p>
        </w:tc>
        <w:tc>
          <w:tcPr>
            <w:tcW w:type="dxa" w:w="7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w:r>
          </w:p>
        </w:tc>
        <w:tc>
          <w:tcPr>
            <w:tcW w:type="dxa" w:w="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w:r>
          </w:p>
        </w:tc>
        <w:tc>
          <w:tcPr>
            <w:tcW w:type="dxa" w:w="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w:r>
          </w:p>
        </w:tc>
        <w:tc>
          <w:tcPr>
            <w:tcW w:type="dxa" w:w="4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
            </w:r>
          </w:p>
        </w:tc>
      </w:tr>
    </w:tbl>
    <w:p>
      <w:pPr>
        <w:spacing w:after="40"/>
      </w:pPr>
    </w:p>
    <w:p>
      <w:pPr>
        <w:spacing w:after="160" w:line="276"/>
        <w:jc w:val="both"/>
      </w:pPr>
      <w:r>
        <w:rPr>
          <w:rFonts w:ascii="Calibri" w:cs="Calibri" w:eastAsia="Calibri" w:hAnsi="Calibri"/>
          <w:b/>
          <w:bCs/>
          <w:i w:val="false"/>
          <w:iCs w:val="false"/>
          <w:color w:val="000000"/>
          <w:sz w:val="20"/>
          <w:szCs w:val="20"/>
        </w:rPr>
        <w:t xml:space="preserve">Formulas:</w:t>
      </w:r>
    </w:p>
    <w:p>
      <w:pPr>
        <w:spacing w:after="160" w:line="276"/>
        <w:ind w:left="360"/>
        <w:jc w:val="both"/>
      </w:pPr>
      <w:r>
        <w:rPr>
          <w:rFonts w:ascii="Calibri" w:cs="Calibri" w:eastAsia="Calibri" w:hAnsi="Calibri"/>
          <w:b w:val="false"/>
          <w:bCs w:val="false"/>
          <w:i w:val="false"/>
          <w:iCs w:val="false"/>
          <w:color w:val="000000"/>
          <w:sz w:val="20"/>
          <w:szCs w:val="20"/>
        </w:rPr>
        <w:t xml:space="preserve">Aggregate Sales Price (Options) = Exercise Price × Number of Shares</w:t>
      </w:r>
    </w:p>
    <w:p>
      <w:pPr>
        <w:spacing w:after="160" w:line="276"/>
        <w:ind w:left="360"/>
        <w:jc w:val="both"/>
      </w:pPr>
      <w:r>
        <w:rPr>
          <w:rFonts w:ascii="Calibri" w:cs="Calibri" w:eastAsia="Calibri" w:hAnsi="Calibri"/>
          <w:b w:val="false"/>
          <w:bCs w:val="false"/>
          <w:i w:val="false"/>
          <w:iCs w:val="false"/>
          <w:color w:val="000000"/>
          <w:sz w:val="20"/>
          <w:szCs w:val="20"/>
        </w:rPr>
        <w:t xml:space="preserve">Aggregate Sales Price (RSAs at below FMV) = FMV × Number of Shares</w:t>
      </w:r>
    </w:p>
    <w:p>
      <w:pPr>
        <w:spacing w:after="160" w:line="276"/>
        <w:ind w:left="360"/>
        <w:jc w:val="both"/>
      </w:pPr>
      <w:r>
        <w:rPr>
          <w:rFonts w:ascii="Calibri" w:cs="Calibri" w:eastAsia="Calibri" w:hAnsi="Calibri"/>
          <w:b w:val="false"/>
          <w:bCs w:val="false"/>
          <w:i w:val="false"/>
          <w:iCs w:val="false"/>
          <w:color w:val="000000"/>
          <w:sz w:val="20"/>
          <w:szCs w:val="20"/>
        </w:rPr>
        <w:t xml:space="preserve">Rolling 12-Month Total = SUM(Aggregate Sales Price) for all transactions with Sale Date within [Sale Date minus 365 days, Sale Date]</w:t>
      </w:r>
    </w:p>
    <w:p>
      <w:pPr>
        <w:spacing w:after="160" w:line="276"/>
        <w:ind w:left="360"/>
        <w:jc w:val="both"/>
      </w:pPr>
      <w:r>
        <w:rPr>
          <w:rFonts w:ascii="Calibri" w:cs="Calibri" w:eastAsia="Calibri" w:hAnsi="Calibri"/>
          <w:b w:val="false"/>
          <w:bCs w:val="false"/>
          <w:i w:val="false"/>
          <w:iCs w:val="false"/>
          <w:color w:val="000000"/>
          <w:sz w:val="20"/>
          <w:szCs w:val="20"/>
        </w:rPr>
        <w:t xml:space="preserve">Limb Ceiling = MAX($1,000,000; 15% × Total Assets; 15% × Outstanding Securities of Class)</w:t>
      </w:r>
    </w:p>
    <w:p>
      <w:pPr>
        <w:spacing w:after="160" w:line="276"/>
        <w:ind w:left="360"/>
        <w:jc w:val="both"/>
      </w:pPr>
      <w:r>
        <w:rPr>
          <w:rFonts w:ascii="Calibri" w:cs="Calibri" w:eastAsia="Calibri" w:hAnsi="Calibri"/>
          <w:b w:val="false"/>
          <w:bCs w:val="false"/>
          <w:i w:val="false"/>
          <w:iCs w:val="false"/>
          <w:color w:val="000000"/>
          <w:sz w:val="20"/>
          <w:szCs w:val="20"/>
        </w:rPr>
        <w:t xml:space="preserve">Headroom = Limb Ceiling minus Rolling 12-Month Total</w:t>
      </w:r>
    </w:p>
    <w:p>
      <w:pPr>
        <w:spacing w:after="160" w:line="276"/>
        <w:ind w:left="360"/>
        <w:jc w:val="both"/>
      </w:pPr>
      <w:r>
        <w:rPr>
          <w:rFonts w:ascii="Calibri" w:cs="Calibri" w:eastAsia="Calibri" w:hAnsi="Calibri"/>
          <w:b w:val="false"/>
          <w:bCs w:val="false"/>
          <w:i w:val="false"/>
          <w:iCs w:val="false"/>
          <w:color w:val="000000"/>
          <w:sz w:val="20"/>
          <w:szCs w:val="20"/>
        </w:rPr>
        <w:t xml:space="preserve">Disclosure Tier = IF Rolling Total &gt; $10,000,000 THEN Tier 2 ELSE Tier 1</w:t>
      </w:r>
    </w:p>
    <w:p>
      <w:r>
        <w:br w:type="page"/>
      </w:r>
    </w:p>
    <w:p>
      <w:pPr>
        <w:pStyle w:val="Heading2"/>
        <w:spacing w:after="160" w:before="300"/>
      </w:pPr>
      <w:r>
        <w:rPr>
          <w:rFonts w:ascii="Calibri" w:cs="Calibri" w:eastAsia="Calibri" w:hAnsi="Calibri"/>
          <w:b/>
          <w:bCs/>
          <w:color w:val="2E5090"/>
          <w:sz w:val="24"/>
          <w:szCs w:val="24"/>
        </w:rPr>
        <w:t xml:space="preserve">Exhibit B: Recipient-Eligibility Matrix</w:t>
      </w:r>
    </w:p>
    <w:p>
      <w:pPr>
        <w:spacing w:after="160" w:line="276"/>
        <w:jc w:val="both"/>
      </w:pPr>
      <w:r>
        <w:rPr>
          <w:rFonts w:ascii="Calibri" w:cs="Calibri" w:eastAsia="Calibri" w:hAnsi="Calibri"/>
          <w:b w:val="false"/>
          <w:bCs w:val="false"/>
          <w:i w:val="false"/>
          <w:iCs w:val="false"/>
          <w:color w:val="000000"/>
          <w:sz w:val="20"/>
          <w:szCs w:val="20"/>
        </w:rPr>
        <w:t xml:space="preserve">This Exhibit maps each recipient to the applicable eligibility category under Rule 701(c) and documents the basis for each eligibility determination.</w:t>
      </w:r>
    </w:p>
    <w:p>
      <w:pPr>
        <w:spacing w:after="40"/>
      </w:pPr>
    </w:p>
    <w:tbl>
      <w:tblPr>
        <w:tblW w:type="dxa" w:w="8360"/>
        <w:tblBorders>
          <w:top w:val="single" w:color="auto" w:sz="4"/>
          <w:left w:val="single" w:color="auto" w:sz="4"/>
          <w:bottom w:val="single" w:color="auto" w:sz="4"/>
          <w:right w:val="single" w:color="auto" w:sz="4"/>
          <w:insideH w:val="single" w:color="auto" w:sz="4"/>
          <w:insideV w:val="single" w:color="auto" w:sz="4"/>
        </w:tblBorders>
      </w:tblPr>
      <w:tblGrid>
        <w:gridCol w:w="800"/>
        <w:gridCol w:w="500"/>
        <w:gridCol w:w="800"/>
        <w:gridCol w:w="850"/>
        <w:gridCol w:w="700"/>
        <w:gridCol w:w="750"/>
        <w:gridCol w:w="950"/>
        <w:gridCol w:w="800"/>
        <w:gridCol w:w="850"/>
        <w:gridCol w:w="700"/>
        <w:gridCol w:w="660"/>
      </w:tblGrid>
      <w:tr>
        <w:trPr>
          <w:tblHeader/>
        </w:trPr>
        <w:tc>
          <w:tcPr>
            <w:tcW w:type="dxa" w:w="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Recipient</w:t>
            </w:r>
          </w:p>
        </w:tc>
        <w:tc>
          <w:tcPr>
            <w:tcW w:type="dxa" w:w="5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ID</w:t>
            </w:r>
          </w:p>
        </w:tc>
        <w:tc>
          <w:tcPr>
            <w:tcW w:type="dxa" w:w="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Category</w:t>
            </w:r>
          </w:p>
        </w:tc>
        <w:tc>
          <w:tcPr>
            <w:tcW w:type="dxa" w:w="8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Rule 701(c) Basis</w:t>
            </w:r>
          </w:p>
        </w:tc>
        <w:tc>
          <w:tcPr>
            <w:tcW w:type="dxa" w:w="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Service Start</w:t>
            </w:r>
          </w:p>
        </w:tc>
        <w:tc>
          <w:tcPr>
            <w:tcW w:type="dxa" w:w="7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Service End</w:t>
            </w:r>
          </w:p>
        </w:tc>
        <w:tc>
          <w:tcPr>
            <w:tcW w:type="dxa" w:w="9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Compensatory Purpose?</w:t>
            </w:r>
          </w:p>
        </w:tc>
        <w:tc>
          <w:tcPr>
            <w:tcW w:type="dxa" w:w="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Natural Person?</w:t>
            </w:r>
          </w:p>
        </w:tc>
        <w:tc>
          <w:tcPr>
            <w:tcW w:type="dxa" w:w="8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Eligibility Status</w:t>
            </w:r>
          </w:p>
        </w:tc>
        <w:tc>
          <w:tcPr>
            <w:tcW w:type="dxa" w:w="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Reviewer</w:t>
            </w:r>
          </w:p>
        </w:tc>
        <w:tc>
          <w:tcPr>
            <w:tcW w:type="dxa" w:w="6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Review Date</w:t>
            </w:r>
          </w:p>
        </w:tc>
      </w:tr>
      <w:tr>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[ID]</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[EMPLOYEE]</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§701(c)(1)</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7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 or DATE]</w:t>
            </w:r>
          </w:p>
        </w:tc>
        <w:tc>
          <w:tcPr>
            <w:tcW w:type="dxa" w:w="9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[ELIGIBLE]</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6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r>
      <w:tr>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[ID]</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[DIRECTOR]</w:t>
            </w:r>
          </w:p>
        </w:tc>
        <w:tc>
          <w:tcPr>
            <w:tcW w:type="dxa" w:w="8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§701(c)(1)</w:t>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7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 or DATE]</w:t>
            </w:r>
          </w:p>
        </w:tc>
        <w:tc>
          <w:tcPr>
            <w:tcW w:type="dxa" w:w="9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w:t>
            </w:r>
          </w:p>
        </w:tc>
        <w:tc>
          <w:tcPr>
            <w:tcW w:type="dxa" w:w="8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[ELIGIBLE]</w:t>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6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r>
      <w:tr>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[ID]</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[CONSULTANT]</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§701(c)(1)</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7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 or DATE]</w:t>
            </w:r>
          </w:p>
        </w:tc>
        <w:tc>
          <w:tcPr>
            <w:tcW w:type="dxa" w:w="9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[ELIGIBLE]</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6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r>
      <w:tr>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[ID]</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[FAMILY]</w:t>
            </w:r>
          </w:p>
        </w:tc>
        <w:tc>
          <w:tcPr>
            <w:tcW w:type="dxa" w:w="8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§701(c)(2)</w:t>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7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9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w:t>
            </w:r>
          </w:p>
        </w:tc>
        <w:tc>
          <w:tcPr>
            <w:tcW w:type="dxa" w:w="8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[ELIGIBLE]</w:t>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6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r>
      <w:tr>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[ID]</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[FORMER]</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§701(c)(3)</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7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9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w:t>
            </w:r>
          </w:p>
        </w:tc>
        <w:tc>
          <w:tcPr>
            <w:tcW w:type="dxa" w:w="8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[ELIGIBLE]</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6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r>
      <w:tr>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w:t>
            </w:r>
          </w:p>
        </w:tc>
        <w:tc>
          <w:tcPr>
            <w:tcW w:type="dxa" w:w="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[ID]</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[CAT]</w:t>
            </w:r>
          </w:p>
        </w:tc>
        <w:tc>
          <w:tcPr>
            <w:tcW w:type="dxa" w:w="8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[BASIS]</w:t>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7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9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[Y/N]</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[Y/N]</w:t>
            </w:r>
          </w:p>
        </w:tc>
        <w:tc>
          <w:tcPr>
            <w:tcW w:type="dxa" w:w="8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[STATUS]</w:t>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6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r>
    </w:tbl>
    <w:p>
      <w:r>
        <w:br w:type="page"/>
      </w:r>
    </w:p>
    <w:p>
      <w:pPr>
        <w:pStyle w:val="Heading2"/>
        <w:spacing w:after="160" w:before="300"/>
      </w:pPr>
      <w:r>
        <w:rPr>
          <w:rFonts w:ascii="Calibri" w:cs="Calibri" w:eastAsia="Calibri" w:hAnsi="Calibri"/>
          <w:b/>
          <w:bCs/>
          <w:color w:val="2E5090"/>
          <w:sz w:val="24"/>
          <w:szCs w:val="24"/>
        </w:rPr>
        <w:t xml:space="preserve">Exhibit C: Disclosure-Tier Decision Tree</w:t>
      </w:r>
    </w:p>
    <w:p>
      <w:pPr>
        <w:spacing w:after="160" w:line="276"/>
        <w:jc w:val="both"/>
      </w:pPr>
      <w:r>
        <w:rPr>
          <w:rFonts w:ascii="Calibri" w:cs="Calibri" w:eastAsia="Calibri" w:hAnsi="Calibri"/>
          <w:b w:val="false"/>
          <w:bCs w:val="false"/>
          <w:i w:val="false"/>
          <w:iCs w:val="false"/>
          <w:color w:val="000000"/>
          <w:sz w:val="20"/>
          <w:szCs w:val="20"/>
        </w:rPr>
        <w:t xml:space="preserve">This Exhibit provides a step-by-step decision tree for determining the applicable disclosure tier for each sale of securities under Rule 701.</w:t>
      </w:r>
    </w:p>
    <w:p>
      <w:pPr>
        <w:spacing w:after="40"/>
      </w:pPr>
    </w:p>
    <w:p>
      <w:pPr>
        <w:spacing w:after="160" w:line="276"/>
        <w:jc w:val="both"/>
      </w:pPr>
      <w:r>
        <w:rPr>
          <w:rFonts w:ascii="Calibri" w:cs="Calibri" w:eastAsia="Calibri" w:hAnsi="Calibri"/>
          <w:b/>
          <w:bCs/>
          <w:i w:val="false"/>
          <w:iCs w:val="false"/>
          <w:color w:val="000000"/>
          <w:sz w:val="20"/>
          <w:szCs w:val="20"/>
        </w:rPr>
        <w:t xml:space="preserve">Step 1: Calculate Aggregate Sales Price for the Current Sale</w:t>
      </w:r>
    </w:p>
    <w:p>
      <w:pPr>
        <w:spacing w:after="160" w:line="276"/>
        <w:ind w:left="360"/>
        <w:jc w:val="both"/>
      </w:pPr>
      <w:r>
        <w:rPr>
          <w:rFonts w:ascii="Calibri" w:cs="Calibri" w:eastAsia="Calibri" w:hAnsi="Calibri"/>
          <w:b w:val="false"/>
          <w:bCs w:val="false"/>
          <w:i w:val="false"/>
          <w:iCs w:val="false"/>
          <w:color w:val="000000"/>
          <w:sz w:val="20"/>
          <w:szCs w:val="20"/>
        </w:rPr>
        <w:t xml:space="preserve">Aggregate Sales Price = [PRICE/SHARE] × [NUMBER OF SHARES]</w:t>
      </w:r>
    </w:p>
    <w:p>
      <w:pPr>
        <w:spacing w:after="40"/>
      </w:pPr>
    </w:p>
    <w:p>
      <w:pPr>
        <w:spacing w:after="160" w:line="276"/>
        <w:jc w:val="both"/>
      </w:pPr>
      <w:r>
        <w:rPr>
          <w:rFonts w:ascii="Calibri" w:cs="Calibri" w:eastAsia="Calibri" w:hAnsi="Calibri"/>
          <w:b/>
          <w:bCs/>
          <w:i w:val="false"/>
          <w:iCs w:val="false"/>
          <w:color w:val="000000"/>
          <w:sz w:val="20"/>
          <w:szCs w:val="20"/>
        </w:rPr>
        <w:t xml:space="preserve">Step 2: Calculate Rolling 12-Month Total</w:t>
      </w:r>
    </w:p>
    <w:p>
      <w:pPr>
        <w:spacing w:after="160" w:line="276"/>
        <w:ind w:left="360"/>
        <w:jc w:val="both"/>
      </w:pPr>
      <w:r>
        <w:rPr>
          <w:rFonts w:ascii="Calibri" w:cs="Calibri" w:eastAsia="Calibri" w:hAnsi="Calibri"/>
          <w:b w:val="false"/>
          <w:bCs w:val="false"/>
          <w:i w:val="false"/>
          <w:iCs w:val="false"/>
          <w:color w:val="000000"/>
          <w:sz w:val="20"/>
          <w:szCs w:val="20"/>
        </w:rPr>
        <w:t xml:space="preserve">Rolling Total = Sum of all Aggregate Sales Prices for sales with Sale Dates within [Current Sale Date – 365 days, Current Sale Date]</w:t>
      </w:r>
    </w:p>
    <w:p>
      <w:pPr>
        <w:spacing w:after="40"/>
      </w:pPr>
    </w:p>
    <w:p>
      <w:pPr>
        <w:spacing w:after="160" w:line="276"/>
        <w:jc w:val="both"/>
      </w:pPr>
      <w:r>
        <w:rPr>
          <w:rFonts w:ascii="Calibri" w:cs="Calibri" w:eastAsia="Calibri" w:hAnsi="Calibri"/>
          <w:b/>
          <w:bCs/>
          <w:i w:val="false"/>
          <w:iCs w:val="false"/>
          <w:color w:val="000000"/>
          <w:sz w:val="20"/>
          <w:szCs w:val="20"/>
        </w:rPr>
        <w:t xml:space="preserve">Step 3: Determine Applicable Limb Ceiling</w:t>
      </w:r>
    </w:p>
    <w:p>
      <w:pPr>
        <w:spacing w:after="160" w:line="276"/>
        <w:ind w:left="360"/>
        <w:jc w:val="both"/>
      </w:pPr>
      <w:r>
        <w:rPr>
          <w:rFonts w:ascii="Calibri" w:cs="Calibri" w:eastAsia="Calibri" w:hAnsi="Calibri"/>
          <w:b w:val="false"/>
          <w:bCs w:val="false"/>
          <w:i w:val="false"/>
          <w:iCs w:val="false"/>
          <w:color w:val="000000"/>
          <w:sz w:val="20"/>
          <w:szCs w:val="20"/>
        </w:rPr>
        <w:t xml:space="preserve">Limb 1: $1,000,000</w:t>
      </w:r>
    </w:p>
    <w:p>
      <w:pPr>
        <w:spacing w:after="160" w:line="276"/>
        <w:ind w:left="360"/>
        <w:jc w:val="both"/>
      </w:pPr>
      <w:r>
        <w:rPr>
          <w:rFonts w:ascii="Calibri" w:cs="Calibri" w:eastAsia="Calibri" w:hAnsi="Calibri"/>
          <w:b w:val="false"/>
          <w:bCs w:val="false"/>
          <w:i w:val="false"/>
          <w:iCs w:val="false"/>
          <w:color w:val="000000"/>
          <w:sz w:val="20"/>
          <w:szCs w:val="20"/>
        </w:rPr>
        <w:t xml:space="preserve">Limb 2: 15% × Total Assets = $[AMOUNT]</w:t>
      </w:r>
    </w:p>
    <w:p>
      <w:pPr>
        <w:spacing w:after="160" w:line="276"/>
        <w:ind w:left="360"/>
        <w:jc w:val="both"/>
      </w:pPr>
      <w:r>
        <w:rPr>
          <w:rFonts w:ascii="Calibri" w:cs="Calibri" w:eastAsia="Calibri" w:hAnsi="Calibri"/>
          <w:b w:val="false"/>
          <w:bCs w:val="false"/>
          <w:i w:val="false"/>
          <w:iCs w:val="false"/>
          <w:color w:val="000000"/>
          <w:sz w:val="20"/>
          <w:szCs w:val="20"/>
        </w:rPr>
        <w:t xml:space="preserve">Limb 3: 15% × Outstanding Securities = [NUMBER] shares × $[FMV] = $[AMOUNT]</w:t>
      </w:r>
    </w:p>
    <w:p>
      <w:pPr>
        <w:spacing w:after="160" w:line="276"/>
        <w:ind w:left="360"/>
        <w:jc w:val="both"/>
      </w:pPr>
      <w:r>
        <w:rPr>
          <w:rFonts w:ascii="Calibri" w:cs="Calibri" w:eastAsia="Calibri" w:hAnsi="Calibri"/>
          <w:b w:val="false"/>
          <w:bCs w:val="false"/>
          <w:i w:val="false"/>
          <w:iCs w:val="false"/>
          <w:color w:val="000000"/>
          <w:sz w:val="20"/>
          <w:szCs w:val="20"/>
        </w:rPr>
        <w:t xml:space="preserve">Applicable Ceiling = MAX(Limb 1, Limb 2, Limb 3) = $[AMOUNT]</w:t>
      </w:r>
    </w:p>
    <w:p>
      <w:pPr>
        <w:spacing w:after="40"/>
      </w:pPr>
    </w:p>
    <w:p>
      <w:pPr>
        <w:spacing w:after="160" w:line="276"/>
        <w:jc w:val="both"/>
      </w:pPr>
      <w:r>
        <w:rPr>
          <w:rFonts w:ascii="Calibri" w:cs="Calibri" w:eastAsia="Calibri" w:hAnsi="Calibri"/>
          <w:b/>
          <w:bCs/>
          <w:i w:val="false"/>
          <w:iCs w:val="false"/>
          <w:color w:val="000000"/>
          <w:sz w:val="20"/>
          <w:szCs w:val="20"/>
        </w:rPr>
        <w:t xml:space="preserve">Step 4: Verify Compliance with Aggregate Limit</w:t>
      </w:r>
    </w:p>
    <w:p>
      <w:pPr>
        <w:spacing w:after="160" w:line="276"/>
        <w:ind w:left="360"/>
        <w:jc w:val="both"/>
      </w:pPr>
      <w:r>
        <w:rPr>
          <w:rFonts w:ascii="Calibri" w:cs="Calibri" w:eastAsia="Calibri" w:hAnsi="Calibri"/>
          <w:b w:val="false"/>
          <w:bCs w:val="false"/>
          <w:i w:val="false"/>
          <w:iCs w:val="false"/>
          <w:color w:val="000000"/>
          <w:sz w:val="20"/>
          <w:szCs w:val="20"/>
        </w:rPr>
        <w:t xml:space="preserve">IF Rolling Total ≤ Applicable Ceiling: PROCEED to Step 5</w:t>
      </w:r>
    </w:p>
    <w:p>
      <w:pPr>
        <w:spacing w:after="160" w:line="276"/>
        <w:ind w:left="360"/>
        <w:jc w:val="both"/>
      </w:pPr>
      <w:r>
        <w:rPr>
          <w:rFonts w:ascii="Calibri" w:cs="Calibri" w:eastAsia="Calibri" w:hAnsi="Calibri"/>
          <w:b w:val="false"/>
          <w:bCs w:val="false"/>
          <w:i w:val="false"/>
          <w:iCs w:val="false"/>
          <w:color w:val="000000"/>
          <w:sz w:val="20"/>
          <w:szCs w:val="20"/>
        </w:rPr>
        <w:t xml:space="preserve">IF Rolling Total &gt; Applicable Ceiling: STOP — sale cannot proceed under Rule 701. Evaluate alternative exemptions (Section 1.6) or defer sale.</w:t>
      </w:r>
    </w:p>
    <w:p>
      <w:pPr>
        <w:spacing w:after="40"/>
      </w:pPr>
    </w:p>
    <w:p>
      <w:pPr>
        <w:spacing w:after="160" w:line="276"/>
        <w:jc w:val="both"/>
      </w:pPr>
      <w:r>
        <w:rPr>
          <w:rFonts w:ascii="Calibri" w:cs="Calibri" w:eastAsia="Calibri" w:hAnsi="Calibri"/>
          <w:b/>
          <w:bCs/>
          <w:i w:val="false"/>
          <w:iCs w:val="false"/>
          <w:color w:val="000000"/>
          <w:sz w:val="20"/>
          <w:szCs w:val="20"/>
        </w:rPr>
        <w:t xml:space="preserve">Step 5: Determine Disclosure Tier</w:t>
      </w:r>
    </w:p>
    <w:p>
      <w:pPr>
        <w:spacing w:after="160" w:line="276"/>
        <w:ind w:left="360"/>
        <w:jc w:val="both"/>
      </w:pPr>
      <w:r>
        <w:rPr>
          <w:rFonts w:ascii="Calibri" w:cs="Calibri" w:eastAsia="Calibri" w:hAnsi="Calibri"/>
          <w:b w:val="false"/>
          <w:bCs w:val="false"/>
          <w:i w:val="false"/>
          <w:iCs w:val="false"/>
          <w:color w:val="000000"/>
          <w:sz w:val="20"/>
          <w:szCs w:val="20"/>
        </w:rPr>
        <w:t xml:space="preserve">IF Rolling Total ≤ $10,000,000: TIER 1 — No mandatory disclosure (best practices apply).</w:t>
      </w:r>
    </w:p>
    <w:p>
      <w:pPr>
        <w:spacing w:after="160" w:line="276"/>
        <w:ind w:left="360"/>
        <w:jc w:val="both"/>
      </w:pPr>
      <w:r>
        <w:rPr>
          <w:rFonts w:ascii="Calibri" w:cs="Calibri" w:eastAsia="Calibri" w:hAnsi="Calibri"/>
          <w:b w:val="false"/>
          <w:bCs w:val="false"/>
          <w:i w:val="false"/>
          <w:iCs w:val="false"/>
          <w:color w:val="000000"/>
          <w:sz w:val="20"/>
          <w:szCs w:val="20"/>
        </w:rPr>
        <w:t xml:space="preserve">IF Rolling Total &gt; $10,000,000: TIER 2 — Enhanced disclosure required. Deliver Bundle (Section 5) a reasonable period before sale.</w:t>
      </w:r>
    </w:p>
    <w:p>
      <w:pPr>
        <w:spacing w:after="40"/>
      </w:pPr>
    </w:p>
    <w:p>
      <w:pPr>
        <w:spacing w:after="160" w:line="276"/>
        <w:jc w:val="both"/>
      </w:pPr>
      <w:r>
        <w:rPr>
          <w:rFonts w:ascii="Calibri" w:cs="Calibri" w:eastAsia="Calibri" w:hAnsi="Calibri"/>
          <w:b/>
          <w:bCs/>
          <w:i w:val="false"/>
          <w:iCs w:val="false"/>
          <w:color w:val="000000"/>
          <w:sz w:val="20"/>
          <w:szCs w:val="20"/>
        </w:rPr>
        <w:t xml:space="preserve">Step 6: Apply Conservative Escalation (Section 4.4)</w:t>
      </w:r>
    </w:p>
    <w:p>
      <w:pPr>
        <w:spacing w:after="160" w:line="276"/>
        <w:ind w:left="360"/>
        <w:jc w:val="both"/>
      </w:pPr>
      <w:r>
        <w:rPr>
          <w:rFonts w:ascii="Calibri" w:cs="Calibri" w:eastAsia="Calibri" w:hAnsi="Calibri"/>
          <w:b w:val="false"/>
          <w:bCs w:val="false"/>
          <w:i w:val="false"/>
          <w:iCs w:val="false"/>
          <w:color w:val="000000"/>
          <w:sz w:val="20"/>
          <w:szCs w:val="20"/>
        </w:rPr>
        <w:t xml:space="preserve">IF Rolling Total ≥ $8,000,000: YELLOW ZONE — Begin preparing Tier 2 materials.</w:t>
      </w:r>
    </w:p>
    <w:p>
      <w:pPr>
        <w:spacing w:after="160" w:line="276"/>
        <w:ind w:left="360"/>
        <w:jc w:val="both"/>
      </w:pPr>
      <w:r>
        <w:rPr>
          <w:rFonts w:ascii="Calibri" w:cs="Calibri" w:eastAsia="Calibri" w:hAnsi="Calibri"/>
          <w:b w:val="false"/>
          <w:bCs w:val="false"/>
          <w:i w:val="false"/>
          <w:iCs w:val="false"/>
          <w:color w:val="000000"/>
          <w:sz w:val="20"/>
          <w:szCs w:val="20"/>
        </w:rPr>
        <w:t xml:space="preserve">IF Rolling Total ≥ $9,500,000: ORANGE ZONE — Finalize all Tier 2 materials.</w:t>
      </w:r>
    </w:p>
    <w:p>
      <w:pPr>
        <w:spacing w:after="160" w:line="276"/>
        <w:ind w:left="360"/>
        <w:jc w:val="both"/>
      </w:pPr>
      <w:r>
        <w:rPr>
          <w:rFonts w:ascii="Calibri" w:cs="Calibri" w:eastAsia="Calibri" w:hAnsi="Calibri"/>
          <w:b w:val="false"/>
          <w:bCs w:val="false"/>
          <w:i w:val="false"/>
          <w:iCs w:val="false"/>
          <w:color w:val="000000"/>
          <w:sz w:val="20"/>
          <w:szCs w:val="20"/>
        </w:rPr>
        <w:t xml:space="preserve">IF Rolling Total ≥ $10,000,000: RED ZONE — Hold all sales until Tier 2 materials delivered.</w:t>
      </w:r>
    </w:p>
    <w:p>
      <w:r>
        <w:br w:type="page"/>
      </w:r>
    </w:p>
    <w:p>
      <w:pPr>
        <w:pStyle w:val="Heading2"/>
        <w:spacing w:after="160" w:before="300"/>
      </w:pPr>
      <w:r>
        <w:rPr>
          <w:rFonts w:ascii="Calibri" w:cs="Calibri" w:eastAsia="Calibri" w:hAnsi="Calibri"/>
          <w:b/>
          <w:bCs/>
          <w:color w:val="2E5090"/>
          <w:sz w:val="24"/>
          <w:szCs w:val="24"/>
        </w:rPr>
        <w:t xml:space="preserve">Exhibit D: Bundle Index, Version History, Hash Manifest, and Currency Certificate</w:t>
      </w:r>
    </w:p>
    <w:p>
      <w:pPr>
        <w:spacing w:after="160" w:line="276"/>
        <w:jc w:val="both"/>
      </w:pPr>
      <w:r>
        <w:rPr>
          <w:rFonts w:ascii="Calibri" w:cs="Calibri" w:eastAsia="Calibri" w:hAnsi="Calibri"/>
          <w:b w:val="false"/>
          <w:bCs w:val="false"/>
          <w:i w:val="false"/>
          <w:iCs w:val="false"/>
          <w:color w:val="000000"/>
          <w:sz w:val="20"/>
          <w:szCs w:val="20"/>
        </w:rPr>
        <w:t xml:space="preserve">This Exhibit indexes every document included in the Bundle, tracks version history, and provides integrity verification through cryptographic hashing.</w:t>
      </w:r>
    </w:p>
    <w:p>
      <w:pPr>
        <w:spacing w:after="40"/>
      </w:pPr>
    </w:p>
    <w:p>
      <w:pPr>
        <w:pStyle w:val="Heading3"/>
        <w:spacing w:after="120" w:before="240"/>
      </w:pPr>
      <w:r>
        <w:rPr>
          <w:rFonts w:ascii="Calibri" w:cs="Calibri" w:eastAsia="Calibri" w:hAnsi="Calibri"/>
          <w:b/>
          <w:bCs/>
          <w:color w:val="1B2A4A"/>
          <w:sz w:val="22"/>
          <w:szCs w:val="22"/>
        </w:rPr>
        <w:t xml:space="preserve">D.1 Bundle Index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0"/>
        <w:gridCol w:w="2200"/>
        <w:gridCol w:w="900"/>
        <w:gridCol w:w="800"/>
        <w:gridCol w:w="600"/>
        <w:gridCol w:w="2560"/>
        <w:gridCol w:w="1600"/>
      </w:tblGrid>
      <w:tr>
        <w:trPr>
          <w:tblHeader/>
        </w:trPr>
        <w:tc>
          <w:tcPr>
            <w:tcW w:type="dxa" w:w="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Doc ID</w:t>
            </w:r>
          </w:p>
        </w:tc>
        <w:tc>
          <w:tcPr>
            <w:tcW w:type="dxa" w:w="2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Document Title</w:t>
            </w:r>
          </w:p>
        </w:tc>
        <w:tc>
          <w:tcPr>
            <w:tcW w:type="dxa" w:w="9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Version</w:t>
            </w:r>
          </w:p>
        </w:tc>
        <w:tc>
          <w:tcPr>
            <w:tcW w:type="dxa" w:w="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Date</w:t>
            </w:r>
          </w:p>
        </w:tc>
        <w:tc>
          <w:tcPr>
            <w:tcW w:type="dxa" w:w="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Pages</w:t>
            </w:r>
          </w:p>
        </w:tc>
        <w:tc>
          <w:tcPr>
            <w:tcW w:type="dxa" w:w="25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SHA-256 Hash</w:t>
            </w:r>
          </w:p>
        </w:tc>
        <w:tc>
          <w:tcPr>
            <w:tcW w:type="dxa" w:w="1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Status</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DOC-001</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[EQUITY INCENTIVE PLAN]</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2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[HASH]</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[CURRENT/SUPERSEDED]</w:t>
            </w:r>
          </w:p>
        </w:tc>
      </w:tr>
      <w:tr>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DOC-002</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[FORM OF OPTION AGREEMENT]</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2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[HASH]</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[CURRENT/SUPERSEDED]</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DOC-003</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[FORM OF RSA AGREEMENT]</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2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[HASH]</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[CURRENT/SUPERSEDED]</w:t>
            </w:r>
          </w:p>
        </w:tc>
      </w:tr>
      <w:tr>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DOC-004</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[SUMMARY OF MATERIAL TERMS]</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2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[HASH]</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[CURRENT/SUPERSEDED]</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DOC-005</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[RISK FACTORS]</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2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[HASH]</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[CURRENT/SUPERSEDED]</w:t>
            </w:r>
          </w:p>
        </w:tc>
      </w:tr>
      <w:tr>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DOC-006</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[BALANCE SHEET]</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2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[HASH]</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[CURRENT/SUPERSEDED]</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DOC-007</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[INCOME STATEMENT]</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2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[HASH]</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[CURRENT/SUPERSEDED]</w:t>
            </w:r>
          </w:p>
        </w:tc>
      </w:tr>
      <w:tr>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DOC-008</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[CAPITALIZATION SUMMARY]</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2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[HASH]</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[CURRENT/SUPERSEDED]</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DOC-009</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[COVER NOTICE]</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2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[HASH]</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[CURRENT/SUPERSEDED]</w:t>
            </w:r>
          </w:p>
        </w:tc>
      </w:tr>
      <w:tr>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[AS NEEDED]</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2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[HASH]</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[STATUS]</w:t>
            </w:r>
          </w:p>
        </w:tc>
      </w:tr>
    </w:tbl>
    <w:p>
      <w:pPr>
        <w:spacing w:after="40"/>
      </w:pPr>
    </w:p>
    <w:p>
      <w:pPr>
        <w:pStyle w:val="Heading3"/>
        <w:spacing w:after="120" w:before="240"/>
      </w:pPr>
      <w:r>
        <w:rPr>
          <w:rFonts w:ascii="Calibri" w:cs="Calibri" w:eastAsia="Calibri" w:hAnsi="Calibri"/>
          <w:b/>
          <w:bCs/>
          <w:color w:val="1B2A4A"/>
          <w:sz w:val="22"/>
          <w:szCs w:val="22"/>
        </w:rPr>
        <w:t xml:space="preserve">D.2 Version History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0"/>
        <w:gridCol w:w="1200"/>
        <w:gridCol w:w="1500"/>
        <w:gridCol w:w="3860"/>
        <w:gridCol w:w="1800"/>
      </w:tblGrid>
      <w:tr>
        <w:trPr>
          <w:tblHeader/>
        </w:trPr>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Version</w:t>
            </w:r>
          </w:p>
        </w:tc>
        <w:tc>
          <w:tcPr>
            <w:tcW w:type="dxa" w:w="1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Date</w:t>
            </w:r>
          </w:p>
        </w:tc>
        <w:tc>
          <w:tcPr>
            <w:tcW w:type="dxa" w:w="15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Author</w:t>
            </w:r>
          </w:p>
        </w:tc>
        <w:tc>
          <w:tcPr>
            <w:tcW w:type="dxa" w:w="38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Description of Changes</w:t>
            </w:r>
          </w:p>
        </w:tc>
        <w:tc>
          <w:tcPr>
            <w:tcW w:type="dxa" w:w="1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Approved By</w:t>
            </w:r>
          </w:p>
        </w:tc>
      </w:tr>
      <w:tr>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1.0</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38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Initial Bundle compilation</w:t>
            </w:r>
          </w:p>
        </w:tc>
        <w:tc>
          <w:tcPr>
            <w:tcW w:type="dxa" w:w="1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r>
      <w:tr>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1.1</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38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 CHANGES]</w:t>
            </w:r>
          </w:p>
        </w:tc>
        <w:tc>
          <w:tcPr>
            <w:tcW w:type="dxa" w:w="1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r>
      <w:tr>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2.0</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38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 MAJOR UPDATE]</w:t>
            </w:r>
          </w:p>
        </w:tc>
        <w:tc>
          <w:tcPr>
            <w:tcW w:type="dxa" w:w="1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r>
      <w:tr>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38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[DESCRIPTION]</w:t>
            </w:r>
          </w:p>
        </w:tc>
        <w:tc>
          <w:tcPr>
            <w:tcW w:type="dxa" w:w="1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[NAME/TITLE]</w:t>
            </w:r>
          </w:p>
        </w:tc>
      </w:tr>
    </w:tbl>
    <w:p>
      <w:pPr>
        <w:spacing w:after="40"/>
      </w:pPr>
    </w:p>
    <w:p>
      <w:pPr>
        <w:pStyle w:val="Heading3"/>
        <w:spacing w:after="120" w:before="240"/>
      </w:pPr>
      <w:r>
        <w:rPr>
          <w:rFonts w:ascii="Calibri" w:cs="Calibri" w:eastAsia="Calibri" w:hAnsi="Calibri"/>
          <w:b/>
          <w:bCs/>
          <w:color w:val="1B2A4A"/>
          <w:sz w:val="22"/>
          <w:szCs w:val="22"/>
        </w:rPr>
        <w:t xml:space="preserve">D.3 Hash Manifest</w:t>
      </w:r>
    </w:p>
    <w:p>
      <w:pPr>
        <w:spacing w:after="160" w:line="276"/>
        <w:jc w:val="both"/>
      </w:pPr>
      <w:r>
        <w:rPr>
          <w:rFonts w:ascii="Calibri" w:cs="Calibri" w:eastAsia="Calibri" w:hAnsi="Calibri"/>
          <w:b w:val="false"/>
          <w:bCs w:val="false"/>
          <w:i w:val="false"/>
          <w:iCs w:val="false"/>
          <w:color w:val="000000"/>
          <w:sz w:val="20"/>
          <w:szCs w:val="20"/>
        </w:rPr>
        <w:t xml:space="preserve">The SHA-256 hash of the complete Bundle package (ZIP archive) for each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800"/>
        <w:gridCol w:w="3160"/>
        <w:gridCol w:w="1600"/>
        <w:gridCol w:w="1600"/>
      </w:tblGrid>
      <w:tr>
        <w:trPr>
          <w:tblHeader/>
        </w:trPr>
        <w:tc>
          <w:tcPr>
            <w:tcW w:type="dxa" w:w="1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Bundle Version</w:t>
            </w:r>
          </w:p>
        </w:tc>
        <w:tc>
          <w:tcPr>
            <w:tcW w:type="dxa" w:w="1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Archive Filename</w:t>
            </w:r>
          </w:p>
        </w:tc>
        <w:tc>
          <w:tcPr>
            <w:tcW w:type="dxa" w:w="31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SHA-256 Hash</w:t>
            </w:r>
          </w:p>
        </w:tc>
        <w:tc>
          <w:tcPr>
            <w:tcW w:type="dxa" w:w="1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Generated By</w:t>
            </w:r>
          </w:p>
        </w:tc>
        <w:tc>
          <w:tcPr>
            <w:tcW w:type="dxa" w:w="16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Generation Date</w:t>
            </w:r>
          </w:p>
        </w:tc>
      </w:tr>
      <w:tr>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[FILENAME.zip]</w:t>
            </w:r>
          </w:p>
        </w:tc>
        <w:tc>
          <w:tcPr>
            <w:tcW w:type="dxa" w:w="31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[64-CHARACTER HEX HASH]</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[NAME/SYSTEM]</w:t>
            </w:r>
          </w:p>
        </w:tc>
        <w:tc>
          <w:tcPr>
            <w:tcW w:type="dxa" w:w="16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r>
      <w:tr>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[VERSION]</w:t>
            </w:r>
          </w:p>
        </w:tc>
        <w:tc>
          <w:tcPr>
            <w:tcW w:type="dxa" w:w="1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[FILENAME.zip]</w:t>
            </w:r>
          </w:p>
        </w:tc>
        <w:tc>
          <w:tcPr>
            <w:tcW w:type="dxa" w:w="31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[64-CHARACTER HEX HASH]</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[NAME/SYSTEM]</w:t>
            </w:r>
          </w:p>
        </w:tc>
        <w:tc>
          <w:tcPr>
            <w:tcW w:type="dxa" w:w="16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r>
    </w:tbl>
    <w:p>
      <w:r>
        <w:br w:type="page"/>
      </w:r>
    </w:p>
    <w:p>
      <w:pPr>
        <w:pStyle w:val="Heading2"/>
        <w:spacing w:after="160" w:before="300"/>
      </w:pPr>
      <w:r>
        <w:rPr>
          <w:rFonts w:ascii="Calibri" w:cs="Calibri" w:eastAsia="Calibri" w:hAnsi="Calibri"/>
          <w:b/>
          <w:bCs/>
          <w:color w:val="2E5090"/>
          <w:sz w:val="24"/>
          <w:szCs w:val="24"/>
        </w:rPr>
        <w:t xml:space="preserve">Exhibit E: Delivery and Receipt Log and Exception Report</w:t>
      </w:r>
    </w:p>
    <w:p>
      <w:pPr>
        <w:spacing w:after="160" w:line="276"/>
        <w:jc w:val="both"/>
      </w:pPr>
      <w:r>
        <w:rPr>
          <w:rFonts w:ascii="Calibri" w:cs="Calibri" w:eastAsia="Calibri" w:hAnsi="Calibri"/>
          <w:b w:val="false"/>
          <w:bCs w:val="false"/>
          <w:i w:val="false"/>
          <w:iCs w:val="false"/>
          <w:color w:val="000000"/>
          <w:sz w:val="20"/>
          <w:szCs w:val="20"/>
        </w:rPr>
        <w:t xml:space="preserve">This Exhibit provides a consolidated log of all delivery events and receipt confirmations, together with an exception report for any delivery failures or incomplete acknowledgments.</w:t>
      </w:r>
    </w:p>
    <w:p>
      <w:pPr>
        <w:spacing w:after="40"/>
      </w:pPr>
    </w:p>
    <w:p>
      <w:pPr>
        <w:pStyle w:val="Heading3"/>
        <w:spacing w:after="120" w:before="240"/>
      </w:pPr>
      <w:r>
        <w:rPr>
          <w:rFonts w:ascii="Calibri" w:cs="Calibri" w:eastAsia="Calibri" w:hAnsi="Calibri"/>
          <w:b/>
          <w:bCs/>
          <w:color w:val="1B2A4A"/>
          <w:sz w:val="22"/>
          <w:szCs w:val="22"/>
        </w:rPr>
        <w:t xml:space="preserve">E.1 Delivery Log</w:t>
      </w:r>
    </w:p>
    <w:tbl>
      <w:tblPr>
        <w:tblW w:type="dxa" w:w="8660"/>
        <w:tblBorders>
          <w:top w:val="single" w:color="auto" w:sz="4"/>
          <w:left w:val="single" w:color="auto" w:sz="4"/>
          <w:bottom w:val="single" w:color="auto" w:sz="4"/>
          <w:right w:val="single" w:color="auto" w:sz="4"/>
          <w:insideH w:val="single" w:color="auto" w:sz="4"/>
          <w:insideV w:val="single" w:color="auto" w:sz="4"/>
        </w:tblBorders>
      </w:tblPr>
      <w:tblGrid>
        <w:gridCol w:w="750"/>
        <w:gridCol w:w="1000"/>
        <w:gridCol w:w="550"/>
        <w:gridCol w:w="750"/>
        <w:gridCol w:w="900"/>
        <w:gridCol w:w="1200"/>
        <w:gridCol w:w="500"/>
        <w:gridCol w:w="900"/>
        <w:gridCol w:w="1110"/>
        <w:gridCol w:w="1000"/>
      </w:tblGrid>
      <w:tr>
        <w:trPr>
          <w:tblHeader/>
        </w:trPr>
        <w:tc>
          <w:tcPr>
            <w:tcW w:type="dxa" w:w="7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Delivery #</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Recipient</w:t>
            </w:r>
          </w:p>
        </w:tc>
        <w:tc>
          <w:tcPr>
            <w:tcW w:type="dxa" w:w="5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Txn #</w:t>
            </w:r>
          </w:p>
        </w:tc>
        <w:tc>
          <w:tcPr>
            <w:tcW w:type="dxa" w:w="7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Bundle Ver.</w:t>
            </w:r>
          </w:p>
        </w:tc>
        <w:tc>
          <w:tcPr>
            <w:tcW w:type="dxa" w:w="9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Method</w:t>
            </w:r>
          </w:p>
        </w:tc>
        <w:tc>
          <w:tcPr>
            <w:tcW w:type="dxa" w:w="1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Delivery Date/Time</w:t>
            </w:r>
          </w:p>
        </w:tc>
        <w:tc>
          <w:tcPr>
            <w:tcW w:type="dxa" w:w="5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TZ</w:t>
            </w:r>
          </w:p>
        </w:tc>
        <w:tc>
          <w:tcPr>
            <w:tcW w:type="dxa" w:w="9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Auth Method</w:t>
            </w:r>
          </w:p>
        </w:tc>
        <w:tc>
          <w:tcPr>
            <w:tcW w:type="dxa" w:w="111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Access Confirmed?</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Ack Received?</w:t>
            </w:r>
          </w:p>
        </w:tc>
      </w:tr>
      <w:tr>
        <w:tc>
          <w:tcPr>
            <w:tcW w:type="dxa" w:w="7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DEL-001</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5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001</w:t>
            </w:r>
          </w:p>
        </w:tc>
        <w:tc>
          <w:tcPr>
            <w:tcW w:type="dxa" w:w="7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[METHOD]</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[DATE/TIME]</w:t>
            </w:r>
          </w:p>
        </w:tc>
        <w:tc>
          <w:tcPr>
            <w:tcW w:type="dxa" w:w="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[TZ]</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[AUTH]</w:t>
            </w:r>
          </w:p>
        </w:tc>
        <w:tc>
          <w:tcPr>
            <w:tcW w:type="dxa" w:w="111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r>
        <w:tc>
          <w:tcPr>
            <w:tcW w:type="dxa" w:w="7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DEL-002</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5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002</w:t>
            </w:r>
          </w:p>
        </w:tc>
        <w:tc>
          <w:tcPr>
            <w:tcW w:type="dxa" w:w="7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[METHOD]</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[DATE/TIME]</w:t>
            </w:r>
          </w:p>
        </w:tc>
        <w:tc>
          <w:tcPr>
            <w:tcW w:type="dxa" w:w="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[TZ]</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[AUTH]</w:t>
            </w:r>
          </w:p>
        </w:tc>
        <w:tc>
          <w:tcPr>
            <w:tcW w:type="dxa" w:w="111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r>
        <w:tc>
          <w:tcPr>
            <w:tcW w:type="dxa" w:w="7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DEL-003</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5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003</w:t>
            </w:r>
          </w:p>
        </w:tc>
        <w:tc>
          <w:tcPr>
            <w:tcW w:type="dxa" w:w="7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[METHOD]</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[DATE/TIME]</w:t>
            </w:r>
          </w:p>
        </w:tc>
        <w:tc>
          <w:tcPr>
            <w:tcW w:type="dxa" w:w="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[TZ]</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[AUTH]</w:t>
            </w:r>
          </w:p>
        </w:tc>
        <w:tc>
          <w:tcPr>
            <w:tcW w:type="dxa" w:w="111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r>
        <w:tc>
          <w:tcPr>
            <w:tcW w:type="dxa" w:w="7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5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w:t>
            </w:r>
          </w:p>
        </w:tc>
        <w:tc>
          <w:tcPr>
            <w:tcW w:type="dxa" w:w="7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[VER]</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[METHOD]</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[DATE/TIME]</w:t>
            </w:r>
          </w:p>
        </w:tc>
        <w:tc>
          <w:tcPr>
            <w:tcW w:type="dxa" w:w="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[TZ]</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[AUTH]</w:t>
            </w:r>
          </w:p>
        </w:tc>
        <w:tc>
          <w:tcPr>
            <w:tcW w:type="dxa" w:w="111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[Y/N]</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[Y/N]</w:t>
            </w:r>
          </w:p>
        </w:tc>
      </w:tr>
    </w:tbl>
    <w:p>
      <w:pPr>
        <w:spacing w:after="40"/>
      </w:pPr>
    </w:p>
    <w:p>
      <w:pPr>
        <w:pStyle w:val="Heading3"/>
        <w:spacing w:after="120" w:before="240"/>
      </w:pPr>
      <w:r>
        <w:rPr>
          <w:rFonts w:ascii="Calibri" w:cs="Calibri" w:eastAsia="Calibri" w:hAnsi="Calibri"/>
          <w:b/>
          <w:bCs/>
          <w:color w:val="1B2A4A"/>
          <w:sz w:val="22"/>
          <w:szCs w:val="22"/>
        </w:rPr>
        <w:t xml:space="preserve">E.2 Exception Report</w:t>
      </w:r>
    </w:p>
    <w:tbl>
      <w:tblPr>
        <w:tblW w:type="dxa" w:w="8560"/>
        <w:tblBorders>
          <w:top w:val="single" w:color="auto" w:sz="4"/>
          <w:left w:val="single" w:color="auto" w:sz="4"/>
          <w:bottom w:val="single" w:color="auto" w:sz="4"/>
          <w:right w:val="single" w:color="auto" w:sz="4"/>
          <w:insideH w:val="single" w:color="auto" w:sz="4"/>
          <w:insideV w:val="single" w:color="auto" w:sz="4"/>
        </w:tblBorders>
      </w:tblPr>
      <w:tblGrid>
        <w:gridCol w:w="700"/>
        <w:gridCol w:w="750"/>
        <w:gridCol w:w="800"/>
        <w:gridCol w:w="1300"/>
        <w:gridCol w:w="900"/>
        <w:gridCol w:w="1400"/>
        <w:gridCol w:w="1310"/>
        <w:gridCol w:w="700"/>
        <w:gridCol w:w="700"/>
      </w:tblGrid>
      <w:tr>
        <w:trPr>
          <w:tblHeader/>
        </w:trPr>
        <w:tc>
          <w:tcPr>
            <w:tcW w:type="dxa" w:w="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Exception #</w:t>
            </w:r>
          </w:p>
        </w:tc>
        <w:tc>
          <w:tcPr>
            <w:tcW w:type="dxa" w:w="75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Delivery #</w:t>
            </w:r>
          </w:p>
        </w:tc>
        <w:tc>
          <w:tcPr>
            <w:tcW w:type="dxa" w:w="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Recipient</w:t>
            </w:r>
          </w:p>
        </w:tc>
        <w:tc>
          <w:tcPr>
            <w:tcW w:type="dxa" w:w="13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Exception Type</w:t>
            </w:r>
          </w:p>
        </w:tc>
        <w:tc>
          <w:tcPr>
            <w:tcW w:type="dxa" w:w="9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Date Identified</w:t>
            </w:r>
          </w:p>
        </w:tc>
        <w:tc>
          <w:tcPr>
            <w:tcW w:type="dxa" w:w="14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Description</w:t>
            </w:r>
          </w:p>
        </w:tc>
        <w:tc>
          <w:tcPr>
            <w:tcW w:type="dxa" w:w="131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Cure Action</w:t>
            </w:r>
          </w:p>
        </w:tc>
        <w:tc>
          <w:tcPr>
            <w:tcW w:type="dxa" w:w="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Cure Date</w:t>
            </w:r>
          </w:p>
        </w:tc>
        <w:tc>
          <w:tcPr>
            <w:tcW w:type="dxa" w:w="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Status</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EXC-001</w:t>
            </w:r>
          </w:p>
        </w:tc>
        <w:tc>
          <w:tcPr>
            <w:tcW w:type="dxa" w:w="7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[DEL-#]</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[BOUNCE/FAIL/TIMEOUT/REFUSAL]</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w:t>
            </w:r>
          </w:p>
        </w:tc>
        <w:tc>
          <w:tcPr>
            <w:tcW w:type="dxa" w:w="131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[ACTION TAKEN]</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[OPEN/CLOSED]</w:t>
            </w:r>
          </w:p>
        </w:tc>
      </w:tr>
      <w:tr>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EXC-002</w:t>
            </w:r>
          </w:p>
        </w:tc>
        <w:tc>
          <w:tcPr>
            <w:tcW w:type="dxa" w:w="75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[DEL-#]</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3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[TYPE]</w:t>
            </w:r>
          </w:p>
        </w:tc>
        <w:tc>
          <w:tcPr>
            <w:tcW w:type="dxa" w:w="9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w:t>
            </w:r>
          </w:p>
        </w:tc>
        <w:tc>
          <w:tcPr>
            <w:tcW w:type="dxa" w:w="131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[ACTION]</w:t>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[STATUS]</w:t>
            </w:r>
          </w:p>
        </w:tc>
      </w:tr>
      <w:tr>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w:t>
            </w:r>
          </w:p>
        </w:tc>
        <w:tc>
          <w:tcPr>
            <w:tcW w:type="dxa" w:w="75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[DEL-#]</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[NAME]</w:t>
            </w:r>
          </w:p>
        </w:tc>
        <w:tc>
          <w:tcPr>
            <w:tcW w:type="dxa" w:w="13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[TYPE]</w:t>
            </w:r>
          </w:p>
        </w:tc>
        <w:tc>
          <w:tcPr>
            <w:tcW w:type="dxa" w:w="9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w:t>
            </w:r>
          </w:p>
        </w:tc>
        <w:tc>
          <w:tcPr>
            <w:tcW w:type="dxa" w:w="131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[ACTION]</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[STATUS]</w:t>
            </w:r>
          </w:p>
        </w:tc>
      </w:tr>
    </w:tbl>
    <w:p>
      <w:r>
        <w:br w:type="page"/>
      </w:r>
    </w:p>
    <w:p>
      <w:pPr>
        <w:pStyle w:val="Heading2"/>
        <w:spacing w:after="160" w:before="300"/>
      </w:pPr>
      <w:r>
        <w:rPr>
          <w:rFonts w:ascii="Calibri" w:cs="Calibri" w:eastAsia="Calibri" w:hAnsi="Calibri"/>
          <w:b/>
          <w:bCs/>
          <w:color w:val="2E5090"/>
          <w:sz w:val="24"/>
          <w:szCs w:val="24"/>
        </w:rPr>
        <w:t xml:space="preserve">Exhibit F: State Notice and Alternative-Exemption Checklist</w:t>
      </w:r>
    </w:p>
    <w:p>
      <w:pPr>
        <w:spacing w:after="160" w:line="276"/>
        <w:jc w:val="both"/>
      </w:pPr>
      <w:r>
        <w:rPr>
          <w:rFonts w:ascii="Calibri" w:cs="Calibri" w:eastAsia="Calibri" w:hAnsi="Calibri"/>
          <w:b w:val="false"/>
          <w:bCs w:val="false"/>
          <w:i w:val="false"/>
          <w:iCs w:val="false"/>
          <w:color w:val="000000"/>
          <w:sz w:val="20"/>
          <w:szCs w:val="20"/>
        </w:rPr>
        <w:t xml:space="preserve">This Exhibit provides a checklist for state blue sky notice filings and alternative federal exemption compliance requirements. Rule 701 preempts state registration requirements under Section 18 of the Securities Act, but some states require notice filings or have additional requirements.</w:t>
      </w:r>
    </w:p>
    <w:p>
      <w:pPr>
        <w:spacing w:after="40"/>
      </w:pPr>
    </w:p>
    <w:p>
      <w:pPr>
        <w:pStyle w:val="Heading3"/>
        <w:spacing w:after="120" w:before="240"/>
      </w:pPr>
      <w:r>
        <w:rPr>
          <w:rFonts w:ascii="Calibri" w:cs="Calibri" w:eastAsia="Calibri" w:hAnsi="Calibri"/>
          <w:b/>
          <w:bCs/>
          <w:color w:val="1B2A4A"/>
          <w:sz w:val="22"/>
          <w:szCs w:val="22"/>
        </w:rPr>
        <w:t xml:space="preserve">F.1 State Notice Filing Requirements</w:t>
      </w:r>
    </w:p>
    <w:tbl>
      <w:tblPr>
        <w:tblW w:type="dxa" w:w="7360"/>
        <w:tblBorders>
          <w:top w:val="single" w:color="auto" w:sz="4"/>
          <w:left w:val="single" w:color="auto" w:sz="4"/>
          <w:bottom w:val="single" w:color="auto" w:sz="4"/>
          <w:right w:val="single" w:color="auto" w:sz="4"/>
          <w:insideH w:val="single" w:color="auto" w:sz="4"/>
          <w:insideV w:val="single" w:color="auto" w:sz="4"/>
        </w:tblBorders>
      </w:tblPr>
      <w:tblGrid>
        <w:gridCol w:w="1000"/>
        <w:gridCol w:w="1200"/>
        <w:gridCol w:w="1000"/>
        <w:gridCol w:w="800"/>
        <w:gridCol w:w="800"/>
        <w:gridCol w:w="700"/>
        <w:gridCol w:w="800"/>
        <w:gridCol w:w="1060"/>
      </w:tblGrid>
      <w:tr>
        <w:trPr>
          <w:tblHeader/>
        </w:trPr>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State</w:t>
            </w:r>
          </w:p>
        </w:tc>
        <w:tc>
          <w:tcPr>
            <w:tcW w:type="dxa" w:w="1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Notice Filing Required?</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Filing Deadline</w:t>
            </w:r>
          </w:p>
        </w:tc>
        <w:tc>
          <w:tcPr>
            <w:tcW w:type="dxa" w:w="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Filing Fee</w:t>
            </w:r>
          </w:p>
        </w:tc>
        <w:tc>
          <w:tcPr>
            <w:tcW w:type="dxa" w:w="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Form</w:t>
            </w:r>
          </w:p>
        </w:tc>
        <w:tc>
          <w:tcPr>
            <w:tcW w:type="dxa" w:w="7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Filed?</w:t>
            </w:r>
          </w:p>
        </w:tc>
        <w:tc>
          <w:tcPr>
            <w:tcW w:type="dxa" w:w="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Filing Date</w:t>
            </w:r>
          </w:p>
        </w:tc>
        <w:tc>
          <w:tcPr>
            <w:tcW w:type="dxa" w:w="10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Confirmation #</w:t>
            </w:r>
          </w:p>
        </w:tc>
      </w:tr>
      <w:tr>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[STATE]</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[DEADLINE]</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$[FEE]</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[FORM #]</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0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[CONFIRM #]</w:t>
            </w:r>
          </w:p>
        </w:tc>
      </w:tr>
      <w:tr>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[STATE]</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[DEADLINE]</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$[FEE]</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[FORM #]</w:t>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0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[CONFIRM #]</w:t>
            </w:r>
          </w:p>
        </w:tc>
      </w:tr>
      <w:tr>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[STATE]</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[DEADLINE]</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$[FEE]</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[FORM #]</w:t>
            </w:r>
          </w:p>
        </w:tc>
        <w:tc>
          <w:tcPr>
            <w:tcW w:type="dxa" w:w="7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0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[CONFIRM #]</w:t>
            </w:r>
          </w:p>
        </w:tc>
      </w:tr>
      <w:tr>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[ADD]</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[Y/N]</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[DEADLINE]</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$[FEE]</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[FORM]</w:t>
            </w:r>
          </w:p>
        </w:tc>
        <w:tc>
          <w:tcPr>
            <w:tcW w:type="dxa" w:w="7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[Y/N]</w:t>
            </w:r>
          </w:p>
        </w:tc>
        <w:tc>
          <w:tcPr>
            <w:tcW w:type="dxa" w:w="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c>
          <w:tcPr>
            <w:tcW w:type="dxa" w:w="10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[CONFIRM]</w:t>
            </w:r>
          </w:p>
        </w:tc>
      </w:tr>
    </w:tbl>
    <w:p>
      <w:pPr>
        <w:spacing w:after="40"/>
      </w:pPr>
    </w:p>
    <w:p>
      <w:pPr>
        <w:pStyle w:val="Heading3"/>
        <w:spacing w:after="120" w:before="240"/>
      </w:pPr>
      <w:r>
        <w:rPr>
          <w:rFonts w:ascii="Calibri" w:cs="Calibri" w:eastAsia="Calibri" w:hAnsi="Calibri"/>
          <w:b/>
          <w:bCs/>
          <w:color w:val="1B2A4A"/>
          <w:sz w:val="22"/>
          <w:szCs w:val="22"/>
        </w:rPr>
        <w:t xml:space="preserve">F.2 Alternative Exemption Checklist</w:t>
      </w:r>
    </w:p>
    <w:p>
      <w:pPr>
        <w:spacing w:after="160" w:line="276"/>
        <w:jc w:val="both"/>
      </w:pPr>
      <w:r>
        <w:rPr>
          <w:rFonts w:ascii="Calibri" w:cs="Calibri" w:eastAsia="Calibri" w:hAnsi="Calibri"/>
          <w:b w:val="false"/>
          <w:bCs w:val="false"/>
          <w:i w:val="false"/>
          <w:iCs w:val="false"/>
          <w:color w:val="000000"/>
          <w:sz w:val="20"/>
          <w:szCs w:val="20"/>
        </w:rPr>
        <w:t xml:space="preserve">If Rule 701 is unavailable, complete the following checklist for the alternative exemption under consideration:</w:t>
      </w:r>
    </w:p>
    <w:p>
      <w:pPr>
        <w:spacing w:after="40"/>
      </w:pPr>
    </w:p>
    <w:p>
      <w:pPr>
        <w:spacing w:after="160" w:line="276"/>
        <w:jc w:val="both"/>
      </w:pPr>
      <w:r>
        <w:rPr>
          <w:rFonts w:ascii="Calibri" w:cs="Calibri" w:eastAsia="Calibri" w:hAnsi="Calibri"/>
          <w:b/>
          <w:bCs/>
          <w:i w:val="false"/>
          <w:iCs w:val="false"/>
          <w:color w:val="000000"/>
          <w:sz w:val="20"/>
          <w:szCs w:val="20"/>
        </w:rPr>
        <w:t xml:space="preserve">Alternative Exemption: [NAME OF EXEMPTION]</w:t>
      </w:r>
    </w:p>
    <w:p>
      <w:pPr>
        <w:spacing w:after="160" w:line="276"/>
        <w:jc w:val="both"/>
      </w:pPr>
      <w:r>
        <w:rPr>
          <w:rFonts w:ascii="Calibri" w:cs="Calibri" w:eastAsia="Calibri" w:hAnsi="Calibri"/>
          <w:b/>
          <w:bCs/>
          <w:i w:val="false"/>
          <w:iCs w:val="false"/>
          <w:color w:val="000000"/>
          <w:sz w:val="20"/>
          <w:szCs w:val="20"/>
        </w:rPr>
        <w:t xml:space="preserve">Regulatory Basis: [CITATION]</w:t>
      </w:r>
    </w:p>
    <w:p>
      <w:pPr>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1000"/>
        <w:gridCol w:w="2760"/>
        <w:gridCol w:w="2800"/>
      </w:tblGrid>
      <w:tr>
        <w:trPr>
          <w:tblHeader/>
        </w:trPr>
        <w:tc>
          <w:tcPr>
            <w:tcW w:type="dxa" w:w="2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Requirement</w:t>
            </w:r>
          </w:p>
        </w:tc>
        <w:tc>
          <w:tcPr>
            <w:tcW w:type="dxa" w:w="10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Satisfied?</w:t>
            </w:r>
          </w:p>
        </w:tc>
        <w:tc>
          <w:tcPr>
            <w:tcW w:type="dxa" w:w="27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Evidence/Documentation</w:t>
            </w:r>
          </w:p>
        </w:tc>
        <w:tc>
          <w:tcPr>
            <w:tcW w:type="dxa" w:w="2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Notes</w:t>
            </w:r>
          </w:p>
        </w:tc>
      </w:tr>
      <w:tr>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Filing with SEC (Form D, Form 1-A, etc.)</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[YES/NO/N/A]</w:t>
            </w:r>
          </w:p>
        </w:tc>
        <w:tc>
          <w:tcPr>
            <w:tcW w:type="dxa" w:w="27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[NOTES]</w:t>
            </w:r>
          </w:p>
        </w:tc>
      </w:tr>
      <w:tr>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State notice filings</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[YES/NO/N/A]</w:t>
            </w:r>
          </w:p>
        </w:tc>
        <w:tc>
          <w:tcPr>
            <w:tcW w:type="dxa" w:w="27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[NOTES]</w:t>
            </w:r>
          </w:p>
        </w:tc>
      </w:tr>
      <w:tr>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Investor qualification (accredited, sophisticated, etc.)</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[YES/NO/N/A]</w:t>
            </w:r>
          </w:p>
        </w:tc>
        <w:tc>
          <w:tcPr>
            <w:tcW w:type="dxa" w:w="27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[NOTES]</w:t>
            </w:r>
          </w:p>
        </w:tc>
      </w:tr>
      <w:tr>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General solicitation restrictions</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[YES/NO/N/A]</w:t>
            </w:r>
          </w:p>
        </w:tc>
        <w:tc>
          <w:tcPr>
            <w:tcW w:type="dxa" w:w="27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[NOTES]</w:t>
            </w:r>
          </w:p>
        </w:tc>
      </w:tr>
      <w:tr>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Disclosure document delivery</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[YES/NO/N/A]</w:t>
            </w:r>
          </w:p>
        </w:tc>
        <w:tc>
          <w:tcPr>
            <w:tcW w:type="dxa" w:w="27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[NOTES]</w:t>
            </w:r>
          </w:p>
        </w:tc>
      </w:tr>
      <w:tr>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Integration with other offerings</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[YES/NO/N/A]</w:t>
            </w:r>
          </w:p>
        </w:tc>
        <w:tc>
          <w:tcPr>
            <w:tcW w:type="dxa" w:w="27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[NOTES]</w:t>
            </w:r>
          </w:p>
        </w:tc>
      </w:tr>
      <w:tr>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Resale restrictions / legend requirements</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[YES/NO/N/A]</w:t>
            </w:r>
          </w:p>
        </w:tc>
        <w:tc>
          <w:tcPr>
            <w:tcW w:type="dxa" w:w="27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[NOTES]</w:t>
            </w:r>
          </w:p>
        </w:tc>
      </w:tr>
      <w:tr>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Bad actor disqualification review</w:t>
            </w:r>
          </w:p>
        </w:tc>
        <w:tc>
          <w:tcPr>
            <w:tcW w:type="dxa" w:w="10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[YES/NO/N/A]</w:t>
            </w:r>
          </w:p>
        </w:tc>
        <w:tc>
          <w:tcPr>
            <w:tcW w:type="dxa" w:w="27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w:t>
            </w:r>
          </w:p>
        </w:tc>
        <w:tc>
          <w:tcPr>
            <w:tcW w:type="dxa" w:w="2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[NOTES]</w:t>
            </w:r>
          </w:p>
        </w:tc>
      </w:tr>
      <w:tr>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Counsel opinion obtained</w:t>
            </w:r>
          </w:p>
        </w:tc>
        <w:tc>
          <w:tcPr>
            <w:tcW w:type="dxa" w:w="10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[YES/NO/N/A]</w:t>
            </w:r>
          </w:p>
        </w:tc>
        <w:tc>
          <w:tcPr>
            <w:tcW w:type="dxa" w:w="27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[DESCRIBE]</w:t>
            </w:r>
          </w:p>
        </w:tc>
        <w:tc>
          <w:tcPr>
            <w:tcW w:type="dxa" w:w="2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[NOTES]</w:t>
            </w:r>
          </w:p>
        </w:tc>
      </w:tr>
    </w:tbl>
    <w:p>
      <w:r>
        <w:br w:type="page"/>
      </w:r>
    </w:p>
    <w:p>
      <w:pPr>
        <w:pStyle w:val="Heading2"/>
        <w:spacing w:after="160" w:before="300"/>
      </w:pPr>
      <w:r>
        <w:rPr>
          <w:rFonts w:ascii="Calibri" w:cs="Calibri" w:eastAsia="Calibri" w:hAnsi="Calibri"/>
          <w:b/>
          <w:bCs/>
          <w:color w:val="2E5090"/>
          <w:sz w:val="24"/>
          <w:szCs w:val="24"/>
        </w:rPr>
        <w:t xml:space="preserve">Exhibit G: Merger, Assumption, and Successor-Issuer Worksheet and Release Certificate</w:t>
      </w:r>
    </w:p>
    <w:p>
      <w:pPr>
        <w:spacing w:after="160" w:line="276"/>
        <w:jc w:val="both"/>
      </w:pPr>
      <w:r>
        <w:rPr>
          <w:rFonts w:ascii="Calibri" w:cs="Calibri" w:eastAsia="Calibri" w:hAnsi="Calibri"/>
          <w:b w:val="false"/>
          <w:bCs w:val="false"/>
          <w:i w:val="false"/>
          <w:iCs w:val="false"/>
          <w:color w:val="000000"/>
          <w:sz w:val="20"/>
          <w:szCs w:val="20"/>
        </w:rPr>
        <w:t xml:space="preserve">This Exhibit addresses the treatment of outstanding Rule 701 securities in the context of a merger, acquisition, or other change-of-control transaction, including the assumption or substitution of awards by a successor entity.</w:t>
      </w:r>
    </w:p>
    <w:p>
      <w:pPr>
        <w:spacing w:after="40"/>
      </w:pPr>
    </w:p>
    <w:p>
      <w:pPr>
        <w:pStyle w:val="Heading3"/>
        <w:spacing w:after="120" w:before="240"/>
      </w:pPr>
      <w:r>
        <w:rPr>
          <w:rFonts w:ascii="Calibri" w:cs="Calibri" w:eastAsia="Calibri" w:hAnsi="Calibri"/>
          <w:b/>
          <w:bCs/>
          <w:color w:val="1B2A4A"/>
          <w:sz w:val="22"/>
          <w:szCs w:val="22"/>
        </w:rPr>
        <w:t xml:space="preserve">G.1 Transaction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5860"/>
      </w:tblGrid>
      <w:tr>
        <w:trPr>
          <w:tblHeader/>
        </w:trPr>
        <w:tc>
          <w:tcPr>
            <w:tcW w:type="dxa" w:w="35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Element</w:t>
            </w:r>
          </w:p>
        </w:tc>
        <w:tc>
          <w:tcPr>
            <w:tcW w:type="dxa" w:w="58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Details</w:t>
            </w:r>
          </w:p>
        </w:tc>
      </w:tr>
      <w:tr>
        <w:tc>
          <w:tcPr>
            <w:tcW w:type="dxa" w:w="3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Type of Transaction</w:t>
            </w:r>
          </w:p>
        </w:tc>
        <w:tc>
          <w:tcPr>
            <w:tcW w:type="dxa" w:w="58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[MERGER/ACQUISITION/ASSET SALE/REORGANIZATION/OTHER]</w:t>
            </w:r>
          </w:p>
        </w:tc>
      </w:tr>
      <w:tr>
        <w:tc>
          <w:tcPr>
            <w:tcW w:type="dxa" w:w="3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Target Entity (Issuer)</w:t>
            </w:r>
          </w:p>
        </w:tc>
        <w:tc>
          <w:tcPr>
            <w:tcW w:type="dxa" w:w="58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[ISSUER LEGAL NAME]</w:t>
            </w:r>
          </w:p>
        </w:tc>
      </w:tr>
      <w:tr>
        <w:tc>
          <w:tcPr>
            <w:tcW w:type="dxa" w:w="3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Acquiring/Surviving Entity</w:t>
            </w:r>
          </w:p>
        </w:tc>
        <w:tc>
          <w:tcPr>
            <w:tcW w:type="dxa" w:w="58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[ACQUIRER LEGAL NAME]</w:t>
            </w:r>
          </w:p>
        </w:tc>
      </w:tr>
      <w:tr>
        <w:tc>
          <w:tcPr>
            <w:tcW w:type="dxa" w:w="3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Expected Closing Date</w:t>
            </w:r>
          </w:p>
        </w:tc>
        <w:tc>
          <w:tcPr>
            <w:tcW w:type="dxa" w:w="58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[DATE]</w:t>
            </w:r>
          </w:p>
        </w:tc>
      </w:tr>
      <w:tr>
        <w:tc>
          <w:tcPr>
            <w:tcW w:type="dxa" w:w="3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Consideration Structure</w:t>
            </w:r>
          </w:p>
        </w:tc>
        <w:tc>
          <w:tcPr>
            <w:tcW w:type="dxa" w:w="58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[ALL CASH / ALL STOCK / MIXED / OTHER]</w:t>
            </w:r>
          </w:p>
        </w:tc>
      </w:tr>
      <w:tr>
        <w:tc>
          <w:tcPr>
            <w:tcW w:type="dxa" w:w="3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Outstanding Rule 701 Securities at Signing</w:t>
            </w:r>
          </w:p>
        </w:tc>
        <w:tc>
          <w:tcPr>
            <w:tcW w:type="dxa" w:w="58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 AND TYPE]</w:t>
            </w:r>
          </w:p>
        </w:tc>
      </w:tr>
      <w:tr>
        <w:tc>
          <w:tcPr>
            <w:tcW w:type="dxa" w:w="35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Vested Rule 701 Securities at Expected Closing</w:t>
            </w:r>
          </w:p>
        </w:tc>
        <w:tc>
          <w:tcPr>
            <w:tcW w:type="dxa" w:w="58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 AND TYPE]</w:t>
            </w:r>
          </w:p>
        </w:tc>
      </w:tr>
      <w:tr>
        <w:tc>
          <w:tcPr>
            <w:tcW w:type="dxa" w:w="35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Unvested Rule 701 Securities at Expected Closing</w:t>
            </w:r>
          </w:p>
        </w:tc>
        <w:tc>
          <w:tcPr>
            <w:tcW w:type="dxa" w:w="58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[NUMBER AND TYPE]</w:t>
            </w:r>
          </w:p>
        </w:tc>
      </w:tr>
    </w:tbl>
    <w:p>
      <w:pPr>
        <w:spacing w:after="40"/>
      </w:pPr>
    </w:p>
    <w:p>
      <w:pPr>
        <w:pStyle w:val="Heading3"/>
        <w:spacing w:after="120" w:before="240"/>
      </w:pPr>
      <w:r>
        <w:rPr>
          <w:rFonts w:ascii="Calibri" w:cs="Calibri" w:eastAsia="Calibri" w:hAnsi="Calibri"/>
          <w:b/>
          <w:bCs/>
          <w:color w:val="1B2A4A"/>
          <w:sz w:val="22"/>
          <w:szCs w:val="22"/>
        </w:rPr>
        <w:t xml:space="preserve">G.2 Treatment of Outstanding Awards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800"/>
        <w:gridCol w:w="2200"/>
        <w:gridCol w:w="1560"/>
        <w:gridCol w:w="1200"/>
        <w:gridCol w:w="1400"/>
      </w:tblGrid>
      <w:tr>
        <w:trPr>
          <w:tblHeader/>
        </w:trPr>
        <w:tc>
          <w:tcPr>
            <w:tcW w:type="dxa" w:w="1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Award Type</w:t>
            </w:r>
          </w:p>
        </w:tc>
        <w:tc>
          <w:tcPr>
            <w:tcW w:type="dxa" w:w="18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Treatment</w:t>
            </w:r>
          </w:p>
        </w:tc>
        <w:tc>
          <w:tcPr>
            <w:tcW w:type="dxa" w:w="2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Governing Provision</w:t>
            </w:r>
          </w:p>
        </w:tc>
        <w:tc>
          <w:tcPr>
            <w:tcW w:type="dxa" w:w="156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Consideration per Share/Unit</w:t>
            </w:r>
          </w:p>
        </w:tc>
        <w:tc>
          <w:tcPr>
            <w:tcW w:type="dxa" w:w="12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Acceleration?</w:t>
            </w:r>
          </w:p>
        </w:tc>
        <w:tc>
          <w:tcPr>
            <w:tcW w:type="dxa" w:w="1400"/>
            <w:shd w:fill="2E5090" w:val="clear"/>
            <w:tcMar>
              <w:top w:type="dxa" w:w="40"/>
              <w:left w:type="dxa" w:w="80"/>
              <w:bottom w:type="dxa" w:w="40"/>
              <w:right w:type="dxa" w:w="80"/>
            </w:tcMar>
            <w:vAlign w:val="center"/>
          </w:tcPr>
          <w:p>
            <w:pPr>
              <w:spacing w:after="0"/>
              <w:jc w:val="left"/>
            </w:pPr>
            <w:r>
              <w:rPr>
                <w:rFonts w:ascii="Calibri" w:cs="Calibri" w:eastAsia="Calibri" w:hAnsi="Calibri"/>
                <w:b/>
                <w:bCs/>
                <w:i w:val="false"/>
                <w:iCs w:val="false"/>
                <w:color w:val="FFFFFF"/>
                <w:sz w:val="18"/>
                <w:szCs w:val="18"/>
              </w:rPr>
              <w:t xml:space="preserve">Rollover?</w:t>
            </w:r>
          </w:p>
        </w:tc>
      </w:tr>
      <w:tr>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Vested Options</w:t>
            </w:r>
          </w:p>
        </w:tc>
        <w:tc>
          <w:tcPr>
            <w:tcW w:type="dxa" w:w="1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[CASH OUT / ASSUME / SUBSTITUTE / CANCEL]</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SECTION / MERGER AGREEMENT SECTION]</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[YES/NO/PARTIAL]</w:t>
            </w:r>
          </w:p>
        </w:tc>
        <w:tc>
          <w:tcPr>
            <w:tcW w:type="dxa" w:w="1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r>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Unvested Options</w:t>
            </w:r>
          </w:p>
        </w:tc>
        <w:tc>
          <w:tcPr>
            <w:tcW w:type="dxa" w:w="1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[CASH OUT / ASSUME / SUBSTITUTE / CANCEL / ACCELERATE]</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SECTION / MERGER AGREEMENT SECTION]</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[YES/NO/PARTIAL]</w:t>
            </w:r>
          </w:p>
        </w:tc>
        <w:tc>
          <w:tcPr>
            <w:tcW w:type="dxa" w:w="1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r>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Vested RSAs</w:t>
            </w:r>
          </w:p>
        </w:tc>
        <w:tc>
          <w:tcPr>
            <w:tcW w:type="dxa" w:w="1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[CONVERT TO RIGHT TO RECEIVE CONSIDERATION]</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SECTION / MERGER AGREEMENT SECTION]</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[N/A]</w:t>
            </w:r>
          </w:p>
        </w:tc>
        <w:tc>
          <w:tcPr>
            <w:tcW w:type="dxa" w:w="1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r>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Unvested RSAs</w:t>
            </w:r>
          </w:p>
        </w:tc>
        <w:tc>
          <w:tcPr>
            <w:tcW w:type="dxa" w:w="1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[CONVERT / ACCELERATE / FORFEIT]</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SECTION / MERGER AGREEMENT SECTION]</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[YES/NO/PARTIAL]</w:t>
            </w:r>
          </w:p>
        </w:tc>
        <w:tc>
          <w:tcPr>
            <w:tcW w:type="dxa" w:w="1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r>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RSUs</w:t>
            </w:r>
          </w:p>
        </w:tc>
        <w:tc>
          <w:tcPr>
            <w:tcW w:type="dxa" w:w="18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[SETTLE / ASSUME / SUBSTITUTE / CANCEL]</w:t>
            </w:r>
          </w:p>
        </w:tc>
        <w:tc>
          <w:tcPr>
            <w:tcW w:type="dxa" w:w="2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[PLAN SECTION / MERGER AGREEMENT SECTION]</w:t>
            </w:r>
          </w:p>
        </w:tc>
        <w:tc>
          <w:tcPr>
            <w:tcW w:type="dxa" w:w="156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12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[YES/NO/PARTIAL]</w:t>
            </w:r>
          </w:p>
        </w:tc>
        <w:tc>
          <w:tcPr>
            <w:tcW w:type="dxa" w:w="1400"/>
            <w:shd w:fill="EDF2FA" w:val="clear"/>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r>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Other Awards</w:t>
            </w:r>
          </w:p>
        </w:tc>
        <w:tc>
          <w:tcPr>
            <w:tcW w:type="dxa" w:w="18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[TREATMENT]</w:t>
            </w:r>
          </w:p>
        </w:tc>
        <w:tc>
          <w:tcPr>
            <w:tcW w:type="dxa" w:w="2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[GOVERNING PROVISION]</w:t>
            </w:r>
          </w:p>
        </w:tc>
        <w:tc>
          <w:tcPr>
            <w:tcW w:type="dxa" w:w="156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$[AMOUNT]</w:t>
            </w:r>
          </w:p>
        </w:tc>
        <w:tc>
          <w:tcPr>
            <w:tcW w:type="dxa" w:w="12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c>
          <w:tcPr>
            <w:tcW w:type="dxa" w:w="1400"/>
            <w:tcMar>
              <w:top w:type="dxa" w:w="40"/>
              <w:left w:type="dxa" w:w="80"/>
              <w:bottom w:type="dxa" w:w="40"/>
              <w:right w:type="dxa" w:w="80"/>
            </w:tcMar>
            <w:vAlign w:val="center"/>
          </w:tcPr>
          <w:p>
            <w:pPr>
              <w:spacing w:after="0"/>
              <w:jc w:val="left"/>
            </w:pPr>
            <w:r>
              <w:rPr>
                <w:rFonts w:ascii="Calibri" w:cs="Calibri" w:eastAsia="Calibri" w:hAnsi="Calibri"/>
                <w:b w:val="false"/>
                <w:bCs w:val="false"/>
                <w:i w:val="false"/>
                <w:iCs w:val="false"/>
                <w:color w:val="000000"/>
                <w:sz w:val="18"/>
                <w:szCs w:val="18"/>
              </w:rPr>
              <w:t xml:space="preserve">[YES/NO]</w:t>
            </w:r>
          </w:p>
        </w:tc>
      </w:tr>
    </w:tbl>
    <w:p>
      <w:pPr>
        <w:spacing w:after="40"/>
      </w:pPr>
    </w:p>
    <w:p>
      <w:pPr>
        <w:pStyle w:val="Heading3"/>
        <w:spacing w:after="120" w:before="240"/>
      </w:pPr>
      <w:r>
        <w:rPr>
          <w:rFonts w:ascii="Calibri" w:cs="Calibri" w:eastAsia="Calibri" w:hAnsi="Calibri"/>
          <w:b/>
          <w:bCs/>
          <w:color w:val="1B2A4A"/>
          <w:sz w:val="22"/>
          <w:szCs w:val="22"/>
        </w:rPr>
        <w:t xml:space="preserve">G.3 Successor Issuer Rule 701 Obligations</w:t>
      </w:r>
    </w:p>
    <w:p>
      <w:pPr>
        <w:spacing w:after="160" w:line="276"/>
        <w:jc w:val="both"/>
      </w:pPr>
      <w:r>
        <w:rPr>
          <w:rFonts w:ascii="Calibri" w:cs="Calibri" w:eastAsia="Calibri" w:hAnsi="Calibri"/>
          <w:b w:val="false"/>
          <w:bCs w:val="false"/>
          <w:i w:val="false"/>
          <w:iCs w:val="false"/>
          <w:color w:val="000000"/>
          <w:sz w:val="20"/>
          <w:szCs w:val="20"/>
        </w:rPr>
        <w:t xml:space="preserve">If the surviving or acquiring entity will assume outstanding Rule 701 awards, the following analysis applies:</w:t>
      </w:r>
    </w:p>
    <w:p>
      <w:pPr>
        <w:pStyle w:val="ListParagraph"/>
        <w:numPr>
          <w:ilvl w:val="0"/>
          <w:numId w:val="2"/>
        </w:numPr>
        <w:spacing w:after="80" w:line="276"/>
      </w:pPr>
      <w:r>
        <w:rPr>
          <w:rFonts w:ascii="Calibri" w:cs="Calibri" w:eastAsia="Calibri" w:hAnsi="Calibri"/>
          <w:sz w:val="20"/>
          <w:szCs w:val="20"/>
        </w:rPr>
        <w:t xml:space="preserve">Does the successor entity qualify to rely on Rule 701 (i.e., is it a non-reporting company)?</w:t>
      </w:r>
    </w:p>
    <w:p>
      <w:pPr>
        <w:pStyle w:val="ListParagraph"/>
        <w:numPr>
          <w:ilvl w:val="0"/>
          <w:numId w:val="2"/>
        </w:numPr>
        <w:spacing w:after="80" w:line="276"/>
      </w:pPr>
      <w:r>
        <w:rPr>
          <w:rFonts w:ascii="Calibri" w:cs="Calibri" w:eastAsia="Calibri" w:hAnsi="Calibri"/>
          <w:sz w:val="20"/>
          <w:szCs w:val="20"/>
        </w:rPr>
        <w:t xml:space="preserve">Will the assumed awards be treated as a new sale under Rule 701 by the successor?</w:t>
      </w:r>
    </w:p>
    <w:p>
      <w:pPr>
        <w:pStyle w:val="ListParagraph"/>
        <w:numPr>
          <w:ilvl w:val="0"/>
          <w:numId w:val="2"/>
        </w:numPr>
        <w:spacing w:after="80" w:line="276"/>
      </w:pPr>
      <w:r>
        <w:rPr>
          <w:rFonts w:ascii="Calibri" w:cs="Calibri" w:eastAsia="Calibri" w:hAnsi="Calibri"/>
          <w:sz w:val="20"/>
          <w:szCs w:val="20"/>
        </w:rPr>
        <w:t xml:space="preserve">How will the assumed awards be counted in the successor's rolling 12-month aggregate?</w:t>
      </w:r>
    </w:p>
    <w:p>
      <w:pPr>
        <w:pStyle w:val="ListParagraph"/>
        <w:numPr>
          <w:ilvl w:val="0"/>
          <w:numId w:val="2"/>
        </w:numPr>
        <w:spacing w:after="80" w:line="276"/>
      </w:pPr>
      <w:r>
        <w:rPr>
          <w:rFonts w:ascii="Calibri" w:cs="Calibri" w:eastAsia="Calibri" w:hAnsi="Calibri"/>
          <w:sz w:val="20"/>
          <w:szCs w:val="20"/>
        </w:rPr>
        <w:t xml:space="preserve">Will the successor maintain the Issuer's Rule 701 records and disclosure packages?</w:t>
      </w:r>
    </w:p>
    <w:p>
      <w:pPr>
        <w:pStyle w:val="ListParagraph"/>
        <w:numPr>
          <w:ilvl w:val="0"/>
          <w:numId w:val="2"/>
        </w:numPr>
        <w:spacing w:after="80" w:line="276"/>
      </w:pPr>
      <w:r>
        <w:rPr>
          <w:rFonts w:ascii="Calibri" w:cs="Calibri" w:eastAsia="Calibri" w:hAnsi="Calibri"/>
          <w:sz w:val="20"/>
          <w:szCs w:val="20"/>
        </w:rPr>
        <w:t xml:space="preserve">Has the successor's counsel confirmed compliance with Rule 701 for assumed awards?</w:t>
      </w:r>
    </w:p>
    <w:p>
      <w:pPr>
        <w:spacing w:after="40"/>
      </w:pPr>
    </w:p>
    <w:p>
      <w:pPr>
        <w:pStyle w:val="Heading3"/>
        <w:spacing w:after="120" w:before="240"/>
      </w:pPr>
      <w:r>
        <w:rPr>
          <w:rFonts w:ascii="Calibri" w:cs="Calibri" w:eastAsia="Calibri" w:hAnsi="Calibri"/>
          <w:b/>
          <w:bCs/>
          <w:color w:val="1B2A4A"/>
          <w:sz w:val="22"/>
          <w:szCs w:val="22"/>
        </w:rPr>
        <w:t xml:space="preserve">G.4 Release Certificate</w:t>
      </w:r>
    </w:p>
    <w:p>
      <w:pPr>
        <w:spacing w:after="40"/>
      </w:pPr>
    </w:p>
    <w:p>
      <w:pPr>
        <w:pBdr>
          <w:bottom w:val="single" w:color="8DB4E2" w:sz="6" w:space="4"/>
        </w:pBdr>
        <w:spacing w:after="120" w:before="120"/>
      </w:pPr>
    </w:p>
    <w:p>
      <w:pPr>
        <w:spacing w:after="160" w:line="276"/>
        <w:jc w:val="center"/>
      </w:pPr>
      <w:r>
        <w:rPr>
          <w:rFonts w:ascii="Calibri" w:cs="Calibri" w:eastAsia="Calibri" w:hAnsi="Calibri"/>
          <w:b/>
          <w:bCs/>
          <w:i w:val="false"/>
          <w:iCs w:val="false"/>
          <w:color w:val="000000"/>
          <w:sz w:val="20"/>
          <w:szCs w:val="20"/>
        </w:rPr>
        <w:t xml:space="preserve">RELEASE CERTIFICATE</w:t>
      </w:r>
    </w:p>
    <w:p>
      <w:pPr>
        <w:spacing w:after="160" w:line="276"/>
        <w:jc w:val="center"/>
      </w:pPr>
      <w:r>
        <w:rPr>
          <w:rFonts w:ascii="Calibri" w:cs="Calibri" w:eastAsia="Calibri" w:hAnsi="Calibri"/>
          <w:b w:val="false"/>
          <w:bCs w:val="false"/>
          <w:i/>
          <w:iCs/>
          <w:color w:val="000000"/>
          <w:sz w:val="20"/>
          <w:szCs w:val="20"/>
        </w:rPr>
        <w:t xml:space="preserve">Merger / Acquisition / Change of Control</w:t>
      </w:r>
    </w:p>
    <w:p>
      <w:pPr>
        <w:spacing w:after="40"/>
      </w:pPr>
    </w:p>
    <w:p>
      <w:pPr>
        <w:spacing w:after="160" w:line="276"/>
        <w:jc w:val="both"/>
      </w:pPr>
      <w:r>
        <w:rPr>
          <w:rFonts w:ascii="Calibri" w:cs="Calibri" w:eastAsia="Calibri" w:hAnsi="Calibri"/>
          <w:b w:val="false"/>
          <w:bCs w:val="false"/>
          <w:i w:val="false"/>
          <w:iCs w:val="false"/>
          <w:color w:val="000000"/>
          <w:sz w:val="20"/>
          <w:szCs w:val="20"/>
        </w:rPr>
        <w:t xml:space="preserve">The undersigned, acting on behalf of [ISSUER LEGAL NAME] (the "Company"), hereby certifies the following in connection with the [TYPE OF TRANSACTION] involving [ACQUIRER/SURVIVING ENTITY NAME] (the "Transaction"):</w:t>
      </w:r>
    </w:p>
    <w:p>
      <w:pPr>
        <w:spacing w:after="40"/>
      </w:pPr>
    </w:p>
    <w:p>
      <w:pPr>
        <w:pStyle w:val="ListParagraph"/>
        <w:numPr>
          <w:ilvl w:val="0"/>
          <w:numId w:val="3"/>
        </w:numPr>
        <w:spacing w:after="100" w:line="276"/>
      </w:pPr>
      <w:r>
        <w:rPr>
          <w:rFonts w:ascii="Calibri" w:cs="Calibri" w:eastAsia="Calibri" w:hAnsi="Calibri"/>
          <w:sz w:val="20"/>
          <w:szCs w:val="20"/>
        </w:rPr>
        <w:t xml:space="preserve">All outstanding securities issued by the Company under Rule 701 have been identified and listed in Section G.2 above.</w:t>
      </w:r>
    </w:p>
    <w:p>
      <w:pPr>
        <w:pStyle w:val="ListParagraph"/>
        <w:numPr>
          <w:ilvl w:val="0"/>
          <w:numId w:val="3"/>
        </w:numPr>
        <w:spacing w:after="100" w:line="276"/>
      </w:pPr>
      <w:r>
        <w:rPr>
          <w:rFonts w:ascii="Calibri" w:cs="Calibri" w:eastAsia="Calibri" w:hAnsi="Calibri"/>
          <w:sz w:val="20"/>
          <w:szCs w:val="20"/>
        </w:rPr>
        <w:t xml:space="preserve">The treatment of each outstanding award under the Transaction has been determined in accordance with the applicable compensatory benefit plan, award agreement, and/or merger agreement.</w:t>
      </w:r>
    </w:p>
    <w:p>
      <w:pPr>
        <w:pStyle w:val="ListParagraph"/>
        <w:numPr>
          <w:ilvl w:val="0"/>
          <w:numId w:val="3"/>
        </w:numPr>
        <w:spacing w:after="100" w:line="276"/>
      </w:pPr>
      <w:r>
        <w:rPr>
          <w:rFonts w:ascii="Calibri" w:cs="Calibri" w:eastAsia="Calibri" w:hAnsi="Calibri"/>
          <w:sz w:val="20"/>
          <w:szCs w:val="20"/>
        </w:rPr>
        <w:t xml:space="preserve">All required disclosures have been made to holders of Rule 701 securities regarding the Transaction and the treatment of their awards.</w:t>
      </w:r>
    </w:p>
    <w:p>
      <w:pPr>
        <w:pStyle w:val="ListParagraph"/>
        <w:numPr>
          <w:ilvl w:val="0"/>
          <w:numId w:val="3"/>
        </w:numPr>
        <w:spacing w:after="100" w:line="276"/>
      </w:pPr>
      <w:r>
        <w:rPr>
          <w:rFonts w:ascii="Calibri" w:cs="Calibri" w:eastAsia="Calibri" w:hAnsi="Calibri"/>
          <w:sz w:val="20"/>
          <w:szCs w:val="20"/>
        </w:rPr>
        <w:t xml:space="preserve">All regulatory filings required in connection with the treatment of Rule 701 securities in the Transaction have been made or are not required.</w:t>
      </w:r>
    </w:p>
    <w:p>
      <w:pPr>
        <w:pStyle w:val="ListParagraph"/>
        <w:numPr>
          <w:ilvl w:val="0"/>
          <w:numId w:val="3"/>
        </w:numPr>
        <w:spacing w:after="100" w:line="276"/>
      </w:pPr>
      <w:r>
        <w:rPr>
          <w:rFonts w:ascii="Calibri" w:cs="Calibri" w:eastAsia="Calibri" w:hAnsi="Calibri"/>
          <w:sz w:val="20"/>
          <w:szCs w:val="20"/>
        </w:rPr>
        <w:t xml:space="preserve">[IF AWARDS ASSUMED:] The successor entity has agreed to maintain compliance with Rule 701 for all assumed awards, including maintaining current disclosure packages and delivery records.</w:t>
      </w:r>
    </w:p>
    <w:p>
      <w:pPr>
        <w:pStyle w:val="ListParagraph"/>
        <w:numPr>
          <w:ilvl w:val="0"/>
          <w:numId w:val="3"/>
        </w:numPr>
        <w:spacing w:after="100" w:line="276"/>
      </w:pPr>
      <w:r>
        <w:rPr>
          <w:rFonts w:ascii="Calibri" w:cs="Calibri" w:eastAsia="Calibri" w:hAnsi="Calibri"/>
          <w:sz w:val="20"/>
          <w:szCs w:val="20"/>
        </w:rPr>
        <w:t xml:space="preserve">[IF AWARDS CASHED OUT:] All cash-out payments have been or will be made in accordance with the terms of the applicable plans, award agreements, and merger agreement.</w:t>
      </w:r>
    </w:p>
    <w:p>
      <w:pPr>
        <w:pStyle w:val="ListParagraph"/>
        <w:numPr>
          <w:ilvl w:val="0"/>
          <w:numId w:val="3"/>
        </w:numPr>
        <w:spacing w:after="100" w:line="276"/>
      </w:pPr>
      <w:r>
        <w:rPr>
          <w:rFonts w:ascii="Calibri" w:cs="Calibri" w:eastAsia="Calibri" w:hAnsi="Calibri"/>
          <w:sz w:val="20"/>
          <w:szCs w:val="20"/>
        </w:rPr>
        <w:t xml:space="preserve">The Company's Rule 701 records, including this Package and all supporting documentation, have been [TRANSFERRED TO SUCCESSOR / PLACED IN ESCROW WITH [ESCROW AGENT] / RETAINED BY COMPANY'S COUNSEL].</w:t>
      </w:r>
    </w:p>
    <w:p>
      <w:pPr>
        <w:spacing w:after="80"/>
      </w:pPr>
    </w:p>
    <w:p>
      <w:pPr>
        <w:spacing w:after="160" w:line="276"/>
        <w:jc w:val="both"/>
      </w:pPr>
      <w:r>
        <w:rPr>
          <w:rFonts w:ascii="Calibri" w:cs="Calibri" w:eastAsia="Calibri" w:hAnsi="Calibri"/>
          <w:b w:val="false"/>
          <w:bCs w:val="false"/>
          <w:i w:val="false"/>
          <w:iCs w:val="false"/>
          <w:color w:val="000000"/>
          <w:sz w:val="20"/>
          <w:szCs w:val="20"/>
        </w:rPr>
        <w:t xml:space="preserve">Signature: ________________________________________</w:t>
      </w:r>
    </w:p>
    <w:p>
      <w:pPr>
        <w:spacing w:after="160" w:line="276"/>
        <w:jc w:val="both"/>
      </w:pPr>
      <w:r>
        <w:rPr>
          <w:rFonts w:ascii="Calibri" w:cs="Calibri" w:eastAsia="Calibri" w:hAnsi="Calibri"/>
          <w:b w:val="false"/>
          <w:bCs w:val="false"/>
          <w:i w:val="false"/>
          <w:iCs w:val="false"/>
          <w:color w:val="000000"/>
          <w:sz w:val="20"/>
          <w:szCs w:val="20"/>
        </w:rPr>
        <w:t xml:space="preserve">Name: [NAME]</w:t>
      </w:r>
    </w:p>
    <w:p>
      <w:pPr>
        <w:spacing w:after="160" w:line="276"/>
        <w:jc w:val="both"/>
      </w:pPr>
      <w:r>
        <w:rPr>
          <w:rFonts w:ascii="Calibri" w:cs="Calibri" w:eastAsia="Calibri" w:hAnsi="Calibri"/>
          <w:b w:val="false"/>
          <w:bCs w:val="false"/>
          <w:i w:val="false"/>
          <w:iCs w:val="false"/>
          <w:color w:val="000000"/>
          <w:sz w:val="20"/>
          <w:szCs w:val="20"/>
        </w:rPr>
        <w:t xml:space="preserve">Title: [TITLE]</w:t>
      </w:r>
    </w:p>
    <w:p>
      <w:pPr>
        <w:spacing w:after="160" w:line="276"/>
        <w:jc w:val="both"/>
      </w:pPr>
      <w:r>
        <w:rPr>
          <w:rFonts w:ascii="Calibri" w:cs="Calibri" w:eastAsia="Calibri" w:hAnsi="Calibri"/>
          <w:b w:val="false"/>
          <w:bCs w:val="false"/>
          <w:i w:val="false"/>
          <w:iCs w:val="false"/>
          <w:color w:val="000000"/>
          <w:sz w:val="20"/>
          <w:szCs w:val="20"/>
        </w:rPr>
        <w:t xml:space="preserve">Date: [DATE]</w:t>
      </w:r>
    </w:p>
    <w:p>
      <w:pPr>
        <w:pBdr>
          <w:bottom w:val="single" w:color="8DB4E2" w:sz="6" w:space="4"/>
        </w:pBdr>
        <w:spacing w:after="120" w:before="120"/>
      </w:pPr>
    </w:p>
    <w:p>
      <w:pPr>
        <w:spacing w:after="200"/>
      </w:pPr>
    </w:p>
    <w:p>
      <w:pPr>
        <w:pBdr>
          <w:bottom w:val="single" w:color="8DB4E2" w:sz="6" w:space="4"/>
        </w:pBdr>
        <w:spacing w:after="120" w:before="120"/>
      </w:pPr>
    </w:p>
    <w:p>
      <w:pPr>
        <w:spacing w:after="120" w:before="200"/>
        <w:jc w:val="center"/>
      </w:pPr>
      <w:r>
        <w:rPr>
          <w:rFonts w:ascii="Calibri" w:cs="Calibri" w:eastAsia="Calibri" w:hAnsi="Calibri"/>
          <w:b/>
          <w:bCs/>
          <w:color w:val="1B2A4A"/>
          <w:sz w:val="22"/>
          <w:szCs w:val="22"/>
        </w:rPr>
        <w:t xml:space="preserve">END OF RULE 701 DISCLOSURE AND DELIVERY PACKAGE</w:t>
      </w:r>
    </w:p>
    <w:p>
      <w:pPr>
        <w:spacing w:after="120"/>
        <w:jc w:val="center"/>
      </w:pPr>
      <w:r>
        <w:rPr>
          <w:rFonts w:ascii="Calibri" w:cs="Calibri" w:eastAsia="Calibri" w:hAnsi="Calibri"/>
          <w:i/>
          <w:iCs/>
          <w:color w:val="666666"/>
          <w:sz w:val="18"/>
          <w:szCs w:val="18"/>
        </w:rPr>
        <w:t xml:space="preserve">Form EF-035  |  Montague Law Entrepreneur Forms Library</w:t>
      </w:r>
    </w:p>
    <w:p>
      <w:pPr>
        <w:pBdr>
          <w:bottom w:val="single" w:color="8DB4E2" w:sz="6" w:space="4"/>
        </w:pBdr>
        <w:spacing w:after="120" w:before="120"/>
      </w:pP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4"/>
        <w:szCs w:val="14"/>
      </w:rPr>
      <w:t xml:space="preserve">Montague Law  |  For Informational Purposes Only  |  Page </w:t>
    </w:r>
    <w:r>
      <w:rPr>
        <w:rFonts w:ascii="Calibri" w:cs="Calibri" w:eastAsia="Calibri" w:hAnsi="Calibri"/>
        <w:color w:val="666666"/>
        <w:sz w:val="14"/>
        <w:szCs w:val="14"/>
      </w:rPr>
      <w:fldChar w:fldCharType="begin"/>
      <w:instrText xml:space="preserve">PAGE</w:instrText>
      <w:fldChar w:fldCharType="separate"/>
      <w:fldChar w:fldCharType="end"/>
    </w:r>
    <w:r>
      <w:rPr>
        <w:rFonts w:ascii="Calibri" w:cs="Calibri" w:eastAsia="Calibri" w:hAnsi="Calibri"/>
        <w:color w:val="666666"/>
        <w:sz w:val="14"/>
        <w:szCs w:val="14"/>
      </w:rPr>
      <w:t xml:space="preserve"> of </w:t>
    </w:r>
    <w:r>
      <w:rPr>
        <w:rFonts w:ascii="Calibri" w:cs="Calibri" w:eastAsia="Calibri" w:hAnsi="Calibri"/>
        <w:color w:val="666666"/>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666666"/>
        <w:sz w:val="16"/>
        <w:szCs w:val="16"/>
      </w:rPr>
      <w:t xml:space="preserve">Rule 701 Disclosure Package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lowerLetter"/>
      <w:lvlText w:val="(%2)"/>
      <w:lvlJc w:val="left"/>
      <w:pPr>
        <w:ind w:left="1440" w:hanging="360"/>
      </w:pPr>
    </w:lvl>
    <w:lvl w:ilvl="2" w15:tentative="1">
      <w:start w:val="1"/>
      <w:numFmt w:val="lowerRoman"/>
      <w:lvlText w:val="(%3)"/>
      <w:lvlJc w:val="left"/>
      <w:pPr>
        <w:ind w:left="2160" w:hanging="360"/>
      </w:pPr>
    </w:lvl>
  </w:abstractNum>
  <w:abstractNum w:abstractNumId="4" w15:restartNumberingAfterBreak="0">
    <w:multiLevelType w:val="hybridMultilevel"/>
    <w:lvl w:ilvl="0" w15:tentative="1">
      <w:start w:val="1"/>
      <w:numFmt w:val="upperLetter"/>
      <w:lvlText w:val="Exhibit %1."/>
      <w:lvlJc w:val="left"/>
      <w:pPr>
        <w:ind w:left="720" w:hanging="7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0"/>
        <w:szCs w:val="20"/>
      </w:rPr>
    </w:rPrDefault>
    <w:pPrDefault>
      <w:pPr>
        <w:spacing w:after="16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360"/>
    </w:pPr>
    <w:rPr>
      <w:rFonts w:ascii="Calibri" w:cs="Calibri" w:eastAsia="Calibri" w:hAnsi="Calibri"/>
      <w:b/>
      <w:bCs/>
      <w:color w:val="1B2A4A"/>
      <w:sz w:val="28"/>
      <w:szCs w:val="28"/>
    </w:rPr>
  </w:style>
  <w:style w:type="paragraph" w:styleId="Heading2">
    <w:name w:val="Heading 2"/>
    <w:basedOn w:val="Normal"/>
    <w:next w:val="Normal"/>
    <w:qFormat/>
    <w:pPr>
      <w:spacing w:after="160" w:before="300"/>
    </w:pPr>
    <w:rPr>
      <w:rFonts w:ascii="Calibri" w:cs="Calibri" w:eastAsia="Calibri" w:hAnsi="Calibri"/>
      <w:b/>
      <w:bCs/>
      <w:color w:val="2E5090"/>
      <w:sz w:val="24"/>
      <w:szCs w:val="24"/>
    </w:rPr>
  </w:style>
  <w:style w:type="paragraph" w:styleId="Heading3">
    <w:name w:val="Heading 3"/>
    <w:basedOn w:val="Normal"/>
    <w:next w:val="Normal"/>
    <w:qFormat/>
    <w:pPr>
      <w:spacing w:after="120" w:before="240"/>
    </w:pPr>
    <w:rPr>
      <w:rFonts w:ascii="Calibri" w:cs="Calibri" w:eastAsia="Calibri" w:hAnsi="Calibri"/>
      <w:b/>
      <w:bCs/>
      <w:color w:val="1B2A4A"/>
      <w:sz w:val="22"/>
      <w:szCs w:val="22"/>
    </w:rPr>
  </w:style>
  <w:style w:type="paragraph" w:styleId="Heading4">
    <w:name w:val="Heading 4"/>
    <w:basedOn w:val="Normal"/>
    <w:next w:val="Normal"/>
    <w:qFormat/>
    <w:pPr>
      <w:spacing w:after="100" w:before="200"/>
    </w:pPr>
    <w:rPr>
      <w:rFonts w:ascii="Calibri" w:cs="Calibri" w:eastAsia="Calibri" w:hAnsi="Calibri"/>
      <w:b/>
      <w:bCs/>
      <w:i/>
      <w:iCs/>
      <w:color w:val="2E5090"/>
      <w:sz w:val="20"/>
      <w:szCs w:val="20"/>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2026-08-23T04:02:14.815Z</dcterms:created>
  <dcterms:modified xsi:type="dcterms:W3CDTF">2026-08-23T04:02:14.816Z</dcterms:modified>
</cp:coreProperties>
</file>

<file path=docProps/custom.xml><?xml version="1.0" encoding="utf-8"?>
<Properties xmlns="http://schemas.openxmlformats.org/officeDocument/2006/custom-properties" xmlns:vt="http://schemas.openxmlformats.org/officeDocument/2006/docPropsVTypes"/>
</file>