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Calibri" w:cs="Calibri" w:eastAsia="Calibri" w:hAnsi="Calibri"/>
          <w:b/>
          <w:bCs/>
          <w:color w:val="1a1a2e"/>
          <w:sz w:val="30"/>
          <w:szCs w:val="30"/>
        </w:rPr>
        <w:t xml:space="preserve">RESTRICTED STOCK UNIT AGREEMENT</w:t>
      </w:r>
    </w:p>
    <w:p>
      <w:pPr>
        <w:spacing w:after="40"/>
        <w:jc w:val="center"/>
      </w:pPr>
      <w:r>
        <w:rPr>
          <w:rFonts w:ascii="Calibri" w:cs="Calibri" w:eastAsia="Calibri" w:hAnsi="Calibri"/>
          <w:b/>
          <w:bCs/>
          <w:color w:val="1a1a2e"/>
          <w:sz w:val="24"/>
          <w:szCs w:val="24"/>
        </w:rPr>
        <w:t xml:space="preserve">PRIVATE COMPANY</w:t>
      </w:r>
    </w:p>
    <w:p>
      <w:pPr>
        <w:spacing w:after="360"/>
        <w:jc w:val="center"/>
      </w:pPr>
      <w:r>
        <w:rPr>
          <w:rFonts w:ascii="Calibri" w:cs="Calibri" w:eastAsia="Calibri" w:hAnsi="Calibri"/>
          <w:i/>
          <w:iCs/>
          <w:color w:val="555555"/>
          <w:sz w:val="24"/>
          <w:szCs w:val="24"/>
        </w:rPr>
        <w:t xml:space="preserve">[COMPANY]</w:t>
      </w:r>
    </w:p>
    <w:p>
      <w:pPr>
        <w:pStyle w:val="Heading2"/>
        <w:spacing w:after="120" w:before="240"/>
      </w:pPr>
      <w:r>
        <w:rPr>
          <w:rFonts w:ascii="Calibri" w:cs="Calibri" w:eastAsia="Calibri" w:hAnsi="Calibri"/>
          <w:b/>
          <w:bCs/>
          <w:color w:val="1a1a2e"/>
          <w:sz w:val="24"/>
          <w:szCs w:val="24"/>
        </w:rPr>
        <w:t xml:space="preserve">Grant Notice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Company:</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[COMPANY]</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Grantee: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[NAME]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Grant Date: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[DATE]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Number of RSUs:</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[NUMBER]</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Share Class:</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[COMMON STOCK]</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Vesting Commencement:</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[DATE]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Vesting Schedule: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[4-year vesting, 1-year cliff, monthly thereafter]</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Settlement Trigger:</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[Service vesting only / Double-condition: service vesting + liquidity event]</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Settlement Deadline: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[DATE / Within 30 days of settlement trigger]</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Acceleration:</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[None / Single-Trigger / Double-Trigger]</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Equity Plan:</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[PLAN NAME]</w:t>
            </w:r>
          </w:p>
        </w:tc>
      </w:tr>
    </w:tbl>
    <w:p>
      <w:pPr>
        <w:spacing w:after="240"/>
      </w:pPr>
    </w:p>
    <w:p>
      <w:pPr>
        <w:pStyle w:val="Heading2"/>
        <w:spacing w:after="120" w:before="240"/>
      </w:pPr>
      <w:r>
        <w:rPr>
          <w:rFonts w:ascii="Calibri" w:cs="Calibri" w:eastAsia="Calibri" w:hAnsi="Calibri"/>
          <w:b/>
          <w:bCs/>
          <w:color w:val="1a1a2e"/>
          <w:sz w:val="24"/>
          <w:szCs w:val="24"/>
        </w:rPr>
        <w:t xml:space="preserve">1. Grant of Restricted Stock Units</w:t>
      </w:r>
    </w:p>
    <w:p>
      <w:pPr>
        <w:spacing w:after="160"/>
        <w:jc w:val="left"/>
      </w:pPr>
      <w:r>
        <w:rPr>
          <w:rFonts w:ascii="Calibri" w:cs="Calibri" w:eastAsia="Calibri" w:hAnsi="Calibri"/>
          <w:color w:val="333333"/>
          <w:sz w:val="22"/>
          <w:szCs w:val="22"/>
        </w:rPr>
        <w:t xml:space="preserve">The Company grants the Grantee the number of Restricted Stock Units ("RSUs") stated in the Grant Notice, subject to the terms of this Agreement and the equity incentive plan identified in the Grant Notice (the "Plan"). Each RSU represents an unfunded, unsecured contractual right to receive one share of Common Stock upon satisfaction of the applicable vesting and settlement conditions. The Grantee has no trust interest, secured claim, preference over general creditors, or any right to any segregated asset of the Company on account of the RSUs.</w:t>
      </w:r>
    </w:p>
    <w:p>
      <w:pPr>
        <w:pStyle w:val="Heading2"/>
        <w:spacing w:after="120" w:before="240"/>
      </w:pPr>
      <w:r>
        <w:rPr>
          <w:rFonts w:ascii="Calibri" w:cs="Calibri" w:eastAsia="Calibri" w:hAnsi="Calibri"/>
          <w:b/>
          <w:bCs/>
          <w:color w:val="1a1a2e"/>
          <w:sz w:val="24"/>
          <w:szCs w:val="24"/>
        </w:rPr>
        <w:t xml:space="preserve">2. Vesting</w:t>
      </w:r>
    </w:p>
    <w:p>
      <w:pPr>
        <w:spacing w:after="160"/>
        <w:jc w:val="left"/>
      </w:pPr>
      <w:r>
        <w:rPr>
          <w:rFonts w:ascii="Calibri" w:cs="Calibri" w:eastAsia="Calibri" w:hAnsi="Calibri"/>
          <w:color w:val="333333"/>
          <w:sz w:val="22"/>
          <w:szCs w:val="22"/>
        </w:rPr>
        <w:t xml:space="preserve">2.1 Service Vesting. RSUs vest only while the Grantee remains in Continuous Service (as defined in the Plan) through each applicable vesting date or certified milestone set forth in Schedule 1. Fractional RSUs vest only when they aggregate to a whole unit.</w:t>
      </w:r>
    </w:p>
    <w:p>
      <w:pPr>
        <w:spacing w:after="160"/>
        <w:jc w:val="left"/>
      </w:pPr>
      <w:r>
        <w:rPr>
          <w:rFonts w:ascii="Calibri" w:cs="Calibri" w:eastAsia="Calibri" w:hAnsi="Calibri"/>
          <w:color w:val="333333"/>
          <w:sz w:val="22"/>
          <w:szCs w:val="22"/>
        </w:rPr>
        <w:t xml:space="preserve">2.2 Forfeiture on Termination. Upon termination of the Grantee's Continuous Service for any reason, all unvested RSUs are automatically and immediately forfeited for no consideration. The Grantee shall have no claim, right, or interest of any kind in forfeited RSUs. Vested but unsettled RSUs remain subject to the settlement conditions of Section 3.</w:t>
      </w:r>
    </w:p>
    <w:p>
      <w:pPr>
        <w:spacing w:after="160"/>
        <w:jc w:val="left"/>
      </w:pPr>
      <w:r>
        <w:rPr>
          <w:rFonts w:ascii="Calibri" w:cs="Calibri" w:eastAsia="Calibri" w:hAnsi="Calibri"/>
          <w:color w:val="333333"/>
          <w:sz w:val="22"/>
          <w:szCs w:val="22"/>
        </w:rPr>
        <w:t xml:space="preserve">2.3 Approved Leave. A period of approved leave (military, medical, family, or other leave approved in writing by the Committee) shall toll rather than terminate vesting, to the extent permitted by the Plan, applicable law, and any written leave policy. The vesting schedule shall resume on return to active service, and no vesting credit shall accrue during the leave unless the Committee determines otherwise.</w:t>
      </w:r>
    </w:p>
    <w:p>
      <w:pPr>
        <w:spacing w:after="160"/>
        <w:jc w:val="left"/>
      </w:pPr>
      <w:r>
        <w:rPr>
          <w:rFonts w:ascii="Calibri" w:cs="Calibri" w:eastAsia="Calibri" w:hAnsi="Calibri"/>
          <w:color w:val="333333"/>
          <w:sz w:val="22"/>
          <w:szCs w:val="22"/>
        </w:rPr>
        <w:t xml:space="preserve">2.4 Acceleration — Double-Trigger [Optional]. If a Change in Control (as defined in the Plan) occurs and, within [12] months thereafter, either (a) the Company or its successor terminates the Grantee's Continuous Service without Cause, or (b) the Grantee resigns for Good Reason as defined in the Plan, then all then-unvested RSUs shall vest immediately prior to the effective date of such termination. [Delete this section if single-trigger, no acceleration, or deal-specific acceleration is selected.]</w:t>
      </w:r>
    </w:p>
    <w:p>
      <w:pPr>
        <w:pStyle w:val="Heading2"/>
        <w:spacing w:after="120" w:before="240"/>
      </w:pPr>
      <w:r>
        <w:rPr>
          <w:rFonts w:ascii="Calibri" w:cs="Calibri" w:eastAsia="Calibri" w:hAnsi="Calibri"/>
          <w:b/>
          <w:bCs/>
          <w:color w:val="1a1a2e"/>
          <w:sz w:val="24"/>
          <w:szCs w:val="24"/>
        </w:rPr>
        <w:t xml:space="preserve">3. Settlement</w:t>
      </w:r>
    </w:p>
    <w:p>
      <w:pPr>
        <w:spacing w:after="160"/>
        <w:jc w:val="left"/>
      </w:pPr>
      <w:r>
        <w:rPr>
          <w:rFonts w:ascii="Calibri" w:cs="Calibri" w:eastAsia="Calibri" w:hAnsi="Calibri"/>
          <w:color w:val="333333"/>
          <w:sz w:val="22"/>
          <w:szCs w:val="22"/>
        </w:rPr>
        <w:t xml:space="preserve">3.1 Settlement Trigger and Timing. The Company shall settle vested RSUs by issuing one share of Common Stock for each vested RSU (less shares withheld for taxes under Section 6), on the earliest practicable date following the settlement trigger specified in the Grant Notice, but in no event later than the Settlement Deadline. The settlement trigger shall be one of the following, as selected in the Grant Notice:</w:t>
      </w:r>
    </w:p>
    <w:p>
      <w:pPr>
        <w:spacing w:after="160"/>
        <w:jc w:val="left"/>
      </w:pPr>
      <w:r>
        <w:rPr>
          <w:rFonts w:ascii="Calibri" w:cs="Calibri" w:eastAsia="Calibri" w:hAnsi="Calibri"/>
          <w:color w:val="333333"/>
          <w:sz w:val="22"/>
          <w:szCs w:val="22"/>
        </w:rPr>
        <w:t xml:space="preserve">(a) Service Vesting Only: settlement occurs within [60] days following the vesting date of each tranche.</w:t>
      </w:r>
    </w:p>
    <w:p>
      <w:pPr>
        <w:spacing w:after="160"/>
        <w:jc w:val="left"/>
      </w:pPr>
      <w:r>
        <w:rPr>
          <w:rFonts w:ascii="Calibri" w:cs="Calibri" w:eastAsia="Calibri" w:hAnsi="Calibri"/>
          <w:color w:val="333333"/>
          <w:sz w:val="22"/>
          <w:szCs w:val="22"/>
        </w:rPr>
        <w:t xml:space="preserve">(b) Double-Condition (Private Company): settlement occurs only after both (i) service vesting of the applicable tranche and (ii) the occurrence of the first Qualifying Liquidity Event (as defined in Schedule 1), subject to the payment-timing rules required by Section 409A of the Internal Revenue Code.</w:t>
      </w:r>
    </w:p>
    <w:p>
      <w:pPr>
        <w:spacing w:after="160"/>
        <w:jc w:val="left"/>
      </w:pPr>
      <w:r>
        <w:rPr>
          <w:rFonts w:ascii="Calibri" w:cs="Calibri" w:eastAsia="Calibri" w:hAnsi="Calibri"/>
          <w:color w:val="333333"/>
          <w:sz w:val="22"/>
          <w:szCs w:val="22"/>
        </w:rPr>
        <w:t xml:space="preserve">3.2 Section 409A Compliance. The settlement design selected in the Grant Notice must comply with one of the following exemptions or architectures, as determined by tax counsel and documented in the Company's records: (a) the short-term deferral exemption under Treasury Regulation Section 1.409A-1(b)(4); (b) a fixed-date compliant deferral with a specified payment date or schedule; or (c) a private-company double-condition arrangement with compliant payment events and deadlines. Incompatible settlement provisions shall be deleted. The Company does not guarantee Section 409A compliance and shall not indemnify the Grantee for additional taxes, interest, or penalties under Section 409A.</w:t>
      </w:r>
    </w:p>
    <w:p>
      <w:pPr>
        <w:spacing w:after="160"/>
        <w:jc w:val="left"/>
      </w:pPr>
      <w:r>
        <w:rPr>
          <w:rFonts w:ascii="Calibri" w:cs="Calibri" w:eastAsia="Calibri" w:hAnsi="Calibri"/>
          <w:color w:val="333333"/>
          <w:sz w:val="22"/>
          <w:szCs w:val="22"/>
        </w:rPr>
        <w:t xml:space="preserve">3.3 Permitted Delays. Settlement may be delayed only as permitted under Section 409A and applicable law, including: (a) a delay necessary for the Company to complete applicable securities-law filings or registrations, provided settlement occurs within [30] days after the impediment is removed; (b) a delay required for specified-employee treatment under Section 409A(a)(2)(B)(i), if applicable; or (c) an administrative processing period not exceeding [30] days following the settlement trigger. No delay shall extend settlement beyond a deadline that would violate Section 409A.</w:t>
      </w:r>
    </w:p>
    <w:p>
      <w:pPr>
        <w:spacing w:after="160"/>
        <w:jc w:val="left"/>
      </w:pPr>
      <w:r>
        <w:rPr>
          <w:rFonts w:ascii="Calibri" w:cs="Calibri" w:eastAsia="Calibri" w:hAnsi="Calibri"/>
          <w:color w:val="333333"/>
          <w:sz w:val="22"/>
          <w:szCs w:val="22"/>
        </w:rPr>
        <w:t xml:space="preserve">3.4 Fractional Shares. Fractional shares resulting from settlement shall be rounded down to the nearest whole share or paid in cash, as determined by the Committee in accordance with the Plan.</w:t>
      </w:r>
    </w:p>
    <w:p>
      <w:r>
        <w:br w:type="page"/>
      </w:r>
    </w:p>
    <w:p>
      <w:pPr>
        <w:pStyle w:val="Heading2"/>
        <w:spacing w:after="120" w:before="240"/>
      </w:pPr>
      <w:r>
        <w:rPr>
          <w:rFonts w:ascii="Calibri" w:cs="Calibri" w:eastAsia="Calibri" w:hAnsi="Calibri"/>
          <w:b/>
          <w:bCs/>
          <w:color w:val="1a1a2e"/>
          <w:sz w:val="24"/>
          <w:szCs w:val="24"/>
        </w:rPr>
        <w:t xml:space="preserve">4. Shareholder Rights and Dividend Equivalents</w:t>
      </w:r>
    </w:p>
    <w:p>
      <w:pPr>
        <w:spacing w:after="160"/>
        <w:jc w:val="left"/>
      </w:pPr>
      <w:r>
        <w:rPr>
          <w:rFonts w:ascii="Calibri" w:cs="Calibri" w:eastAsia="Calibri" w:hAnsi="Calibri"/>
          <w:color w:val="333333"/>
          <w:sz w:val="22"/>
          <w:szCs w:val="22"/>
        </w:rPr>
        <w:t xml:space="preserve">4.1 No Pre-Settlement Rights. Prior to settlement, the Grantee has no voting, dividend, inspection, liquidation preference, or other shareholder rights with respect to the shares underlying the RSUs. The RSUs represent a contractual obligation only.</w:t>
      </w:r>
    </w:p>
    <w:p>
      <w:pPr>
        <w:spacing w:after="160"/>
        <w:jc w:val="left"/>
      </w:pPr>
      <w:r>
        <w:rPr>
          <w:rFonts w:ascii="Calibri" w:cs="Calibri" w:eastAsia="Calibri" w:hAnsi="Calibri"/>
          <w:color w:val="333333"/>
          <w:sz w:val="22"/>
          <w:szCs w:val="22"/>
        </w:rPr>
        <w:t xml:space="preserve">4.2 Dividend Equivalents. [SELECT ONE: (a) No dividend equivalents shall accrue with respect to the RSUs. / (b) Cash dividend equivalents shall accrue on the RSUs at the same rate as dividends declared on the underlying Common Stock, shall vest and forfeit on the same schedule as the related RSUs, and shall be settled in cash (without interest) at the same time as the related RSUs. Dividend equivalents are subject to the same Section 409A architecture as the underlying RSUs.]</w:t>
      </w:r>
    </w:p>
    <w:p>
      <w:pPr>
        <w:pStyle w:val="Heading2"/>
        <w:spacing w:after="120" w:before="240"/>
      </w:pPr>
      <w:r>
        <w:rPr>
          <w:rFonts w:ascii="Calibri" w:cs="Calibri" w:eastAsia="Calibri" w:hAnsi="Calibri"/>
          <w:b/>
          <w:bCs/>
          <w:color w:val="1a1a2e"/>
          <w:sz w:val="24"/>
          <w:szCs w:val="24"/>
        </w:rPr>
        <w:t xml:space="preserve">5. Transfer Restrictions</w:t>
      </w:r>
    </w:p>
    <w:p>
      <w:pPr>
        <w:spacing w:after="160"/>
        <w:jc w:val="left"/>
      </w:pPr>
      <w:r>
        <w:rPr>
          <w:rFonts w:ascii="Calibri" w:cs="Calibri" w:eastAsia="Calibri" w:hAnsi="Calibri"/>
          <w:color w:val="333333"/>
          <w:sz w:val="22"/>
          <w:szCs w:val="22"/>
        </w:rPr>
        <w:t xml:space="preserve">RSUs may not be assigned, pledged, attached, sold, hypothecated, or otherwise transferred or encumbered except by will or the laws of intestacy. Any purported transfer in violation of this Section is void. Shares issued upon settlement are subject to the Company's stockholders' agreement, right of first refusal, co-sale agreement, drag-along provisions, repurchase rights, securities-law restrictions, and any other applicable transfer restrictions. The Grantee's execution of the attached stockholders' agreement joinder (Schedule 3) is a condition precedent to settlement.</w:t>
      </w:r>
    </w:p>
    <w:p>
      <w:pPr>
        <w:pStyle w:val="Heading2"/>
        <w:spacing w:after="120" w:before="240"/>
      </w:pPr>
      <w:r>
        <w:rPr>
          <w:rFonts w:ascii="Calibri" w:cs="Calibri" w:eastAsia="Calibri" w:hAnsi="Calibri"/>
          <w:b/>
          <w:bCs/>
          <w:color w:val="1a1a2e"/>
          <w:sz w:val="24"/>
          <w:szCs w:val="24"/>
        </w:rPr>
        <w:t xml:space="preserve">6. Taxes and Withholding</w:t>
      </w:r>
    </w:p>
    <w:p>
      <w:pPr>
        <w:spacing w:after="160"/>
        <w:jc w:val="left"/>
      </w:pPr>
      <w:r>
        <w:rPr>
          <w:rFonts w:ascii="Calibri" w:cs="Calibri" w:eastAsia="Calibri" w:hAnsi="Calibri"/>
          <w:color w:val="333333"/>
          <w:sz w:val="22"/>
          <w:szCs w:val="22"/>
        </w:rPr>
        <w:t xml:space="preserve">6.1 General Tax Responsibility. The Grantee is solely responsible for all tax consequences arising from the RSUs, including the timing and amount of income inclusion, employment taxes, and any additional taxes under Section 409A. The Grantee shall obtain independent tax advice and shall not rely on the Company for tax guidance.</w:t>
      </w:r>
    </w:p>
    <w:p>
      <w:pPr>
        <w:spacing w:after="160"/>
        <w:jc w:val="left"/>
      </w:pPr>
      <w:r>
        <w:rPr>
          <w:rFonts w:ascii="Calibri" w:cs="Calibri" w:eastAsia="Calibri" w:hAnsi="Calibri"/>
          <w:color w:val="333333"/>
          <w:sz w:val="22"/>
          <w:szCs w:val="22"/>
        </w:rPr>
        <w:t xml:space="preserve">6.2 Withholding Methods. The Company shall withhold taxes required by law at settlement. The Committee may permit or require one or more of the following withholding methods, in order of priority as determined by the Company: (a) cash payment by the Grantee; (b) payroll deduction; (c) share withholding (net settlement), to the extent permitted by applicable law, accounting rules, and the Plan; or (d) another method approved by the Committee.</w:t>
      </w:r>
    </w:p>
    <w:p>
      <w:pPr>
        <w:spacing w:after="160"/>
        <w:jc w:val="left"/>
      </w:pPr>
      <w:r>
        <w:rPr>
          <w:rFonts w:ascii="Calibri" w:cs="Calibri" w:eastAsia="Calibri" w:hAnsi="Calibri"/>
          <w:color w:val="333333"/>
          <w:sz w:val="22"/>
          <w:szCs w:val="22"/>
        </w:rPr>
        <w:t xml:space="preserve">6.3 Illiquid Shares. The Grantee acknowledges that, for a private company, settlement may result in the issuance of shares for which no public market exists. Taxes may become due at settlement without a corresponding opportunity to sell shares. The Company is not obligated to arrange any liquidity for the Grantee and shall not delay settlement solely because the Grantee lacks funds to pay taxes, unless such delay is required to comply with Section 409A.</w:t>
      </w:r>
    </w:p>
    <w:p>
      <w:pPr>
        <w:pStyle w:val="Heading2"/>
        <w:spacing w:after="120" w:before="240"/>
      </w:pPr>
      <w:r>
        <w:rPr>
          <w:rFonts w:ascii="Calibri" w:cs="Calibri" w:eastAsia="Calibri" w:hAnsi="Calibri"/>
          <w:b/>
          <w:bCs/>
          <w:color w:val="1a1a2e"/>
          <w:sz w:val="24"/>
          <w:szCs w:val="24"/>
        </w:rPr>
        <w:t xml:space="preserve">7. Corporate Events and Adjustments</w:t>
      </w:r>
    </w:p>
    <w:p>
      <w:pPr>
        <w:spacing w:after="160"/>
        <w:jc w:val="left"/>
      </w:pPr>
      <w:r>
        <w:rPr>
          <w:rFonts w:ascii="Calibri" w:cs="Calibri" w:eastAsia="Calibri" w:hAnsi="Calibri"/>
          <w:color w:val="333333"/>
          <w:sz w:val="22"/>
          <w:szCs w:val="22"/>
        </w:rPr>
        <w:t xml:space="preserve">7.1 Equitable Adjustments. The Committee shall equitably adjust the number of RSUs and the class or kind of shares issuable upon settlement to reflect stock splits, reverse stock splits, stock dividends, combinations, recapitalizations, reclassifications, or similar changes in the Company's capital structure, in accordance with the Plan.</w:t>
      </w:r>
    </w:p>
    <w:p>
      <w:pPr>
        <w:spacing w:after="160"/>
        <w:jc w:val="left"/>
      </w:pPr>
      <w:r>
        <w:rPr>
          <w:rFonts w:ascii="Calibri" w:cs="Calibri" w:eastAsia="Calibri" w:hAnsi="Calibri"/>
          <w:color w:val="333333"/>
          <w:sz w:val="22"/>
          <w:szCs w:val="22"/>
        </w:rPr>
        <w:t xml:space="preserve">7.2 Change in Control. In the event of a Change in Control, the RSUs shall be treated as provided in Schedule 1, which shall specify whether the RSUs are assumed, substituted with equivalent awards, cash-settled at the transaction price, or subject to other treatment. If the RSUs are assumed or substituted, the Grantee's service with the successor shall constitute Continuous Service. If the successor does not assume or substitute the RSUs, the Committee may provide for immediate vesting and settlement, cash-out, or cancellation, as specified in Schedule 1 and consistent with Section 409A.</w:t>
      </w:r>
    </w:p>
    <w:p>
      <w:pPr>
        <w:spacing w:after="160"/>
        <w:jc w:val="left"/>
      </w:pPr>
      <w:r>
        <w:rPr>
          <w:rFonts w:ascii="Calibri" w:cs="Calibri" w:eastAsia="Calibri" w:hAnsi="Calibri"/>
          <w:color w:val="333333"/>
          <w:sz w:val="22"/>
          <w:szCs w:val="22"/>
        </w:rPr>
        <w:t xml:space="preserve">7.3 Transaction Consideration. If the transaction consideration includes earnout payments, escrow holdbacks, or contingent amounts, Schedule 1 shall specify whether and how the RSUs participate, the timing of any deferred payments, and the allocation of indemnity or escrow obligations.</w:t>
      </w:r>
    </w:p>
    <w:p>
      <w:pPr>
        <w:pStyle w:val="Heading2"/>
        <w:spacing w:after="120" w:before="240"/>
      </w:pPr>
      <w:r>
        <w:rPr>
          <w:rFonts w:ascii="Calibri" w:cs="Calibri" w:eastAsia="Calibri" w:hAnsi="Calibri"/>
          <w:b/>
          <w:bCs/>
          <w:color w:val="1a1a2e"/>
          <w:sz w:val="24"/>
          <w:szCs w:val="24"/>
        </w:rPr>
        <w:t xml:space="preserve">8. Clawback and Misconduct</w:t>
      </w:r>
    </w:p>
    <w:p>
      <w:pPr>
        <w:spacing w:after="160"/>
        <w:jc w:val="left"/>
      </w:pPr>
      <w:r>
        <w:rPr>
          <w:rFonts w:ascii="Calibri" w:cs="Calibri" w:eastAsia="Calibri" w:hAnsi="Calibri"/>
          <w:color w:val="333333"/>
          <w:sz w:val="22"/>
          <w:szCs w:val="22"/>
        </w:rPr>
        <w:t xml:space="preserve">The RSUs, any shares issued upon settlement, and any proceeds from the sale of such shares are subject to any clawback, recoupment, or forfeiture policy adopted by the Company (including any policy required by applicable law or listing standards), as identified in Schedule 2. No forfeiture for alleged misconduct shall be effective unless the designated decision maker follows the notice and determination procedure specified in the Plan or Schedule 2, including recusal of any conflicted decision maker, except where applicable law requires immediate recovery.</w:t>
      </w:r>
    </w:p>
    <w:p>
      <w:r>
        <w:br w:type="page"/>
      </w:r>
    </w:p>
    <w:p>
      <w:pPr>
        <w:pStyle w:val="Heading2"/>
        <w:spacing w:after="120" w:before="240"/>
      </w:pPr>
      <w:r>
        <w:rPr>
          <w:rFonts w:ascii="Calibri" w:cs="Calibri" w:eastAsia="Calibri" w:hAnsi="Calibri"/>
          <w:b/>
          <w:bCs/>
          <w:color w:val="1a1a2e"/>
          <w:sz w:val="24"/>
          <w:szCs w:val="24"/>
        </w:rPr>
        <w:t xml:space="preserve">9. IPO Lock-Up and Securities Compliance</w:t>
      </w:r>
    </w:p>
    <w:p>
      <w:pPr>
        <w:spacing w:after="160"/>
        <w:jc w:val="left"/>
      </w:pPr>
      <w:r>
        <w:rPr>
          <w:rFonts w:ascii="Calibri" w:cs="Calibri" w:eastAsia="Calibri" w:hAnsi="Calibri"/>
          <w:color w:val="333333"/>
          <w:sz w:val="22"/>
          <w:szCs w:val="22"/>
        </w:rPr>
        <w:t xml:space="preserve">9.1 Lock-Up. The Grantee agrees to comply with a reasonable underwriter lock-up agreement in connection with an initial public offering of the Company's securities, for a period not to exceed [180] days following the effective date of the registration statement. The Company may impose stop-transfer instructions on any shares subject to such lock-up.</w:t>
      </w:r>
    </w:p>
    <w:p>
      <w:pPr>
        <w:spacing w:after="160"/>
        <w:jc w:val="left"/>
      </w:pPr>
      <w:r>
        <w:rPr>
          <w:rFonts w:ascii="Calibri" w:cs="Calibri" w:eastAsia="Calibri" w:hAnsi="Calibri"/>
          <w:color w:val="333333"/>
          <w:sz w:val="22"/>
          <w:szCs w:val="22"/>
        </w:rPr>
        <w:t xml:space="preserve">9.2 Securities Compliance. Issuance of shares upon settlement is conditioned upon compliance with applicable federal and state securities laws. The Company may delay issuance as necessary to obtain required registrations, qualifications, or exemptions, provided such delay does not extend payment beyond a deadline that would violate Section 409A.</w:t>
      </w:r>
    </w:p>
    <w:p>
      <w:pPr>
        <w:spacing w:after="160"/>
        <w:jc w:val="left"/>
      </w:pPr>
      <w:r>
        <w:rPr>
          <w:rFonts w:ascii="Calibri" w:cs="Calibri" w:eastAsia="Calibri" w:hAnsi="Calibri"/>
          <w:color w:val="333333"/>
          <w:sz w:val="22"/>
          <w:szCs w:val="22"/>
        </w:rPr>
        <w:t xml:space="preserve">9.3 Rule 701. If this Award relies on the exemption provided by Rule 701 under the Securities Act of 1933, the Company shall deliver any required disclosure documents to the Grantee a reasonable time before the Grant Date. The Company's records shall include a certificate confirming the Rule 701 rolling calculation and pre-grant delivery of required disclosures.</w:t>
      </w:r>
    </w:p>
    <w:p>
      <w:pPr>
        <w:pStyle w:val="Heading2"/>
        <w:spacing w:after="120" w:before="240"/>
      </w:pPr>
      <w:r>
        <w:rPr>
          <w:rFonts w:ascii="Calibri" w:cs="Calibri" w:eastAsia="Calibri" w:hAnsi="Calibri"/>
          <w:b/>
          <w:bCs/>
          <w:color w:val="1a1a2e"/>
          <w:sz w:val="24"/>
          <w:szCs w:val="24"/>
        </w:rPr>
        <w:t xml:space="preserve">10. No Right to Continued Service</w:t>
      </w:r>
    </w:p>
    <w:p>
      <w:pPr>
        <w:spacing w:after="160"/>
        <w:jc w:val="left"/>
      </w:pPr>
      <w:r>
        <w:rPr>
          <w:rFonts w:ascii="Calibri" w:cs="Calibri" w:eastAsia="Calibri" w:hAnsi="Calibri"/>
          <w:color w:val="333333"/>
          <w:sz w:val="22"/>
          <w:szCs w:val="22"/>
        </w:rPr>
        <w:t xml:space="preserve">This Award does not create any right to continued employment or service, future awards, severance, or treatment as ordinary compensation for purposes of calculating severance, retirement, or other benefit amounts. The Grantee's service relationship remains terminable at will unless a separate written agreement provides otherwise.</w:t>
      </w:r>
    </w:p>
    <w:p>
      <w:pPr>
        <w:pStyle w:val="Heading2"/>
        <w:spacing w:after="120" w:before="240"/>
      </w:pPr>
      <w:r>
        <w:rPr>
          <w:rFonts w:ascii="Calibri" w:cs="Calibri" w:eastAsia="Calibri" w:hAnsi="Calibri"/>
          <w:b/>
          <w:bCs/>
          <w:color w:val="1a1a2e"/>
          <w:sz w:val="24"/>
          <w:szCs w:val="24"/>
        </w:rPr>
        <w:t xml:space="preserve">11. General Provisions</w:t>
      </w:r>
    </w:p>
    <w:p>
      <w:pPr>
        <w:spacing w:after="160"/>
        <w:jc w:val="left"/>
      </w:pPr>
      <w:r>
        <w:rPr>
          <w:rFonts w:ascii="Calibri" w:cs="Calibri" w:eastAsia="Calibri" w:hAnsi="Calibri"/>
          <w:color w:val="333333"/>
          <w:sz w:val="22"/>
          <w:szCs w:val="22"/>
        </w:rPr>
        <w:t xml:space="preserve">11.1 Plan Controls. The Plan governs this Award. In the event of a conflict between the Plan and this Agreement, the Plan controls as to general program terms; the Grant Notice controls as to grant-specific economics, to the extent consistent with the Plan.</w:t>
      </w:r>
    </w:p>
    <w:p>
      <w:pPr>
        <w:spacing w:after="160"/>
        <w:jc w:val="left"/>
      </w:pPr>
      <w:r>
        <w:rPr>
          <w:rFonts w:ascii="Calibri" w:cs="Calibri" w:eastAsia="Calibri" w:hAnsi="Calibri"/>
          <w:color w:val="333333"/>
          <w:sz w:val="22"/>
          <w:szCs w:val="22"/>
        </w:rPr>
        <w:t xml:space="preserve">11.2 Governing Law. This Agreement shall be governed by the laws of the State of [STATE], without regard to conflict-of-laws principles.</w:t>
      </w:r>
    </w:p>
    <w:p>
      <w:pPr>
        <w:spacing w:after="160"/>
        <w:jc w:val="left"/>
      </w:pPr>
      <w:r>
        <w:rPr>
          <w:rFonts w:ascii="Calibri" w:cs="Calibri" w:eastAsia="Calibri" w:hAnsi="Calibri"/>
          <w:color w:val="333333"/>
          <w:sz w:val="22"/>
          <w:szCs w:val="22"/>
        </w:rPr>
        <w:t xml:space="preserve">11.3 Notices. All notices shall be in writing and delivered to the addresses maintained in the Company's records, by personal delivery, nationally recognized overnight courier, or email with confirmation of receipt. Business Days and time zone shall be as specified in the Plan.</w:t>
      </w:r>
    </w:p>
    <w:p>
      <w:pPr>
        <w:spacing w:after="160"/>
        <w:jc w:val="left"/>
      </w:pPr>
      <w:r>
        <w:rPr>
          <w:rFonts w:ascii="Calibri" w:cs="Calibri" w:eastAsia="Calibri" w:hAnsi="Calibri"/>
          <w:color w:val="333333"/>
          <w:sz w:val="22"/>
          <w:szCs w:val="22"/>
        </w:rPr>
        <w:t xml:space="preserve">11.4 Amendments. The Committee may amend this Agreement consistently with the Plan. No amendment that is materially adverse to the Grantee shall be effective without the Grantee's written consent, unless the amendment is reasonably necessary for compliance with applicable law, tax requirements, or regulatory changes.</w:t>
      </w:r>
    </w:p>
    <w:p>
      <w:pPr>
        <w:spacing w:after="160"/>
        <w:jc w:val="left"/>
      </w:pPr>
      <w:r>
        <w:rPr>
          <w:rFonts w:ascii="Calibri" w:cs="Calibri" w:eastAsia="Calibri" w:hAnsi="Calibri"/>
          <w:color w:val="333333"/>
          <w:sz w:val="22"/>
          <w:szCs w:val="22"/>
        </w:rPr>
        <w:t xml:space="preserve">11.5 Severability. If any provision of this Agreement is held invalid or unenforceable, such provision shall be modified to the minimum extent necessary, and the remaining provisions shall continue in full force and effect.</w:t>
      </w:r>
    </w:p>
    <w:p>
      <w:pPr>
        <w:spacing w:after="160"/>
        <w:jc w:val="left"/>
      </w:pPr>
      <w:r>
        <w:rPr>
          <w:rFonts w:ascii="Calibri" w:cs="Calibri" w:eastAsia="Calibri" w:hAnsi="Calibri"/>
          <w:color w:val="333333"/>
          <w:sz w:val="22"/>
          <w:szCs w:val="22"/>
        </w:rPr>
        <w:t xml:space="preserve">11.6 Entire Agreement. This Agreement, together with the Grant Notice, the Plan, and any stockholders' agreement, constitutes the entire agreement between the parties with respect to this Award and supersedes all prior negotiations, representations, and agreements relating to the subject matter hereof.</w:t>
      </w:r>
    </w:p>
    <w:p>
      <w:pPr>
        <w:spacing w:after="160"/>
        <w:jc w:val="left"/>
      </w:pPr>
      <w:r>
        <w:rPr>
          <w:rFonts w:ascii="Calibri" w:cs="Calibri" w:eastAsia="Calibri" w:hAnsi="Calibri"/>
          <w:color w:val="333333"/>
          <w:sz w:val="22"/>
          <w:szCs w:val="22"/>
        </w:rPr>
        <w:t xml:space="preserve">11.7 Electronic Signatures. This Agreement may be executed in counterparts, including by electronic signature, each of which shall constitute an original.</w:t>
      </w:r>
    </w:p>
    <w:p>
      <w:pPr>
        <w:spacing w:after="160"/>
        <w:jc w:val="left"/>
      </w:pPr>
      <w:r>
        <w:rPr>
          <w:rFonts w:ascii="Calibri" w:cs="Calibri" w:eastAsia="Calibri" w:hAnsi="Calibri"/>
          <w:color w:val="333333"/>
          <w:sz w:val="22"/>
          <w:szCs w:val="22"/>
        </w:rPr>
        <w:t xml:space="preserve">11.8 Settlement Statement. Upon settlement, the Company shall provide a statement showing vested RSUs settled, shares issued, valuation used for withholding, withholding method and amount, fractional-share treatment, applicable restrictions, and ledger posting confirmation.</w:t>
      </w:r>
    </w:p>
    <w:p>
      <w:pPr>
        <w:spacing w:before="480"/>
      </w:pPr>
    </w:p>
    <w:p>
      <w:pPr>
        <w:pStyle w:val="Heading2"/>
        <w:spacing w:after="120" w:before="240"/>
      </w:pPr>
      <w:r>
        <w:rPr>
          <w:rFonts w:ascii="Calibri" w:cs="Calibri" w:eastAsia="Calibri" w:hAnsi="Calibri"/>
          <w:b/>
          <w:bCs/>
          <w:color w:val="1a1a2e"/>
          <w:sz w:val="24"/>
          <w:szCs w:val="24"/>
        </w:rPr>
        <w:t xml:space="preserve">Signatures</w:t>
      </w:r>
    </w:p>
    <w:p>
      <w:pPr>
        <w:spacing w:before="240"/>
      </w:pPr>
    </w:p>
    <w:p>
      <w:pPr>
        <w:spacing w:after="160"/>
        <w:jc w:val="left"/>
      </w:pPr>
      <w:r>
        <w:rPr>
          <w:rFonts w:ascii="Calibri" w:cs="Calibri" w:eastAsia="Calibri" w:hAnsi="Calibri"/>
          <w:b/>
          <w:bCs/>
          <w:color w:val="333333"/>
          <w:sz w:val="22"/>
          <w:szCs w:val="22"/>
        </w:rPr>
        <w:t xml:space="preserve">[COMPANY]</w:t>
      </w:r>
    </w:p>
    <w:p>
      <w:pPr>
        <w:spacing w:before="240"/>
      </w:pPr>
      <w:r>
        <w:rPr>
          <w:rFonts w:ascii="Calibri" w:cs="Calibri" w:eastAsia="Calibri" w:hAnsi="Calibri"/>
          <w:sz w:val="22"/>
          <w:szCs w:val="22"/>
        </w:rPr>
        <w:t xml:space="preserve">____________________________________</w:t>
      </w:r>
    </w:p>
    <w:p>
      <w:pPr>
        <w:spacing w:after="160"/>
        <w:jc w:val="left"/>
      </w:pPr>
      <w:r>
        <w:rPr>
          <w:rFonts w:ascii="Calibri" w:cs="Calibri" w:eastAsia="Calibri" w:hAnsi="Calibri"/>
          <w:i/>
          <w:iCs/>
          <w:color w:val="555555"/>
          <w:sz w:val="22"/>
          <w:szCs w:val="22"/>
        </w:rPr>
        <w:t xml:space="preserve">Name: [NAME]</w:t>
      </w:r>
    </w:p>
    <w:p>
      <w:pPr>
        <w:spacing w:after="160"/>
        <w:jc w:val="left"/>
      </w:pPr>
      <w:r>
        <w:rPr>
          <w:rFonts w:ascii="Calibri" w:cs="Calibri" w:eastAsia="Calibri" w:hAnsi="Calibri"/>
          <w:i/>
          <w:iCs/>
          <w:color w:val="555555"/>
          <w:sz w:val="22"/>
          <w:szCs w:val="22"/>
        </w:rPr>
        <w:t xml:space="preserve">Title: [TITLE]</w:t>
      </w:r>
    </w:p>
    <w:p>
      <w:pPr>
        <w:spacing w:after="160"/>
        <w:jc w:val="left"/>
      </w:pPr>
      <w:r>
        <w:rPr>
          <w:rFonts w:ascii="Calibri" w:cs="Calibri" w:eastAsia="Calibri" w:hAnsi="Calibri"/>
          <w:i/>
          <w:iCs/>
          <w:color w:val="555555"/>
          <w:sz w:val="22"/>
          <w:szCs w:val="22"/>
        </w:rPr>
        <w:t xml:space="preserve">Date: [DATE]</w:t>
      </w:r>
    </w:p>
    <w:p>
      <w:pPr>
        <w:spacing w:before="360"/>
      </w:pPr>
    </w:p>
    <w:p>
      <w:pPr>
        <w:spacing w:after="160"/>
        <w:jc w:val="left"/>
      </w:pPr>
      <w:r>
        <w:rPr>
          <w:rFonts w:ascii="Calibri" w:cs="Calibri" w:eastAsia="Calibri" w:hAnsi="Calibri"/>
          <w:b/>
          <w:bCs/>
          <w:color w:val="333333"/>
          <w:sz w:val="22"/>
          <w:szCs w:val="22"/>
        </w:rPr>
        <w:t xml:space="preserve">GRANTEE</w:t>
      </w:r>
    </w:p>
    <w:p>
      <w:pPr>
        <w:spacing w:before="240"/>
      </w:pPr>
      <w:r>
        <w:rPr>
          <w:rFonts w:ascii="Calibri" w:cs="Calibri" w:eastAsia="Calibri" w:hAnsi="Calibri"/>
          <w:sz w:val="22"/>
          <w:szCs w:val="22"/>
        </w:rPr>
        <w:t xml:space="preserve">____________________________________</w:t>
      </w:r>
    </w:p>
    <w:p>
      <w:pPr>
        <w:spacing w:after="160"/>
        <w:jc w:val="left"/>
      </w:pPr>
      <w:r>
        <w:rPr>
          <w:rFonts w:ascii="Calibri" w:cs="Calibri" w:eastAsia="Calibri" w:hAnsi="Calibri"/>
          <w:i/>
          <w:iCs/>
          <w:color w:val="555555"/>
          <w:sz w:val="22"/>
          <w:szCs w:val="22"/>
        </w:rPr>
        <w:t xml:space="preserve">Name: [GRANTEE NAME]</w:t>
      </w:r>
    </w:p>
    <w:p>
      <w:pPr>
        <w:spacing w:after="160"/>
        <w:jc w:val="left"/>
      </w:pPr>
      <w:r>
        <w:rPr>
          <w:rFonts w:ascii="Calibri" w:cs="Calibri" w:eastAsia="Calibri" w:hAnsi="Calibri"/>
          <w:i/>
          <w:iCs/>
          <w:color w:val="555555"/>
          <w:sz w:val="22"/>
          <w:szCs w:val="22"/>
        </w:rPr>
        <w:t xml:space="preserve">Date: [DATE]</w:t>
      </w:r>
    </w:p>
    <w:p>
      <w:r>
        <w:br w:type="page"/>
      </w:r>
    </w:p>
    <w:p>
      <w:pPr>
        <w:pStyle w:val="Heading2"/>
        <w:spacing w:after="120" w:before="240"/>
      </w:pPr>
      <w:r>
        <w:rPr>
          <w:rFonts w:ascii="Calibri" w:cs="Calibri" w:eastAsia="Calibri" w:hAnsi="Calibri"/>
          <w:b/>
          <w:bCs/>
          <w:color w:val="1a1a2e"/>
          <w:sz w:val="24"/>
          <w:szCs w:val="24"/>
        </w:rPr>
        <w:t xml:space="preserve">Schedule 1 — Vesting, Settlement, and Transaction Matrix</w:t>
      </w:r>
    </w:p>
    <w:p>
      <w:pPr>
        <w:spacing w:after="160"/>
        <w:jc w:val="left"/>
      </w:pPr>
      <w:r>
        <w:rPr>
          <w:rFonts w:ascii="Calibri" w:cs="Calibri" w:eastAsia="Calibri" w:hAnsi="Calibri"/>
          <w:color w:val="333333"/>
          <w:sz w:val="22"/>
          <w:szCs w:val="22"/>
        </w:rPr>
        <w:t xml:space="preserve">Part A — Vesting Schedule</w:t>
      </w:r>
    </w:p>
    <w:p>
      <w:pPr>
        <w:spacing w:after="160"/>
        <w:jc w:val="left"/>
      </w:pPr>
      <w:r>
        <w:rPr>
          <w:rFonts w:ascii="Calibri" w:cs="Calibri" w:eastAsia="Calibri" w:hAnsi="Calibri"/>
          <w:color w:val="333333"/>
          <w:sz w:val="22"/>
          <w:szCs w:val="22"/>
        </w:rPr>
        <w:t xml:space="preserve">[Insert detailed vesting schedule with dates, milestones, measurement sources, certification authority, partial-period rules, and approved-leave treatment.]</w:t>
      </w:r>
    </w:p>
    <w:p>
      <w:pPr>
        <w:spacing w:before="200"/>
      </w:pPr>
    </w:p>
    <w:p>
      <w:pPr>
        <w:spacing w:after="160"/>
        <w:jc w:val="left"/>
      </w:pPr>
      <w:r>
        <w:rPr>
          <w:rFonts w:ascii="Calibri" w:cs="Calibri" w:eastAsia="Calibri" w:hAnsi="Calibri"/>
          <w:color w:val="333333"/>
          <w:sz w:val="22"/>
          <w:szCs w:val="22"/>
        </w:rPr>
        <w:t xml:space="preserve">Part B — Termination and Acceleration Matrix</w:t>
      </w:r>
    </w:p>
    <w:p>
      <w:pPr>
        <w:spacing w:after="160"/>
        <w:jc w:val="left"/>
      </w:pPr>
      <w:r>
        <w:rPr>
          <w:rFonts w:ascii="Calibri" w:cs="Calibri" w:eastAsia="Calibri" w:hAnsi="Calibri"/>
          <w:color w:val="333333"/>
          <w:sz w:val="22"/>
          <w:szCs w:val="22"/>
        </w:rPr>
        <w:t xml:space="preserve">[Complete separate rows for: death, Disability, retirement, voluntary resignation, termination without Cause, termination for Cause, Good Reason resignation, service transfer, sale of business unit, and Change in Control. For each event, specify treatment of unvested RSUs, treatment of vested-but-unsettled RSUs, acceleration (if any), settlement timing, and release requirements.]</w:t>
      </w:r>
    </w:p>
    <w:p>
      <w:pPr>
        <w:spacing w:before="200"/>
      </w:pPr>
    </w:p>
    <w:p>
      <w:pPr>
        <w:spacing w:after="160"/>
        <w:jc w:val="left"/>
      </w:pPr>
      <w:r>
        <w:rPr>
          <w:rFonts w:ascii="Calibri" w:cs="Calibri" w:eastAsia="Calibri" w:hAnsi="Calibri"/>
          <w:color w:val="333333"/>
          <w:sz w:val="22"/>
          <w:szCs w:val="22"/>
        </w:rPr>
        <w:t xml:space="preserve">Part C — Change in Control Treatment</w:t>
      </w:r>
    </w:p>
    <w:p>
      <w:pPr>
        <w:spacing w:after="160"/>
        <w:jc w:val="left"/>
      </w:pPr>
      <w:r>
        <w:rPr>
          <w:rFonts w:ascii="Calibri" w:cs="Calibri" w:eastAsia="Calibri" w:hAnsi="Calibri"/>
          <w:color w:val="333333"/>
          <w:sz w:val="22"/>
          <w:szCs w:val="22"/>
        </w:rPr>
        <w:t xml:space="preserve">[Specify whether RSUs are assumed, substituted, cash-settled, or cancelled. State conversion ratio, buyer equity restrictions, escrow/holdback participation, earnout participation, and qualifying-termination protection period. Define Qualifying Liquidity Event if double-condition settlement applies.]</w:t>
      </w:r>
    </w:p>
    <w:p>
      <w:pPr>
        <w:spacing w:before="360"/>
      </w:pPr>
    </w:p>
    <w:p>
      <w:pPr>
        <w:pStyle w:val="Heading2"/>
        <w:spacing w:after="120" w:before="240"/>
      </w:pPr>
      <w:r>
        <w:rPr>
          <w:rFonts w:ascii="Calibri" w:cs="Calibri" w:eastAsia="Calibri" w:hAnsi="Calibri"/>
          <w:b/>
          <w:bCs/>
          <w:color w:val="1a1a2e"/>
          <w:sz w:val="24"/>
          <w:szCs w:val="24"/>
        </w:rPr>
        <w:t xml:space="preserve">Schedule 2 — Clawback and Restrictive Covenants</w:t>
      </w:r>
    </w:p>
    <w:p>
      <w:pPr>
        <w:spacing w:after="160"/>
        <w:jc w:val="left"/>
      </w:pPr>
      <w:r>
        <w:rPr>
          <w:rFonts w:ascii="Calibri" w:cs="Calibri" w:eastAsia="Calibri" w:hAnsi="Calibri"/>
          <w:color w:val="333333"/>
          <w:sz w:val="22"/>
          <w:szCs w:val="22"/>
        </w:rPr>
        <w:t xml:space="preserve">[Identify each applicable clawback or recoupment policy by title and version. Specify the decision maker, notice requirements, determination procedure, evidence standard, conflict recusal, correction procedure, and appeal rights. Identify any restrictive-covenant agreement and state priority if provisions overlap.]</w:t>
      </w:r>
    </w:p>
    <w:p>
      <w:pPr>
        <w:spacing w:before="360"/>
      </w:pPr>
    </w:p>
    <w:p>
      <w:pPr>
        <w:pStyle w:val="Heading2"/>
        <w:spacing w:after="120" w:before="240"/>
      </w:pPr>
      <w:r>
        <w:rPr>
          <w:rFonts w:ascii="Calibri" w:cs="Calibri" w:eastAsia="Calibri" w:hAnsi="Calibri"/>
          <w:b/>
          <w:bCs/>
          <w:color w:val="1a1a2e"/>
          <w:sz w:val="24"/>
          <w:szCs w:val="24"/>
        </w:rPr>
        <w:t xml:space="preserve">Schedule 3 — Stockholders' Agreement Joinder and Tax Withholding Election</w:t>
      </w:r>
    </w:p>
    <w:p>
      <w:pPr>
        <w:spacing w:after="160"/>
        <w:jc w:val="left"/>
      </w:pPr>
      <w:r>
        <w:rPr>
          <w:rFonts w:ascii="Calibri" w:cs="Calibri" w:eastAsia="Calibri" w:hAnsi="Calibri"/>
          <w:color w:val="333333"/>
          <w:sz w:val="22"/>
          <w:szCs w:val="22"/>
        </w:rPr>
        <w:t xml:space="preserve">[Attach the stockholders' agreement joinder form. Include the Grantee's withholding election form specifying the preferred method of tax withholding at settlement.]</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55555"/>
        <w:sz w:val="16"/>
        <w:szCs w:val="16"/>
      </w:rPr>
      <w:t xml:space="preserve">Montague Law  |  montague.law  |  Page </w:t>
    </w:r>
    <w:r>
      <w:rPr>
        <w:rFonts w:ascii="Calibri" w:cs="Calibri" w:eastAsia="Calibri" w:hAnsi="Calibri"/>
        <w:color w:val="555555"/>
        <w:sz w:val="16"/>
        <w:szCs w:val="16"/>
      </w:rPr>
      <w:fldChar w:fldCharType="begin"/>
      <w:instrText xml:space="preserve">PAGE</w:instrText>
      <w:fldChar w:fldCharType="separate"/>
      <w:fldChar w:fldCharType="end"/>
    </w:r>
    <w:r>
      <w:rPr>
        <w:rFonts w:ascii="Calibri" w:cs="Calibri" w:eastAsia="Calibri" w:hAnsi="Calibri"/>
        <w:color w:val="555555"/>
        <w:sz w:val="16"/>
        <w:szCs w:val="16"/>
      </w:rPr>
      <w:t xml:space="preserve"> of </w:t>
    </w:r>
    <w:r>
      <w:rPr>
        <w:rFonts w:ascii="Calibri" w:cs="Calibri" w:eastAsia="Calibri" w:hAnsi="Calibri"/>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555555"/>
        <w:sz w:val="18"/>
        <w:szCs w:val="18"/>
      </w:rPr>
      <w:t xml:space="preserve">Restricted Stock Unit Agreement — Private Company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2026-08-22T17:01:30.079Z</dcterms:created>
  <dcterms:modified xsi:type="dcterms:W3CDTF">2026-08-22T17:01:30.079Z</dcterms:modified>
</cp:coreProperties>
</file>

<file path=docProps/custom.xml><?xml version="1.0" encoding="utf-8"?>
<Properties xmlns="http://schemas.openxmlformats.org/officeDocument/2006/custom-properties" xmlns:vt="http://schemas.openxmlformats.org/officeDocument/2006/docPropsVTypes"/>
</file>