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p>
    <w:p>
      <w:pPr>
        <w:spacing w:after="120"/>
      </w:pPr>
    </w:p>
    <w:p>
      <w:pPr>
        <w:spacing w:after="120"/>
      </w:pPr>
    </w:p>
    <w:p>
      <w:pPr>
        <w:spacing w:after="120"/>
      </w:pPr>
    </w:p>
    <w:p>
      <w:pPr>
        <w:spacing w:after="200"/>
        <w:jc w:val="center"/>
      </w:pPr>
      <w:r>
        <w:rPr>
          <w:rFonts w:ascii="Times New Roman" w:cs="Times New Roman" w:eastAsia="Times New Roman" w:hAnsi="Times New Roman"/>
          <w:b/>
          <w:bCs/>
          <w:caps/>
          <w:sz w:val="28"/>
          <w:szCs w:val="28"/>
        </w:rPr>
        <w:t xml:space="preserve">REGISTRATION RIGHTS AGREEMENT</w:t>
      </w:r>
    </w:p>
    <w:p>
      <w:pPr>
        <w:spacing w:after="120"/>
      </w:pPr>
    </w:p>
    <w:p>
      <w:pPr>
        <w:spacing w:after="60"/>
        <w:jc w:val="center"/>
      </w:pPr>
      <w:r>
        <w:rPr>
          <w:rFonts w:ascii="Times New Roman" w:cs="Times New Roman" w:eastAsia="Times New Roman" w:hAnsi="Times New Roman"/>
          <w:b w:val="false"/>
          <w:bCs w:val="false"/>
          <w:i w:val="false"/>
          <w:iCs w:val="false"/>
          <w:sz w:val="22"/>
          <w:szCs w:val="22"/>
        </w:rPr>
        <w:t xml:space="preserve">by and among</w:t>
      </w:r>
    </w:p>
    <w:p>
      <w:pPr>
        <w:spacing w:after="120"/>
      </w:pPr>
    </w:p>
    <w:p>
      <w:pPr>
        <w:spacing w:after="60"/>
        <w:jc w:val="center"/>
      </w:pPr>
      <w:r>
        <w:rPr>
          <w:rFonts w:ascii="Times New Roman" w:cs="Times New Roman" w:eastAsia="Times New Roman" w:hAnsi="Times New Roman"/>
          <w:b/>
          <w:bCs/>
          <w:i w:val="false"/>
          <w:iCs w:val="false"/>
          <w:sz w:val="24"/>
          <w:szCs w:val="24"/>
        </w:rPr>
        <w:t xml:space="preserve">[COMPANY NAME]</w:t>
      </w:r>
    </w:p>
    <w:p>
      <w:pPr>
        <w:spacing w:after="120"/>
      </w:pPr>
    </w:p>
    <w:p>
      <w:pPr>
        <w:spacing w:after="60"/>
        <w:jc w:val="center"/>
      </w:pPr>
      <w:r>
        <w:rPr>
          <w:rFonts w:ascii="Times New Roman" w:cs="Times New Roman" w:eastAsia="Times New Roman" w:hAnsi="Times New Roman"/>
          <w:b w:val="false"/>
          <w:bCs w:val="false"/>
          <w:i w:val="false"/>
          <w:iCs w:val="false"/>
          <w:sz w:val="22"/>
          <w:szCs w:val="22"/>
        </w:rPr>
        <w:t xml:space="preserve">and</w:t>
      </w:r>
    </w:p>
    <w:p>
      <w:pPr>
        <w:spacing w:after="120"/>
      </w:pPr>
    </w:p>
    <w:p>
      <w:pPr>
        <w:spacing w:after="60"/>
        <w:jc w:val="center"/>
      </w:pPr>
      <w:r>
        <w:rPr>
          <w:rFonts w:ascii="Times New Roman" w:cs="Times New Roman" w:eastAsia="Times New Roman" w:hAnsi="Times New Roman"/>
          <w:b/>
          <w:bCs/>
          <w:i w:val="false"/>
          <w:iCs w:val="false"/>
          <w:sz w:val="24"/>
          <w:szCs w:val="24"/>
        </w:rPr>
        <w:t xml:space="preserve">[INITIAL HOLDER(S)]</w:t>
      </w:r>
    </w:p>
    <w:p>
      <w:pPr>
        <w:spacing w:after="120"/>
      </w:pPr>
    </w:p>
    <w:p>
      <w:pPr>
        <w:spacing w:after="120"/>
      </w:pPr>
    </w:p>
    <w:p>
      <w:pPr>
        <w:spacing w:after="60"/>
        <w:jc w:val="center"/>
      </w:pPr>
      <w:r>
        <w:rPr>
          <w:rFonts w:ascii="Times New Roman" w:cs="Times New Roman" w:eastAsia="Times New Roman" w:hAnsi="Times New Roman"/>
          <w:b w:val="false"/>
          <w:bCs w:val="false"/>
          <w:i/>
          <w:iCs/>
          <w:sz w:val="22"/>
          <w:szCs w:val="22"/>
        </w:rPr>
        <w:t xml:space="preserve">Dated as of [EFFECTIVE DATE]</w:t>
      </w:r>
    </w:p>
    <w:p>
      <w:r>
        <w:br w:type="page"/>
      </w:r>
    </w:p>
    <w:p>
      <w:pPr>
        <w:spacing w:after="120"/>
        <w:jc w:val="both"/>
      </w:pPr>
      <w:r>
        <w:rPr>
          <w:rFonts w:ascii="Times New Roman" w:cs="Times New Roman" w:eastAsia="Times New Roman" w:hAnsi="Times New Roman"/>
          <w:b w:val="false"/>
          <w:bCs w:val="false"/>
          <w:i w:val="false"/>
          <w:iCs w:val="false"/>
          <w:sz w:val="22"/>
          <w:szCs w:val="22"/>
        </w:rPr>
        <w:t xml:space="preserve">This REGISTRATION RIGHTS AGREEMENT (this "Agreement") is entered into as of [EFFECTIVE DATE], by and among [COMPANY NAME], a Delaware corporation (the "Company"), and the holders of the Company's securities listed on the signature pages hereto (each, a "Holder" and collectively, the "Holders").</w:t>
      </w:r>
    </w:p>
    <w:p>
      <w:pPr>
        <w:spacing w:after="120"/>
      </w:pPr>
    </w:p>
    <w:p>
      <w:pPr>
        <w:spacing w:after="120"/>
        <w:jc w:val="both"/>
      </w:pPr>
      <w:r>
        <w:rPr>
          <w:rFonts w:ascii="Times New Roman" w:cs="Times New Roman" w:eastAsia="Times New Roman" w:hAnsi="Times New Roman"/>
          <w:b w:val="false"/>
          <w:bCs w:val="false"/>
          <w:i w:val="false"/>
          <w:iCs w:val="false"/>
          <w:sz w:val="22"/>
          <w:szCs w:val="22"/>
        </w:rPr>
        <w:t xml:space="preserve">WHEREAS, the Company and the Holders desire to set forth certain rights with respect to the registration of certain securities of the Company under the Securities Act of 1933, as amended;</w:t>
      </w:r>
    </w:p>
    <w:p>
      <w:pPr>
        <w:spacing w:after="120"/>
        <w:jc w:val="both"/>
      </w:pPr>
      <w:r>
        <w:rPr>
          <w:rFonts w:ascii="Times New Roman" w:cs="Times New Roman" w:eastAsia="Times New Roman" w:hAnsi="Times New Roman"/>
          <w:b w:val="false"/>
          <w:bCs w:val="false"/>
          <w:i w:val="false"/>
          <w:iCs w:val="false"/>
          <w:sz w:val="22"/>
          <w:szCs w:val="22"/>
        </w:rPr>
        <w:t xml:space="preserve">WHEREAS, the Holders are acquiring, or have acquired, securities of the Company and, as a condition to such acquisition, the Company has agreed to grant the registration rights set forth herein;</w:t>
      </w:r>
    </w:p>
    <w:p>
      <w:pPr>
        <w:spacing w:after="120"/>
        <w:jc w:val="both"/>
      </w:pPr>
      <w:r>
        <w:rPr>
          <w:rFonts w:ascii="Times New Roman" w:cs="Times New Roman" w:eastAsia="Times New Roman" w:hAnsi="Times New Roman"/>
          <w:b w:val="false"/>
          <w:bCs w:val="false"/>
          <w:i w:val="false"/>
          <w:iCs w:val="false"/>
          <w:sz w:val="22"/>
          <w:szCs w:val="22"/>
        </w:rPr>
        <w:t xml:space="preserve">NOW, THEREFORE, in consideration of the mutual covenants and agreements contained herein, and for other good and valuable consideration, the receipt and sufficiency of which are hereby acknowledged, the parties agree as follows:</w:t>
      </w:r>
    </w:p>
    <w:p>
      <w:pPr>
        <w:spacing w:after="120"/>
      </w:pPr>
    </w:p>
    <w:p>
      <w:pPr>
        <w:spacing w:after="200" w:before="360"/>
        <w:jc w:val="left"/>
      </w:pPr>
      <w:r>
        <w:rPr>
          <w:rFonts w:ascii="Times New Roman" w:cs="Times New Roman" w:eastAsia="Times New Roman" w:hAnsi="Times New Roman"/>
          <w:b/>
          <w:bCs/>
          <w:sz w:val="24"/>
          <w:szCs w:val="24"/>
        </w:rPr>
        <w:t xml:space="preserve">1. DEFINITIONS</w:t>
      </w:r>
    </w:p>
    <w:p>
      <w:pPr>
        <w:spacing w:after="120"/>
        <w:ind w:left="360"/>
        <w:jc w:val="both"/>
      </w:pPr>
      <w:r>
        <w:rPr>
          <w:rFonts w:ascii="Times New Roman" w:cs="Times New Roman" w:eastAsia="Times New Roman" w:hAnsi="Times New Roman"/>
          <w:b w:val="false"/>
          <w:bCs w:val="false"/>
          <w:i w:val="false"/>
          <w:iCs w:val="false"/>
          <w:sz w:val="22"/>
          <w:szCs w:val="22"/>
        </w:rPr>
        <w:t xml:space="preserve">As used in this Agreement, the following terms shall have the meanings set forth below:</w:t>
      </w:r>
    </w:p>
    <w:p>
      <w:pPr>
        <w:spacing w:after="120"/>
        <w:ind w:left="360"/>
        <w:jc w:val="both"/>
      </w:pPr>
      <w:r>
        <w:rPr>
          <w:rFonts w:ascii="Times New Roman" w:cs="Times New Roman" w:eastAsia="Times New Roman" w:hAnsi="Times New Roman"/>
          <w:b/>
          <w:bCs/>
          <w:sz w:val="22"/>
          <w:szCs w:val="22"/>
        </w:rPr>
        <w:t xml:space="preserve">"Commission"</w:t>
      </w:r>
      <w:r>
        <w:rPr>
          <w:rFonts w:ascii="Times New Roman" w:cs="Times New Roman" w:eastAsia="Times New Roman" w:hAnsi="Times New Roman"/>
          <w:sz w:val="22"/>
          <w:szCs w:val="22"/>
        </w:rPr>
        <w:t xml:space="preserve"> means the U.S. Securities and Exchange Commission.</w:t>
      </w:r>
    </w:p>
    <w:p>
      <w:pPr>
        <w:spacing w:after="120"/>
        <w:ind w:left="360"/>
        <w:jc w:val="both"/>
      </w:pPr>
      <w:r>
        <w:rPr>
          <w:rFonts w:ascii="Times New Roman" w:cs="Times New Roman" w:eastAsia="Times New Roman" w:hAnsi="Times New Roman"/>
          <w:b/>
          <w:bCs/>
          <w:sz w:val="22"/>
          <w:szCs w:val="22"/>
        </w:rPr>
        <w:t xml:space="preserve">"Exchange Act"</w:t>
      </w:r>
      <w:r>
        <w:rPr>
          <w:rFonts w:ascii="Times New Roman" w:cs="Times New Roman" w:eastAsia="Times New Roman" w:hAnsi="Times New Roman"/>
          <w:sz w:val="22"/>
          <w:szCs w:val="22"/>
        </w:rPr>
        <w:t xml:space="preserve"> means the Securities Exchange Act of 1934, as amended, and the rules and regulations promulgated thereunder.</w:t>
      </w:r>
    </w:p>
    <w:p>
      <w:pPr>
        <w:spacing w:after="120"/>
        <w:ind w:left="360"/>
        <w:jc w:val="both"/>
      </w:pPr>
      <w:r>
        <w:rPr>
          <w:rFonts w:ascii="Times New Roman" w:cs="Times New Roman" w:eastAsia="Times New Roman" w:hAnsi="Times New Roman"/>
          <w:b/>
          <w:bCs/>
          <w:sz w:val="22"/>
          <w:szCs w:val="22"/>
        </w:rPr>
        <w:t xml:space="preserve">"Form S-1"</w:t>
      </w:r>
      <w:r>
        <w:rPr>
          <w:rFonts w:ascii="Times New Roman" w:cs="Times New Roman" w:eastAsia="Times New Roman" w:hAnsi="Times New Roman"/>
          <w:sz w:val="22"/>
          <w:szCs w:val="22"/>
        </w:rPr>
        <w:t xml:space="preserve"> means SEC Form S-1 under the Securities Act or any successor form thereto.</w:t>
      </w:r>
    </w:p>
    <w:p>
      <w:pPr>
        <w:spacing w:after="120"/>
        <w:ind w:left="360"/>
        <w:jc w:val="both"/>
      </w:pPr>
      <w:r>
        <w:rPr>
          <w:rFonts w:ascii="Times New Roman" w:cs="Times New Roman" w:eastAsia="Times New Roman" w:hAnsi="Times New Roman"/>
          <w:b/>
          <w:bCs/>
          <w:sz w:val="22"/>
          <w:szCs w:val="22"/>
        </w:rPr>
        <w:t xml:space="preserve">"Form S-3"</w:t>
      </w:r>
      <w:r>
        <w:rPr>
          <w:rFonts w:ascii="Times New Roman" w:cs="Times New Roman" w:eastAsia="Times New Roman" w:hAnsi="Times New Roman"/>
          <w:sz w:val="22"/>
          <w:szCs w:val="22"/>
        </w:rPr>
        <w:t xml:space="preserve"> means SEC Form S-3 under the Securities Act or any successor form thereto.</w:t>
      </w:r>
    </w:p>
    <w:p>
      <w:pPr>
        <w:spacing w:after="120"/>
        <w:ind w:left="360"/>
        <w:jc w:val="both"/>
      </w:pPr>
      <w:r>
        <w:rPr>
          <w:rFonts w:ascii="Times New Roman" w:cs="Times New Roman" w:eastAsia="Times New Roman" w:hAnsi="Times New Roman"/>
          <w:b/>
          <w:bCs/>
          <w:sz w:val="22"/>
          <w:szCs w:val="22"/>
        </w:rPr>
        <w:t xml:space="preserve">"Holder"</w:t>
      </w:r>
      <w:r>
        <w:rPr>
          <w:rFonts w:ascii="Times New Roman" w:cs="Times New Roman" w:eastAsia="Times New Roman" w:hAnsi="Times New Roman"/>
          <w:sz w:val="22"/>
          <w:szCs w:val="22"/>
        </w:rPr>
        <w:t xml:space="preserve"> means any holder of Registrable Securities who is a party to this Agreement or a permitted transferee thereof in accordance with Section 9 hereof.</w:t>
      </w:r>
    </w:p>
    <w:p>
      <w:pPr>
        <w:spacing w:after="120"/>
        <w:ind w:left="360"/>
        <w:jc w:val="both"/>
      </w:pPr>
      <w:r>
        <w:rPr>
          <w:rFonts w:ascii="Times New Roman" w:cs="Times New Roman" w:eastAsia="Times New Roman" w:hAnsi="Times New Roman"/>
          <w:b/>
          <w:bCs/>
          <w:sz w:val="22"/>
          <w:szCs w:val="22"/>
        </w:rPr>
        <w:t xml:space="preserve">"Initiating Holders"</w:t>
      </w:r>
      <w:r>
        <w:rPr>
          <w:rFonts w:ascii="Times New Roman" w:cs="Times New Roman" w:eastAsia="Times New Roman" w:hAnsi="Times New Roman"/>
          <w:sz w:val="22"/>
          <w:szCs w:val="22"/>
        </w:rPr>
        <w:t xml:space="preserve"> means Holders holding a majority of the then-outstanding Registrable Securities.</w:t>
      </w:r>
    </w:p>
    <w:p>
      <w:pPr>
        <w:spacing w:after="120"/>
        <w:ind w:left="360"/>
        <w:jc w:val="both"/>
      </w:pPr>
      <w:r>
        <w:rPr>
          <w:rFonts w:ascii="Times New Roman" w:cs="Times New Roman" w:eastAsia="Times New Roman" w:hAnsi="Times New Roman"/>
          <w:b/>
          <w:bCs/>
          <w:sz w:val="22"/>
          <w:szCs w:val="22"/>
        </w:rPr>
        <w:t xml:space="preserve">"Qualified IPO"</w:t>
      </w:r>
      <w:r>
        <w:rPr>
          <w:rFonts w:ascii="Times New Roman" w:cs="Times New Roman" w:eastAsia="Times New Roman" w:hAnsi="Times New Roman"/>
          <w:sz w:val="22"/>
          <w:szCs w:val="22"/>
        </w:rPr>
        <w:t xml:space="preserve"> means the Company’s first firm-commitment underwritten public offering of Common Stock under the Securities Act, resulting in aggregate gross proceeds to the Company of not less than $[QUALIFIED IPO THRESHOLD] (before deduction of underwriting discounts, commissions, and offering expenses).</w:t>
      </w:r>
    </w:p>
    <w:p>
      <w:pPr>
        <w:spacing w:after="120"/>
        <w:ind w:left="360"/>
        <w:jc w:val="both"/>
      </w:pPr>
      <w:r>
        <w:rPr>
          <w:rFonts w:ascii="Times New Roman" w:cs="Times New Roman" w:eastAsia="Times New Roman" w:hAnsi="Times New Roman"/>
          <w:b/>
          <w:bCs/>
          <w:sz w:val="22"/>
          <w:szCs w:val="22"/>
        </w:rPr>
        <w:t xml:space="preserve">"Registrable Securities"</w:t>
      </w:r>
      <w:r>
        <w:rPr>
          <w:rFonts w:ascii="Times New Roman" w:cs="Times New Roman" w:eastAsia="Times New Roman" w:hAnsi="Times New Roman"/>
          <w:sz w:val="22"/>
          <w:szCs w:val="22"/>
        </w:rPr>
        <w:t xml:space="preserve"> means (i) shares of Common Stock issued or issuable upon conversion of Preferred Stock, and (ii) any shares of Common Stock issued as a dividend or distribution on, or in exchange for, or in replacement of, the shares referenced in clause (i); provided, however, that securities shall cease to be Registrable Securities when (A) a registration statement covering such securities has been declared effective by the Commission and such securities have been disposed of in accordance with such effective registration statement, (B) such securities may be sold pursuant to Rule 144 promulgated under the Securities Act without volume or manner-of-sale limitations and without the requirement for current public information, or (C) such securities have ceased to be outstanding.</w:t>
      </w:r>
    </w:p>
    <w:p>
      <w:pPr>
        <w:spacing w:after="120"/>
        <w:ind w:left="360"/>
        <w:jc w:val="both"/>
      </w:pPr>
      <w:r>
        <w:rPr>
          <w:rFonts w:ascii="Times New Roman" w:cs="Times New Roman" w:eastAsia="Times New Roman" w:hAnsi="Times New Roman"/>
          <w:b/>
          <w:bCs/>
          <w:sz w:val="22"/>
          <w:szCs w:val="22"/>
        </w:rPr>
        <w:t xml:space="preserve">"Registration Statement"</w:t>
      </w:r>
      <w:r>
        <w:rPr>
          <w:rFonts w:ascii="Times New Roman" w:cs="Times New Roman" w:eastAsia="Times New Roman" w:hAnsi="Times New Roman"/>
          <w:sz w:val="22"/>
          <w:szCs w:val="22"/>
        </w:rPr>
        <w:t xml:space="preserve"> means any registration statement filed or to be filed with the Commission under the Securities Act, including (in each case) the prospectus, amendments and supplements thereto, all exhibits, and all material incorporated by reference or deemed to be incorporated by reference therein.</w:t>
      </w:r>
    </w:p>
    <w:p>
      <w:pPr>
        <w:spacing w:after="120"/>
        <w:ind w:left="360"/>
        <w:jc w:val="both"/>
      </w:pPr>
      <w:r>
        <w:rPr>
          <w:rFonts w:ascii="Times New Roman" w:cs="Times New Roman" w:eastAsia="Times New Roman" w:hAnsi="Times New Roman"/>
          <w:b/>
          <w:bCs/>
          <w:sz w:val="22"/>
          <w:szCs w:val="22"/>
        </w:rPr>
        <w:t xml:space="preserve">"Securities Act"</w:t>
      </w:r>
      <w:r>
        <w:rPr>
          <w:rFonts w:ascii="Times New Roman" w:cs="Times New Roman" w:eastAsia="Times New Roman" w:hAnsi="Times New Roman"/>
          <w:sz w:val="22"/>
          <w:szCs w:val="22"/>
        </w:rPr>
        <w:t xml:space="preserve"> means the Securities Act of 1933, as amended, and the rules and regulations promulgated thereunder.</w:t>
      </w:r>
    </w:p>
    <w:p>
      <w:pPr>
        <w:spacing w:after="120"/>
        <w:ind w:left="360"/>
        <w:jc w:val="both"/>
      </w:pPr>
      <w:r>
        <w:rPr>
          <w:rFonts w:ascii="Times New Roman" w:cs="Times New Roman" w:eastAsia="Times New Roman" w:hAnsi="Times New Roman"/>
          <w:b/>
          <w:bCs/>
          <w:sz w:val="22"/>
          <w:szCs w:val="22"/>
        </w:rPr>
        <w:t xml:space="preserve">"Underwriter"</w:t>
      </w:r>
      <w:r>
        <w:rPr>
          <w:rFonts w:ascii="Times New Roman" w:cs="Times New Roman" w:eastAsia="Times New Roman" w:hAnsi="Times New Roman"/>
          <w:sz w:val="22"/>
          <w:szCs w:val="22"/>
        </w:rPr>
        <w:t xml:space="preserve"> means a securities dealer that purchases securities from the Company or Holders in a firm-commitment underwriting in connection with a registered public offering of such securities.</w:t>
      </w:r>
    </w:p>
    <w:p>
      <w:pPr>
        <w:spacing w:after="200" w:before="360"/>
        <w:jc w:val="left"/>
      </w:pPr>
      <w:r>
        <w:rPr>
          <w:rFonts w:ascii="Times New Roman" w:cs="Times New Roman" w:eastAsia="Times New Roman" w:hAnsi="Times New Roman"/>
          <w:b/>
          <w:bCs/>
          <w:sz w:val="24"/>
          <w:szCs w:val="24"/>
        </w:rPr>
        <w:t xml:space="preserve">2. DEMAND REGISTRATION RIGHTS</w:t>
      </w:r>
    </w:p>
    <w:p>
      <w:pPr>
        <w:spacing w:after="120" w:before="240"/>
        <w:ind w:left="360"/>
        <w:jc w:val="left"/>
      </w:pPr>
      <w:r>
        <w:rPr>
          <w:rFonts w:ascii="Times New Roman" w:cs="Times New Roman" w:eastAsia="Times New Roman" w:hAnsi="Times New Roman"/>
          <w:b/>
          <w:bCs/>
          <w:sz w:val="22"/>
          <w:szCs w:val="22"/>
        </w:rPr>
        <w:t xml:space="preserve">2.1 Right to Demand.</w:t>
      </w:r>
    </w:p>
    <w:p>
      <w:pPr>
        <w:spacing w:after="120"/>
        <w:ind w:left="360"/>
        <w:jc w:val="both"/>
      </w:pPr>
      <w:r>
        <w:rPr>
          <w:rFonts w:ascii="Times New Roman" w:cs="Times New Roman" w:eastAsia="Times New Roman" w:hAnsi="Times New Roman"/>
          <w:b w:val="false"/>
          <w:bCs w:val="false"/>
          <w:i w:val="false"/>
          <w:iCs w:val="false"/>
          <w:sz w:val="22"/>
          <w:szCs w:val="22"/>
        </w:rPr>
        <w:t xml:space="preserve">At any time after the earlier of (i) the [fifth] anniversary of the date of this Agreement and (ii) [180] days following the effective date of the Company’s Qualified IPO, the Initiating Holders may request in writing that the Company effect a registration on Form S-1 (or any successor form) covering the resale of all or a portion of their Registrable Securities, specifying the number of shares of Registrable Securities to be registered and the intended method of distribution thereof. The Company shall not be obligated to effect more than [NUMBER OF DEMAND REGISTRATIONS] registrations pursuant to this Section 2. A registration shall not be counted as a demand registration unless the Registration Statement relating thereto has been declared effective by the Commission and the Company has complied in all material respects with its obligations under this Agreement with respect thereto.</w:t>
      </w:r>
    </w:p>
    <w:p>
      <w:pPr>
        <w:spacing w:after="120" w:before="240"/>
        <w:ind w:left="360"/>
        <w:jc w:val="left"/>
      </w:pPr>
      <w:r>
        <w:rPr>
          <w:rFonts w:ascii="Times New Roman" w:cs="Times New Roman" w:eastAsia="Times New Roman" w:hAnsi="Times New Roman"/>
          <w:b/>
          <w:bCs/>
          <w:sz w:val="22"/>
          <w:szCs w:val="22"/>
        </w:rPr>
        <w:t xml:space="preserve">2.2 Company Obligations.</w:t>
      </w:r>
    </w:p>
    <w:p>
      <w:pPr>
        <w:spacing w:after="120"/>
        <w:ind w:left="360"/>
        <w:jc w:val="both"/>
      </w:pPr>
      <w:r>
        <w:rPr>
          <w:rFonts w:ascii="Times New Roman" w:cs="Times New Roman" w:eastAsia="Times New Roman" w:hAnsi="Times New Roman"/>
          <w:b w:val="false"/>
          <w:bCs w:val="false"/>
          <w:i w:val="false"/>
          <w:iCs w:val="false"/>
          <w:sz w:val="22"/>
          <w:szCs w:val="22"/>
        </w:rPr>
        <w:t xml:space="preserve">Upon receipt of a demand for registration pursuant to Section 2.1, the Company shall:</w:t>
      </w:r>
    </w:p>
    <w:p>
      <w:pPr>
        <w:spacing w:after="120"/>
        <w:ind w:left="720"/>
        <w:jc w:val="both"/>
      </w:pPr>
      <w:r>
        <w:rPr>
          <w:rFonts w:ascii="Times New Roman" w:cs="Times New Roman" w:eastAsia="Times New Roman" w:hAnsi="Times New Roman"/>
          <w:b w:val="false"/>
          <w:bCs w:val="false"/>
          <w:i w:val="false"/>
          <w:iCs w:val="false"/>
          <w:sz w:val="22"/>
          <w:szCs w:val="22"/>
        </w:rPr>
        <w:t xml:space="preserve">(a) within ten (10) business days of receipt of such demand, give written notice of the proposed registration to all other Holders of Registrable Securities, which notice shall offer each such Holder the opportunity to include in the proposed registration such number of Registrable Securities as each such Holder may request; and</w:t>
      </w:r>
    </w:p>
    <w:p>
      <w:pPr>
        <w:spacing w:after="120"/>
        <w:ind w:left="720"/>
        <w:jc w:val="both"/>
      </w:pPr>
      <w:r>
        <w:rPr>
          <w:rFonts w:ascii="Times New Roman" w:cs="Times New Roman" w:eastAsia="Times New Roman" w:hAnsi="Times New Roman"/>
          <w:b w:val="false"/>
          <w:bCs w:val="false"/>
          <w:i w:val="false"/>
          <w:iCs w:val="false"/>
          <w:sz w:val="22"/>
          <w:szCs w:val="22"/>
        </w:rPr>
        <w:t xml:space="preserve">(b) use its best efforts to file a Registration Statement with the Commission within [60] days of receipt of the demand and to cause such Registration Statement to become effective under the Securities Act as promptly as practicable after such filing.</w:t>
      </w:r>
    </w:p>
    <w:p>
      <w:pPr>
        <w:spacing w:after="120" w:before="240"/>
        <w:ind w:left="360"/>
        <w:jc w:val="left"/>
      </w:pPr>
      <w:r>
        <w:rPr>
          <w:rFonts w:ascii="Times New Roman" w:cs="Times New Roman" w:eastAsia="Times New Roman" w:hAnsi="Times New Roman"/>
          <w:b/>
          <w:bCs/>
          <w:sz w:val="22"/>
          <w:szCs w:val="22"/>
        </w:rPr>
        <w:t xml:space="preserve">2.3 Minimum Threshold.</w:t>
      </w:r>
    </w:p>
    <w:p>
      <w:pPr>
        <w:spacing w:after="120"/>
        <w:ind w:left="360"/>
        <w:jc w:val="both"/>
      </w:pPr>
      <w:r>
        <w:rPr>
          <w:rFonts w:ascii="Times New Roman" w:cs="Times New Roman" w:eastAsia="Times New Roman" w:hAnsi="Times New Roman"/>
          <w:b w:val="false"/>
          <w:bCs w:val="false"/>
          <w:i w:val="false"/>
          <w:iCs w:val="false"/>
          <w:sz w:val="22"/>
          <w:szCs w:val="22"/>
        </w:rPr>
        <w:t xml:space="preserve">The Company shall not be obligated to effect a demand registration pursuant to this Section 2 unless the aggregate offering price (net of underwriting discounts and commissions) of the Registrable Securities requested to be registered is at least $[DEMAND THRESHOLD], as estimated in good faith by the Company.</w:t>
      </w:r>
    </w:p>
    <w:p>
      <w:pPr>
        <w:spacing w:after="120" w:before="240"/>
        <w:ind w:left="360"/>
        <w:jc w:val="left"/>
      </w:pPr>
      <w:r>
        <w:rPr>
          <w:rFonts w:ascii="Times New Roman" w:cs="Times New Roman" w:eastAsia="Times New Roman" w:hAnsi="Times New Roman"/>
          <w:b/>
          <w:bCs/>
          <w:sz w:val="22"/>
          <w:szCs w:val="22"/>
        </w:rPr>
        <w:t xml:space="preserve">2.4 Deferral.</w:t>
      </w:r>
    </w:p>
    <w:p>
      <w:pPr>
        <w:spacing w:after="120"/>
        <w:ind w:left="360"/>
        <w:jc w:val="both"/>
      </w:pPr>
      <w:r>
        <w:rPr>
          <w:rFonts w:ascii="Times New Roman" w:cs="Times New Roman" w:eastAsia="Times New Roman" w:hAnsi="Times New Roman"/>
          <w:b w:val="false"/>
          <w:bCs w:val="false"/>
          <w:i w:val="false"/>
          <w:iCs w:val="false"/>
          <w:sz w:val="22"/>
          <w:szCs w:val="22"/>
        </w:rPr>
        <w:t xml:space="preserve">The Company may defer the filing of a demand Registration Statement for a period not to exceed [90] days after receipt of the demand if the Company’s Board of Directors determines in good faith that such filing would (i) materially interfere with a pending or contemplated financing, acquisition, corporate reorganization, merger, or other material transaction involving the Company, or (ii) require premature disclosure of material non-public information that, if disclosed at such time, could materially and adversely affect the Company (a "Blackout Period"); provided, however, that the Company may not invoke this deferral right more than once in any twelve (12)-month period; and provided, further, that the Company shall promptly notify the Initiating Holders in writing of the commencement and termination of each Blackout Period.</w:t>
      </w:r>
    </w:p>
    <w:p>
      <w:pPr>
        <w:spacing w:after="120" w:before="240"/>
        <w:ind w:left="360"/>
        <w:jc w:val="left"/>
      </w:pPr>
      <w:r>
        <w:rPr>
          <w:rFonts w:ascii="Times New Roman" w:cs="Times New Roman" w:eastAsia="Times New Roman" w:hAnsi="Times New Roman"/>
          <w:b/>
          <w:bCs/>
          <w:sz w:val="22"/>
          <w:szCs w:val="22"/>
        </w:rPr>
        <w:t xml:space="preserve">2.5 Underwriting.</w:t>
      </w:r>
    </w:p>
    <w:p>
      <w:pPr>
        <w:spacing w:after="120"/>
        <w:ind w:left="360"/>
        <w:jc w:val="both"/>
      </w:pPr>
      <w:r>
        <w:rPr>
          <w:rFonts w:ascii="Times New Roman" w:cs="Times New Roman" w:eastAsia="Times New Roman" w:hAnsi="Times New Roman"/>
          <w:b w:val="false"/>
          <w:bCs w:val="false"/>
          <w:i w:val="false"/>
          <w:iCs w:val="false"/>
          <w:sz w:val="22"/>
          <w:szCs w:val="22"/>
        </w:rPr>
        <w:t xml:space="preserve">If the Initiating Holders intend to distribute the Registrable Securities covered by their demand by means of an underwriting, they shall so advise the Company in their written demand. In such event, the right of any Holder to include Registrable Securities in such registration shall be conditioned upon such Holder’s participation in such underwriting and the inclusion of such Holder’s Registrable Securities in the underwriting to the extent provided herein. All Holders proposing to distribute their Registrable Securities through such underwriting shall enter into an underwriting agreement in customary form with the Underwriter or Underwriters selected for the underwriting by the Initiating Holders (which Underwriter or Underwriters shall be reasonably acceptable to the Company).</w:t>
      </w:r>
    </w:p>
    <w:p>
      <w:pPr>
        <w:spacing w:after="200" w:before="360"/>
        <w:jc w:val="left"/>
      </w:pPr>
      <w:r>
        <w:rPr>
          <w:rFonts w:ascii="Times New Roman" w:cs="Times New Roman" w:eastAsia="Times New Roman" w:hAnsi="Times New Roman"/>
          <w:b/>
          <w:bCs/>
          <w:sz w:val="24"/>
          <w:szCs w:val="24"/>
        </w:rPr>
        <w:t xml:space="preserve">3. S-3 REGISTRATION RIGHTS</w:t>
      </w:r>
    </w:p>
    <w:p>
      <w:pPr>
        <w:spacing w:after="120" w:before="240"/>
        <w:ind w:left="360"/>
        <w:jc w:val="left"/>
      </w:pPr>
      <w:r>
        <w:rPr>
          <w:rFonts w:ascii="Times New Roman" w:cs="Times New Roman" w:eastAsia="Times New Roman" w:hAnsi="Times New Roman"/>
          <w:b/>
          <w:bCs/>
          <w:sz w:val="22"/>
          <w:szCs w:val="22"/>
        </w:rPr>
        <w:t xml:space="preserve">3.1 Request.</w:t>
      </w:r>
    </w:p>
    <w:p>
      <w:pPr>
        <w:spacing w:after="120"/>
        <w:ind w:left="360"/>
        <w:jc w:val="both"/>
      </w:pPr>
      <w:r>
        <w:rPr>
          <w:rFonts w:ascii="Times New Roman" w:cs="Times New Roman" w:eastAsia="Times New Roman" w:hAnsi="Times New Roman"/>
          <w:b w:val="false"/>
          <w:bCs w:val="false"/>
          <w:i w:val="false"/>
          <w:iCs w:val="false"/>
          <w:sz w:val="22"/>
          <w:szCs w:val="22"/>
        </w:rPr>
        <w:t xml:space="preserve">At any time after the Company becomes eligible to use Form S-3 (or any successor form) for the registration of securities under the Securities Act, any Holder of Registrable Securities may request in writing that the Company file a Registration Statement on Form S-3 for the resale of Registrable Securities, specifying the number of shares of Registrable Securities to be registered and the intended method of distribution thereof.</w:t>
      </w:r>
    </w:p>
    <w:p>
      <w:pPr>
        <w:spacing w:after="120" w:before="240"/>
        <w:ind w:left="360"/>
        <w:jc w:val="left"/>
      </w:pPr>
      <w:r>
        <w:rPr>
          <w:rFonts w:ascii="Times New Roman" w:cs="Times New Roman" w:eastAsia="Times New Roman" w:hAnsi="Times New Roman"/>
          <w:b/>
          <w:bCs/>
          <w:sz w:val="22"/>
          <w:szCs w:val="22"/>
        </w:rPr>
        <w:t xml:space="preserve">3.2 Limitations.</w:t>
      </w:r>
    </w:p>
    <w:p>
      <w:pPr>
        <w:spacing w:after="120"/>
        <w:ind w:left="360"/>
        <w:jc w:val="both"/>
      </w:pPr>
      <w:r>
        <w:rPr>
          <w:rFonts w:ascii="Times New Roman" w:cs="Times New Roman" w:eastAsia="Times New Roman" w:hAnsi="Times New Roman"/>
          <w:b w:val="false"/>
          <w:bCs w:val="false"/>
          <w:i w:val="false"/>
          <w:iCs w:val="false"/>
          <w:sz w:val="22"/>
          <w:szCs w:val="22"/>
        </w:rPr>
        <w:t xml:space="preserve">The Company shall not be obligated to effect a registration on Form S-3 pursuant to this Section 3 if:</w:t>
      </w:r>
    </w:p>
    <w:p>
      <w:pPr>
        <w:spacing w:after="120"/>
        <w:ind w:left="720"/>
        <w:jc w:val="both"/>
      </w:pPr>
      <w:r>
        <w:rPr>
          <w:rFonts w:ascii="Times New Roman" w:cs="Times New Roman" w:eastAsia="Times New Roman" w:hAnsi="Times New Roman"/>
          <w:b w:val="false"/>
          <w:bCs w:val="false"/>
          <w:i w:val="false"/>
          <w:iCs w:val="false"/>
          <w:sz w:val="22"/>
          <w:szCs w:val="22"/>
        </w:rPr>
        <w:t xml:space="preserve">(a) the aggregate offering price (net of underwriting discounts and commissions) of the Registrable Securities requested to be registered is less than $[S-3 THRESHOLD]; or</w:t>
      </w:r>
    </w:p>
    <w:p>
      <w:pPr>
        <w:spacing w:after="120"/>
        <w:ind w:left="720"/>
        <w:jc w:val="both"/>
      </w:pPr>
      <w:r>
        <w:rPr>
          <w:rFonts w:ascii="Times New Roman" w:cs="Times New Roman" w:eastAsia="Times New Roman" w:hAnsi="Times New Roman"/>
          <w:b w:val="false"/>
          <w:bCs w:val="false"/>
          <w:i w:val="false"/>
          <w:iCs w:val="false"/>
          <w:sz w:val="22"/>
          <w:szCs w:val="22"/>
        </w:rPr>
        <w:t xml:space="preserve">(b) the Company has already effected [2] registrations on Form S-3 in the immediately preceding twelve (12)-month period.</w:t>
      </w:r>
    </w:p>
    <w:p>
      <w:pPr>
        <w:spacing w:after="120" w:before="240"/>
        <w:ind w:left="360"/>
        <w:jc w:val="left"/>
      </w:pPr>
      <w:r>
        <w:rPr>
          <w:rFonts w:ascii="Times New Roman" w:cs="Times New Roman" w:eastAsia="Times New Roman" w:hAnsi="Times New Roman"/>
          <w:b/>
          <w:bCs/>
          <w:sz w:val="22"/>
          <w:szCs w:val="22"/>
        </w:rPr>
        <w:t xml:space="preserve">3.3 Company Obligations.</w:t>
      </w:r>
    </w:p>
    <w:p>
      <w:pPr>
        <w:spacing w:after="120"/>
        <w:ind w:left="360"/>
        <w:jc w:val="both"/>
      </w:pPr>
      <w:r>
        <w:rPr>
          <w:rFonts w:ascii="Times New Roman" w:cs="Times New Roman" w:eastAsia="Times New Roman" w:hAnsi="Times New Roman"/>
          <w:b w:val="false"/>
          <w:bCs w:val="false"/>
          <w:i w:val="false"/>
          <w:iCs w:val="false"/>
          <w:sz w:val="22"/>
          <w:szCs w:val="22"/>
        </w:rPr>
        <w:t xml:space="preserve">Upon receipt of a request under Section 3.1 (and provided none of the limitations in Section 3.2 are applicable), the Company shall use its best efforts to file the Form S-3 Registration Statement with the Commission within [30] days after receipt of the request and to cause such Registration Statement to become effective as promptly as practicable. All provisions of Section 6 (Registration Procedures) and Section 8 (Indemnification) shall apply to any registration effected pursuant to this Section 3.</w:t>
      </w:r>
    </w:p>
    <w:p>
      <w:pPr>
        <w:spacing w:after="200" w:before="360"/>
        <w:jc w:val="left"/>
      </w:pPr>
      <w:r>
        <w:rPr>
          <w:rFonts w:ascii="Times New Roman" w:cs="Times New Roman" w:eastAsia="Times New Roman" w:hAnsi="Times New Roman"/>
          <w:b/>
          <w:bCs/>
          <w:sz w:val="24"/>
          <w:szCs w:val="24"/>
        </w:rPr>
        <w:t xml:space="preserve">4. PIGGYBACK REGISTRATION RIGHTS</w:t>
      </w:r>
    </w:p>
    <w:p>
      <w:pPr>
        <w:spacing w:after="120" w:before="240"/>
        <w:ind w:left="360"/>
        <w:jc w:val="left"/>
      </w:pPr>
      <w:r>
        <w:rPr>
          <w:rFonts w:ascii="Times New Roman" w:cs="Times New Roman" w:eastAsia="Times New Roman" w:hAnsi="Times New Roman"/>
          <w:b/>
          <w:bCs/>
          <w:sz w:val="22"/>
          <w:szCs w:val="22"/>
        </w:rPr>
        <w:t xml:space="preserve">4.1 Notice.</w:t>
      </w:r>
    </w:p>
    <w:p>
      <w:pPr>
        <w:spacing w:after="120"/>
        <w:ind w:left="360"/>
        <w:jc w:val="both"/>
      </w:pPr>
      <w:r>
        <w:rPr>
          <w:rFonts w:ascii="Times New Roman" w:cs="Times New Roman" w:eastAsia="Times New Roman" w:hAnsi="Times New Roman"/>
          <w:b w:val="false"/>
          <w:bCs w:val="false"/>
          <w:i w:val="false"/>
          <w:iCs w:val="false"/>
          <w:sz w:val="22"/>
          <w:szCs w:val="22"/>
        </w:rPr>
        <w:t xml:space="preserve">If at any time the Company proposes to register any of its securities under the Securities Act for its own account or for the account of any of its security holders (other than (i) a registration on Form S-8 or any successor form relating solely to securities issuable under employee benefit plans, or (ii) a registration on Form S-4 or any successor form relating solely to a business combination transaction under Rule 145 of the Securities Act), the Company shall give written notice to all Holders of Registrable Securities at least [20] business days prior to the anticipated filing date of the Registration Statement, which notice shall describe the proposed registration and offer each Holder the opportunity to include its Registrable Securities therein.</w:t>
      </w:r>
    </w:p>
    <w:p>
      <w:pPr>
        <w:spacing w:after="120" w:before="240"/>
        <w:ind w:left="360"/>
        <w:jc w:val="left"/>
      </w:pPr>
      <w:r>
        <w:rPr>
          <w:rFonts w:ascii="Times New Roman" w:cs="Times New Roman" w:eastAsia="Times New Roman" w:hAnsi="Times New Roman"/>
          <w:b/>
          <w:bCs/>
          <w:sz w:val="22"/>
          <w:szCs w:val="22"/>
        </w:rPr>
        <w:t xml:space="preserve">4.2 Inclusion.</w:t>
      </w:r>
    </w:p>
    <w:p>
      <w:pPr>
        <w:spacing w:after="120"/>
        <w:ind w:left="360"/>
        <w:jc w:val="both"/>
      </w:pPr>
      <w:r>
        <w:rPr>
          <w:rFonts w:ascii="Times New Roman" w:cs="Times New Roman" w:eastAsia="Times New Roman" w:hAnsi="Times New Roman"/>
          <w:b w:val="false"/>
          <w:bCs w:val="false"/>
          <w:i w:val="false"/>
          <w:iCs w:val="false"/>
          <w:sz w:val="22"/>
          <w:szCs w:val="22"/>
        </w:rPr>
        <w:t xml:space="preserve">Each Holder of Registrable Securities may request inclusion of all or a portion of its Registrable Securities in the registration by delivering written notice to the Company within [15] business days after receipt of the Company’s notice under Section 4.1, specifying the number of Registrable Securities such Holder wishes to include. The Company shall use its best efforts to include in the registration all Registrable Securities so requested to be included.</w:t>
      </w:r>
    </w:p>
    <w:p>
      <w:pPr>
        <w:spacing w:after="120" w:before="240"/>
        <w:ind w:left="360"/>
        <w:jc w:val="left"/>
      </w:pPr>
      <w:r>
        <w:rPr>
          <w:rFonts w:ascii="Times New Roman" w:cs="Times New Roman" w:eastAsia="Times New Roman" w:hAnsi="Times New Roman"/>
          <w:b/>
          <w:bCs/>
          <w:sz w:val="22"/>
          <w:szCs w:val="22"/>
        </w:rPr>
        <w:t xml:space="preserve">4.3 Underwriter Cutback.</w:t>
      </w:r>
    </w:p>
    <w:p>
      <w:pPr>
        <w:spacing w:after="120"/>
        <w:ind w:left="360"/>
        <w:jc w:val="both"/>
      </w:pPr>
      <w:r>
        <w:rPr>
          <w:rFonts w:ascii="Times New Roman" w:cs="Times New Roman" w:eastAsia="Times New Roman" w:hAnsi="Times New Roman"/>
          <w:b w:val="false"/>
          <w:bCs w:val="false"/>
          <w:i w:val="false"/>
          <w:iCs w:val="false"/>
          <w:sz w:val="22"/>
          <w:szCs w:val="22"/>
        </w:rPr>
        <w:t xml:space="preserve">If the registration is an underwritten offering and the managing Underwriter advises the Company in writing that, in such Underwriter’s reasonable opinion, the number of securities requested to be included in the registration (including securities of the Company and Registrable Securities requested to be included by Holders) exceeds the number of securities that can be sold in such offering without materially and adversely affecting the price, timing, or distribution of the securities offered, then the securities to be included in the registration shall be reduced as follows:</w:t>
      </w:r>
    </w:p>
    <w:p>
      <w:pPr>
        <w:spacing w:after="120"/>
        <w:ind w:left="720"/>
        <w:jc w:val="both"/>
      </w:pPr>
      <w:r>
        <w:rPr>
          <w:rFonts w:ascii="Times New Roman" w:cs="Times New Roman" w:eastAsia="Times New Roman" w:hAnsi="Times New Roman"/>
          <w:b w:val="false"/>
          <w:bCs w:val="false"/>
          <w:i w:val="false"/>
          <w:iCs w:val="false"/>
          <w:sz w:val="22"/>
          <w:szCs w:val="22"/>
        </w:rPr>
        <w:t xml:space="preserve">(a) first, the securities that the Company proposes to sell for its own account;</w:t>
      </w:r>
    </w:p>
    <w:p>
      <w:pPr>
        <w:spacing w:after="120"/>
        <w:ind w:left="720"/>
        <w:jc w:val="both"/>
      </w:pPr>
      <w:r>
        <w:rPr>
          <w:rFonts w:ascii="Times New Roman" w:cs="Times New Roman" w:eastAsia="Times New Roman" w:hAnsi="Times New Roman"/>
          <w:b w:val="false"/>
          <w:bCs w:val="false"/>
          <w:i w:val="false"/>
          <w:iCs w:val="false"/>
          <w:sz w:val="22"/>
          <w:szCs w:val="22"/>
        </w:rPr>
        <w:t xml:space="preserve">(b) second, the Registrable Securities requested to be included by Holders, allocated pro rata among such Holders based on the number of Registrable Securities each Holder has requested to include; provided, however, that in no event shall the number of Registrable Securities included by Holders be reduced below [PIGGYBACK MINIMUM] percent ([PIGGYBACK MINIMUM]%) of the total number of securities included in such registration; and</w:t>
      </w:r>
    </w:p>
    <w:p>
      <w:pPr>
        <w:spacing w:after="120"/>
        <w:ind w:left="720"/>
        <w:jc w:val="both"/>
      </w:pPr>
      <w:r>
        <w:rPr>
          <w:rFonts w:ascii="Times New Roman" w:cs="Times New Roman" w:eastAsia="Times New Roman" w:hAnsi="Times New Roman"/>
          <w:b w:val="false"/>
          <w:bCs w:val="false"/>
          <w:i w:val="false"/>
          <w:iCs w:val="false"/>
          <w:sz w:val="22"/>
          <w:szCs w:val="22"/>
        </w:rPr>
        <w:t xml:space="preserve">(c) third, any other securities of the Company requested to be included in such registration.</w:t>
      </w:r>
    </w:p>
    <w:p>
      <w:pPr>
        <w:spacing w:after="120" w:before="240"/>
        <w:ind w:left="360"/>
        <w:jc w:val="left"/>
      </w:pPr>
      <w:r>
        <w:rPr>
          <w:rFonts w:ascii="Times New Roman" w:cs="Times New Roman" w:eastAsia="Times New Roman" w:hAnsi="Times New Roman"/>
          <w:b/>
          <w:bCs/>
          <w:sz w:val="22"/>
          <w:szCs w:val="22"/>
        </w:rPr>
        <w:t xml:space="preserve">4.4 Withdrawal.</w:t>
      </w:r>
    </w:p>
    <w:p>
      <w:pPr>
        <w:spacing w:after="120"/>
        <w:ind w:left="360"/>
        <w:jc w:val="both"/>
      </w:pPr>
      <w:r>
        <w:rPr>
          <w:rFonts w:ascii="Times New Roman" w:cs="Times New Roman" w:eastAsia="Times New Roman" w:hAnsi="Times New Roman"/>
          <w:b w:val="false"/>
          <w:bCs w:val="false"/>
          <w:i w:val="false"/>
          <w:iCs w:val="false"/>
          <w:sz w:val="22"/>
          <w:szCs w:val="22"/>
        </w:rPr>
        <w:t xml:space="preserve">A Holder may withdraw its request for inclusion of Registrable Securities in any registration under this Section 4 at any time prior to the effective date of the Registration Statement. The Company may also withdraw or terminate a registration under this Section 4 at any time prior to the effective date of such Registration Statement without any obligation to any Holder.</w:t>
      </w:r>
    </w:p>
    <w:p>
      <w:pPr>
        <w:spacing w:after="200" w:before="360"/>
        <w:jc w:val="left"/>
      </w:pPr>
      <w:r>
        <w:rPr>
          <w:rFonts w:ascii="Times New Roman" w:cs="Times New Roman" w:eastAsia="Times New Roman" w:hAnsi="Times New Roman"/>
          <w:b/>
          <w:bCs/>
          <w:sz w:val="24"/>
          <w:szCs w:val="24"/>
        </w:rPr>
        <w:t xml:space="preserve">5. LOCK-UP AGREEMENT</w:t>
      </w:r>
    </w:p>
    <w:p>
      <w:pPr>
        <w:spacing w:after="120" w:before="240"/>
        <w:ind w:left="360"/>
        <w:jc w:val="left"/>
      </w:pPr>
      <w:r>
        <w:rPr>
          <w:rFonts w:ascii="Times New Roman" w:cs="Times New Roman" w:eastAsia="Times New Roman" w:hAnsi="Times New Roman"/>
          <w:b/>
          <w:bCs/>
          <w:sz w:val="22"/>
          <w:szCs w:val="22"/>
        </w:rPr>
        <w:t xml:space="preserve">5.1 Lock-Up Period.</w:t>
      </w:r>
    </w:p>
    <w:p>
      <w:pPr>
        <w:spacing w:after="120"/>
        <w:ind w:left="360"/>
        <w:jc w:val="both"/>
      </w:pPr>
      <w:r>
        <w:rPr>
          <w:rFonts w:ascii="Times New Roman" w:cs="Times New Roman" w:eastAsia="Times New Roman" w:hAnsi="Times New Roman"/>
          <w:b w:val="false"/>
          <w:bCs w:val="false"/>
          <w:i w:val="false"/>
          <w:iCs w:val="false"/>
          <w:sz w:val="22"/>
          <w:szCs w:val="22"/>
        </w:rPr>
        <w:t xml:space="preserve">Each Holder agrees that, if requested by the managing Underwriter in connection with the Company’s Qualified IPO, such Holder shall not, without the prior written consent of such managing Underwriter, directly or indirectly sell, transfer, make any short sale of, grant any option for the purchase of, or enter into any hedging or similar transaction with the same economic effect as a sale of, any Registrable Securities (or any other securities of the Company) for a period of [LOCK-UP PERIOD] days following the effective date of the Registration Statement filed in connection with the Qualified IPO (the "Lock-Up Period"). Each Holder agrees to execute and deliver such agreements as may be reasonably requested by the managing Underwriter to give effect to this Section 5.1.</w:t>
      </w:r>
    </w:p>
    <w:p>
      <w:pPr>
        <w:spacing w:after="120" w:before="240"/>
        <w:ind w:left="360"/>
        <w:jc w:val="left"/>
      </w:pPr>
      <w:r>
        <w:rPr>
          <w:rFonts w:ascii="Times New Roman" w:cs="Times New Roman" w:eastAsia="Times New Roman" w:hAnsi="Times New Roman"/>
          <w:b/>
          <w:bCs/>
          <w:sz w:val="22"/>
          <w:szCs w:val="22"/>
        </w:rPr>
        <w:t xml:space="preserve">5.2 Equal Treatment.</w:t>
      </w:r>
    </w:p>
    <w:p>
      <w:pPr>
        <w:spacing w:after="120"/>
        <w:ind w:left="360"/>
        <w:jc w:val="both"/>
      </w:pPr>
      <w:r>
        <w:rPr>
          <w:rFonts w:ascii="Times New Roman" w:cs="Times New Roman" w:eastAsia="Times New Roman" w:hAnsi="Times New Roman"/>
          <w:b w:val="false"/>
          <w:bCs w:val="false"/>
          <w:i w:val="false"/>
          <w:iCs w:val="false"/>
          <w:sz w:val="22"/>
          <w:szCs w:val="22"/>
        </w:rPr>
        <w:t xml:space="preserve">The lock-up obligation set forth in Section 5.1 shall apply equally to all Holders, and to all officers, directors, and holders of one percent (1%) or more of the Company’s outstanding capital stock. The Company shall use its best efforts to obtain a similar lock-up agreement from all such persons. No Holder shall be required to enter into a lock-up agreement unless all such persons enter into substantially similar lock-up agreements.</w:t>
      </w:r>
    </w:p>
    <w:p>
      <w:pPr>
        <w:spacing w:after="120" w:before="240"/>
        <w:ind w:left="360"/>
        <w:jc w:val="left"/>
      </w:pPr>
      <w:r>
        <w:rPr>
          <w:rFonts w:ascii="Times New Roman" w:cs="Times New Roman" w:eastAsia="Times New Roman" w:hAnsi="Times New Roman"/>
          <w:b/>
          <w:bCs/>
          <w:sz w:val="22"/>
          <w:szCs w:val="22"/>
        </w:rPr>
        <w:t xml:space="preserve">5.3 Market Standoff.</w:t>
      </w:r>
    </w:p>
    <w:p>
      <w:pPr>
        <w:spacing w:after="120"/>
        <w:ind w:left="360"/>
        <w:jc w:val="both"/>
      </w:pPr>
      <w:r>
        <w:rPr>
          <w:rFonts w:ascii="Times New Roman" w:cs="Times New Roman" w:eastAsia="Times New Roman" w:hAnsi="Times New Roman"/>
          <w:b w:val="false"/>
          <w:bCs w:val="false"/>
          <w:i w:val="false"/>
          <w:iCs w:val="false"/>
          <w:sz w:val="22"/>
          <w:szCs w:val="22"/>
        </w:rPr>
        <w:t xml:space="preserve">Without limiting the generality of Section 5.1, during the Lock-Up Period, no Holder shall, directly or indirectly:</w:t>
      </w:r>
    </w:p>
    <w:p>
      <w:pPr>
        <w:spacing w:after="120"/>
        <w:ind w:left="720"/>
        <w:jc w:val="both"/>
      </w:pPr>
      <w:r>
        <w:rPr>
          <w:rFonts w:ascii="Times New Roman" w:cs="Times New Roman" w:eastAsia="Times New Roman" w:hAnsi="Times New Roman"/>
          <w:b w:val="false"/>
          <w:bCs w:val="false"/>
          <w:i w:val="false"/>
          <w:iCs w:val="false"/>
          <w:sz w:val="22"/>
          <w:szCs w:val="22"/>
        </w:rPr>
        <w:t xml:space="preserve">(a) offer, sell, contract to sell, pledge, grant any option to purchase, or otherwise dispose of any securities of the Company (including Registrable Securities);</w:t>
      </w:r>
    </w:p>
    <w:p>
      <w:pPr>
        <w:spacing w:after="120"/>
        <w:ind w:left="720"/>
        <w:jc w:val="both"/>
      </w:pPr>
      <w:r>
        <w:rPr>
          <w:rFonts w:ascii="Times New Roman" w:cs="Times New Roman" w:eastAsia="Times New Roman" w:hAnsi="Times New Roman"/>
          <w:b w:val="false"/>
          <w:bCs w:val="false"/>
          <w:i w:val="false"/>
          <w:iCs w:val="false"/>
          <w:sz w:val="22"/>
          <w:szCs w:val="22"/>
        </w:rPr>
        <w:t xml:space="preserve">(b) enter into any swap, hedge, or other arrangement that transfers to another, in whole or in part, any of the economic consequences of ownership of any securities of the Company, whether any such transaction is to be settled by delivery of securities, in cash, or otherwise; or</w:t>
      </w:r>
    </w:p>
    <w:p>
      <w:pPr>
        <w:spacing w:after="120"/>
        <w:ind w:left="720"/>
        <w:jc w:val="both"/>
      </w:pPr>
      <w:r>
        <w:rPr>
          <w:rFonts w:ascii="Times New Roman" w:cs="Times New Roman" w:eastAsia="Times New Roman" w:hAnsi="Times New Roman"/>
          <w:b w:val="false"/>
          <w:bCs w:val="false"/>
          <w:i w:val="false"/>
          <w:iCs w:val="false"/>
          <w:sz w:val="22"/>
          <w:szCs w:val="22"/>
        </w:rPr>
        <w:t xml:space="preserve">(c) engage in any short selling of any securities of the Company, or establish or maintain any put equivalent position (as defined under Rule 16a-1(h) of the Exchange Act) with respect to any securities of the Company.</w:t>
      </w:r>
    </w:p>
    <w:p>
      <w:pPr>
        <w:spacing w:after="120" w:before="240"/>
        <w:ind w:left="360"/>
        <w:jc w:val="left"/>
      </w:pPr>
      <w:r>
        <w:rPr>
          <w:rFonts w:ascii="Times New Roman" w:cs="Times New Roman" w:eastAsia="Times New Roman" w:hAnsi="Times New Roman"/>
          <w:b/>
          <w:bCs/>
          <w:sz w:val="22"/>
          <w:szCs w:val="22"/>
        </w:rPr>
        <w:t xml:space="preserve">5.4 Stop Transfer.</w:t>
      </w:r>
    </w:p>
    <w:p>
      <w:pPr>
        <w:spacing w:after="120"/>
        <w:ind w:left="360"/>
        <w:jc w:val="both"/>
      </w:pPr>
      <w:r>
        <w:rPr>
          <w:rFonts w:ascii="Times New Roman" w:cs="Times New Roman" w:eastAsia="Times New Roman" w:hAnsi="Times New Roman"/>
          <w:b w:val="false"/>
          <w:bCs w:val="false"/>
          <w:i w:val="false"/>
          <w:iCs w:val="false"/>
          <w:sz w:val="22"/>
          <w:szCs w:val="22"/>
        </w:rPr>
        <w:t xml:space="preserve">In order to enforce the foregoing covenants, the Company may impose stop-transfer instructions with respect to the securities of each Holder (and the securities of every other person subject to the restrictions in this Section 5) until the end of the Lock-Up Period, and each Holder agrees that, if so requested, such Holder will promptly execute any additional documents or instruments as may be reasonably necessary to give effect to this Section 5.4.</w:t>
      </w:r>
    </w:p>
    <w:p>
      <w:pPr>
        <w:spacing w:after="200" w:before="360"/>
        <w:jc w:val="left"/>
      </w:pPr>
      <w:r>
        <w:rPr>
          <w:rFonts w:ascii="Times New Roman" w:cs="Times New Roman" w:eastAsia="Times New Roman" w:hAnsi="Times New Roman"/>
          <w:b/>
          <w:bCs/>
          <w:sz w:val="24"/>
          <w:szCs w:val="24"/>
        </w:rPr>
        <w:t xml:space="preserve">6. REGISTRATION PROCEDURES</w:t>
      </w:r>
    </w:p>
    <w:p>
      <w:pPr>
        <w:spacing w:after="120" w:before="240"/>
        <w:ind w:left="360"/>
        <w:jc w:val="left"/>
      </w:pPr>
      <w:r>
        <w:rPr>
          <w:rFonts w:ascii="Times New Roman" w:cs="Times New Roman" w:eastAsia="Times New Roman" w:hAnsi="Times New Roman"/>
          <w:b/>
          <w:bCs/>
          <w:sz w:val="22"/>
          <w:szCs w:val="22"/>
        </w:rPr>
        <w:t xml:space="preserve">6.1 Company Obligations.</w:t>
      </w:r>
    </w:p>
    <w:p>
      <w:pPr>
        <w:spacing w:after="120"/>
        <w:ind w:left="360"/>
        <w:jc w:val="both"/>
      </w:pPr>
      <w:r>
        <w:rPr>
          <w:rFonts w:ascii="Times New Roman" w:cs="Times New Roman" w:eastAsia="Times New Roman" w:hAnsi="Times New Roman"/>
          <w:b w:val="false"/>
          <w:bCs w:val="false"/>
          <w:i w:val="false"/>
          <w:iCs w:val="false"/>
          <w:sz w:val="22"/>
          <w:szCs w:val="22"/>
        </w:rPr>
        <w:t xml:space="preserve">In connection with any registration of Registrable Securities under this Agreement, the Company shall:</w:t>
      </w:r>
    </w:p>
    <w:p>
      <w:pPr>
        <w:spacing w:after="120"/>
        <w:ind w:left="720"/>
        <w:jc w:val="both"/>
      </w:pPr>
      <w:r>
        <w:rPr>
          <w:rFonts w:ascii="Times New Roman" w:cs="Times New Roman" w:eastAsia="Times New Roman" w:hAnsi="Times New Roman"/>
          <w:b w:val="false"/>
          <w:bCs w:val="false"/>
          <w:i w:val="false"/>
          <w:iCs w:val="false"/>
          <w:sz w:val="22"/>
          <w:szCs w:val="22"/>
        </w:rPr>
        <w:t xml:space="preserve">(a) prepare and file with the Commission a Registration Statement on the appropriate form with respect to the Registrable Securities and use its best efforts to cause such Registration Statement to become effective as promptly as practicable;</w:t>
      </w:r>
    </w:p>
    <w:p>
      <w:pPr>
        <w:spacing w:after="120"/>
        <w:ind w:left="720"/>
        <w:jc w:val="both"/>
      </w:pPr>
      <w:r>
        <w:rPr>
          <w:rFonts w:ascii="Times New Roman" w:cs="Times New Roman" w:eastAsia="Times New Roman" w:hAnsi="Times New Roman"/>
          <w:b w:val="false"/>
          <w:bCs w:val="false"/>
          <w:i w:val="false"/>
          <w:iCs w:val="false"/>
          <w:sz w:val="22"/>
          <w:szCs w:val="22"/>
        </w:rPr>
        <w:t xml:space="preserve">(b) prepare and file with the Commission such amendments and supplements to the Registration Statement and the prospectus used in connection therewith as may be necessary to keep the Registration Statement effective and the prospectus current for a period of [180] days (or such shorter period as shall terminate when all Registrable Securities covered by such Registration Statement have been sold);</w:t>
      </w:r>
    </w:p>
    <w:p>
      <w:pPr>
        <w:spacing w:after="120"/>
        <w:ind w:left="720"/>
        <w:jc w:val="both"/>
      </w:pPr>
      <w:r>
        <w:rPr>
          <w:rFonts w:ascii="Times New Roman" w:cs="Times New Roman" w:eastAsia="Times New Roman" w:hAnsi="Times New Roman"/>
          <w:b w:val="false"/>
          <w:bCs w:val="false"/>
          <w:i w:val="false"/>
          <w:iCs w:val="false"/>
          <w:sz w:val="22"/>
          <w:szCs w:val="22"/>
        </w:rPr>
        <w:t xml:space="preserve">(c) furnish to each selling Holder, without charge, such number of copies of the prospectus (including each preliminary prospectus) and any amendment or supplement thereto, and such other documents, as such Holder may reasonably request in order to facilitate the disposition of the Registrable Securities owned by such Holder;</w:t>
      </w:r>
    </w:p>
    <w:p>
      <w:pPr>
        <w:spacing w:after="120"/>
        <w:ind w:left="720"/>
        <w:jc w:val="both"/>
      </w:pPr>
      <w:r>
        <w:rPr>
          <w:rFonts w:ascii="Times New Roman" w:cs="Times New Roman" w:eastAsia="Times New Roman" w:hAnsi="Times New Roman"/>
          <w:b w:val="false"/>
          <w:bCs w:val="false"/>
          <w:i w:val="false"/>
          <w:iCs w:val="false"/>
          <w:sz w:val="22"/>
          <w:szCs w:val="22"/>
        </w:rPr>
        <w:t xml:space="preserve">(d) use its best efforts to register or qualify the Registrable Securities under such other securities or "blue sky" laws of such jurisdictions as the selling Holders may reasonably request, and do any and all other acts and things which may be reasonably necessary or advisable to enable each selling Holder to consummate the disposition in such jurisdictions of the Registrable Securities owned by such Holder; provided that the Company shall not be required to (i) qualify generally to do business in any jurisdiction where it would not otherwise be required to qualify but for this Section 6.1(d), (ii) subject itself to taxation in any such jurisdiction, or (iii) consent to general service of process in any jurisdiction where it is not then so subject;</w:t>
      </w:r>
    </w:p>
    <w:p>
      <w:pPr>
        <w:spacing w:after="120"/>
        <w:ind w:left="720"/>
        <w:jc w:val="both"/>
      </w:pPr>
      <w:r>
        <w:rPr>
          <w:rFonts w:ascii="Times New Roman" w:cs="Times New Roman" w:eastAsia="Times New Roman" w:hAnsi="Times New Roman"/>
          <w:b w:val="false"/>
          <w:bCs w:val="false"/>
          <w:i w:val="false"/>
          <w:iCs w:val="false"/>
          <w:sz w:val="22"/>
          <w:szCs w:val="22"/>
        </w:rPr>
        <w:t xml:space="preserve">(e) notify each selling Holder promptly upon discovery that, or upon the happening of any event as a result of which, the prospectus included in the Registration Statement, as then in effect, contains an untrue statement of a material fact or omits to state any material fact required to be stated therein or necessary to make the statements therein, in light of the circumstances under which they were made, not misleading, and at the request of any selling Holder, prepare and furnish to such Holder a reasonable number of copies of a supplement to or an amendment of such prospectus as may be necessary so that, as thereafter delivered to the purchasers of such securities, such prospectus shall not include an untrue statement of a material fact or omit to state a material fact required to be stated therein or necessary to make the statements therein not misleading;</w:t>
      </w:r>
    </w:p>
    <w:p>
      <w:pPr>
        <w:spacing w:after="120"/>
        <w:ind w:left="720"/>
        <w:jc w:val="both"/>
      </w:pPr>
      <w:r>
        <w:rPr>
          <w:rFonts w:ascii="Times New Roman" w:cs="Times New Roman" w:eastAsia="Times New Roman" w:hAnsi="Times New Roman"/>
          <w:b w:val="false"/>
          <w:bCs w:val="false"/>
          <w:i w:val="false"/>
          <w:iCs w:val="false"/>
          <w:sz w:val="22"/>
          <w:szCs w:val="22"/>
        </w:rPr>
        <w:t xml:space="preserve">(f) cause all Registrable Securities covered by such Registration Statement to be listed on each securities exchange or quotation system on which similar securities issued by the Company are then listed or quoted;</w:t>
      </w:r>
    </w:p>
    <w:p>
      <w:pPr>
        <w:spacing w:after="120"/>
        <w:ind w:left="720"/>
        <w:jc w:val="both"/>
      </w:pPr>
      <w:r>
        <w:rPr>
          <w:rFonts w:ascii="Times New Roman" w:cs="Times New Roman" w:eastAsia="Times New Roman" w:hAnsi="Times New Roman"/>
          <w:b w:val="false"/>
          <w:bCs w:val="false"/>
          <w:i w:val="false"/>
          <w:iCs w:val="false"/>
          <w:sz w:val="22"/>
          <w:szCs w:val="22"/>
        </w:rPr>
        <w:t xml:space="preserve">(g) provide a transfer agent and registrar for all Registrable Securities covered by such Registration Statement not later than the effective date of such Registration Statement;</w:t>
      </w:r>
    </w:p>
    <w:p>
      <w:pPr>
        <w:spacing w:after="120"/>
        <w:ind w:left="720"/>
        <w:jc w:val="both"/>
      </w:pPr>
      <w:r>
        <w:rPr>
          <w:rFonts w:ascii="Times New Roman" w:cs="Times New Roman" w:eastAsia="Times New Roman" w:hAnsi="Times New Roman"/>
          <w:b w:val="false"/>
          <w:bCs w:val="false"/>
          <w:i w:val="false"/>
          <w:iCs w:val="false"/>
          <w:sz w:val="22"/>
          <w:szCs w:val="22"/>
        </w:rPr>
        <w:t xml:space="preserve">(h) enter into such customary agreements (including an underwriting agreement in customary form) and take such other actions as are reasonably required in order to expedite or facilitate the disposition of the Registrable Securities, including, without limitation, making appropriate officers of the Company available to participate in "road show" and other customary marketing activities;</w:t>
      </w:r>
    </w:p>
    <w:p>
      <w:pPr>
        <w:spacing w:after="120"/>
        <w:ind w:left="720"/>
        <w:jc w:val="both"/>
      </w:pPr>
      <w:r>
        <w:rPr>
          <w:rFonts w:ascii="Times New Roman" w:cs="Times New Roman" w:eastAsia="Times New Roman" w:hAnsi="Times New Roman"/>
          <w:b w:val="false"/>
          <w:bCs w:val="false"/>
          <w:i w:val="false"/>
          <w:iCs w:val="false"/>
          <w:sz w:val="22"/>
          <w:szCs w:val="22"/>
        </w:rPr>
        <w:t xml:space="preserve">(i) make available for inspection by any selling Holder, any Underwriter participating in any disposition pursuant to such Registration Statement, and any attorney, accountant, or other agent retained by any selling Holder or Underwriter, all financial and other records, pertinent corporate documents, and properties of the Company, and cause the Company’s officers, directors, employees, and independent accountants to supply all information reasonably requested by any such Holder, Underwriter, attorney, accountant, or agent in connection with such Registration Statement; and</w:t>
      </w:r>
    </w:p>
    <w:p>
      <w:pPr>
        <w:spacing w:after="120"/>
        <w:ind w:left="720"/>
        <w:jc w:val="both"/>
      </w:pPr>
      <w:r>
        <w:rPr>
          <w:rFonts w:ascii="Times New Roman" w:cs="Times New Roman" w:eastAsia="Times New Roman" w:hAnsi="Times New Roman"/>
          <w:b w:val="false"/>
          <w:bCs w:val="false"/>
          <w:i w:val="false"/>
          <w:iCs w:val="false"/>
          <w:sz w:val="22"/>
          <w:szCs w:val="22"/>
        </w:rPr>
        <w:t xml:space="preserve">(j) use its best efforts to obtain a "comfort letter" from the Company’s independent registered public accounting firm in customary form and covering such matters as are customarily covered by comfort letters delivered to selling stockholders in an underwritten public offering, and obtain a legal opinion from the Company’s outside legal counsel, addressed to the selling Holders and any Underwriter, in customary form and scope.</w:t>
      </w:r>
    </w:p>
    <w:p>
      <w:pPr>
        <w:spacing w:after="120" w:before="240"/>
        <w:ind w:left="360"/>
        <w:jc w:val="left"/>
      </w:pPr>
      <w:r>
        <w:rPr>
          <w:rFonts w:ascii="Times New Roman" w:cs="Times New Roman" w:eastAsia="Times New Roman" w:hAnsi="Times New Roman"/>
          <w:b/>
          <w:bCs/>
          <w:sz w:val="22"/>
          <w:szCs w:val="22"/>
        </w:rPr>
        <w:t xml:space="preserve">6.2 Holder Obligations.</w:t>
      </w:r>
    </w:p>
    <w:p>
      <w:pPr>
        <w:spacing w:after="120"/>
        <w:ind w:left="360"/>
        <w:jc w:val="both"/>
      </w:pPr>
      <w:r>
        <w:rPr>
          <w:rFonts w:ascii="Times New Roman" w:cs="Times New Roman" w:eastAsia="Times New Roman" w:hAnsi="Times New Roman"/>
          <w:b w:val="false"/>
          <w:bCs w:val="false"/>
          <w:i w:val="false"/>
          <w:iCs w:val="false"/>
          <w:sz w:val="22"/>
          <w:szCs w:val="22"/>
        </w:rPr>
        <w:t xml:space="preserve">In connection with any registration of Registrable Securities under this Agreement, each selling Holder shall:</w:t>
      </w:r>
    </w:p>
    <w:p>
      <w:pPr>
        <w:spacing w:after="120"/>
        <w:ind w:left="720"/>
        <w:jc w:val="both"/>
      </w:pPr>
      <w:r>
        <w:rPr>
          <w:rFonts w:ascii="Times New Roman" w:cs="Times New Roman" w:eastAsia="Times New Roman" w:hAnsi="Times New Roman"/>
          <w:b w:val="false"/>
          <w:bCs w:val="false"/>
          <w:i w:val="false"/>
          <w:iCs w:val="false"/>
          <w:sz w:val="22"/>
          <w:szCs w:val="22"/>
        </w:rPr>
        <w:t xml:space="preserve">(a) furnish to the Company in writing such information regarding such Holder and the distribution of the Registrable Securities as the Company may from time to time reasonably request in connection with the Registration Statement, and the Company shall not be required to include in any Registration Statement any Registrable Securities of a Holder who fails to furnish such information within a reasonable time after receiving such request;</w:t>
      </w:r>
    </w:p>
    <w:p>
      <w:pPr>
        <w:spacing w:after="120"/>
        <w:ind w:left="720"/>
        <w:jc w:val="both"/>
      </w:pPr>
      <w:r>
        <w:rPr>
          <w:rFonts w:ascii="Times New Roman" w:cs="Times New Roman" w:eastAsia="Times New Roman" w:hAnsi="Times New Roman"/>
          <w:b w:val="false"/>
          <w:bCs w:val="false"/>
          <w:i w:val="false"/>
          <w:iCs w:val="false"/>
          <w:sz w:val="22"/>
          <w:szCs w:val="22"/>
        </w:rPr>
        <w:t xml:space="preserve">(b) comply with all applicable provisions of the Securities Act and the Exchange Act with respect to the sale or other disposition of all Registrable Securities covered by such Registration Statement; and</w:t>
      </w:r>
    </w:p>
    <w:p>
      <w:pPr>
        <w:spacing w:after="120"/>
        <w:ind w:left="720"/>
        <w:jc w:val="both"/>
      </w:pPr>
      <w:r>
        <w:rPr>
          <w:rFonts w:ascii="Times New Roman" w:cs="Times New Roman" w:eastAsia="Times New Roman" w:hAnsi="Times New Roman"/>
          <w:b w:val="false"/>
          <w:bCs w:val="false"/>
          <w:i w:val="false"/>
          <w:iCs w:val="false"/>
          <w:sz w:val="22"/>
          <w:szCs w:val="22"/>
        </w:rPr>
        <w:t xml:space="preserve">(c) upon receipt of any notice from the Company of the happening of any event of the kind described in Section 6.1(e) hereof, immediately discontinue the disposition of Registrable Securities pursuant to the Registration Statement until such Holder’s receipt of the copies of the supplemented or amended prospectus contemplated by Section 6.1(e), and, if so directed by the Company, deliver to the Company (at the Company’s expense) all copies, other than permanent file copies, then in such Holder’s possession of the prospectus covering the Registrable Securities current at the time of receipt of such notice.</w:t>
      </w:r>
    </w:p>
    <w:p>
      <w:pPr>
        <w:spacing w:after="200" w:before="360"/>
        <w:jc w:val="left"/>
      </w:pPr>
      <w:r>
        <w:rPr>
          <w:rFonts w:ascii="Times New Roman" w:cs="Times New Roman" w:eastAsia="Times New Roman" w:hAnsi="Times New Roman"/>
          <w:b/>
          <w:bCs/>
          <w:sz w:val="24"/>
          <w:szCs w:val="24"/>
        </w:rPr>
        <w:t xml:space="preserve">7. REGISTRATION EXPENSES</w:t>
      </w:r>
    </w:p>
    <w:p>
      <w:pPr>
        <w:spacing w:after="120" w:before="240"/>
        <w:ind w:left="360"/>
        <w:jc w:val="left"/>
      </w:pPr>
      <w:r>
        <w:rPr>
          <w:rFonts w:ascii="Times New Roman" w:cs="Times New Roman" w:eastAsia="Times New Roman" w:hAnsi="Times New Roman"/>
          <w:b/>
          <w:bCs/>
          <w:sz w:val="22"/>
          <w:szCs w:val="22"/>
        </w:rPr>
        <w:t xml:space="preserve">7.1 Company Expenses.</w:t>
      </w:r>
    </w:p>
    <w:p>
      <w:pPr>
        <w:spacing w:after="120"/>
        <w:ind w:left="360"/>
        <w:jc w:val="both"/>
      </w:pPr>
      <w:r>
        <w:rPr>
          <w:rFonts w:ascii="Times New Roman" w:cs="Times New Roman" w:eastAsia="Times New Roman" w:hAnsi="Times New Roman"/>
          <w:b w:val="false"/>
          <w:bCs w:val="false"/>
          <w:i w:val="false"/>
          <w:iCs w:val="false"/>
          <w:sz w:val="22"/>
          <w:szCs w:val="22"/>
        </w:rPr>
        <w:t xml:space="preserve">The Company shall bear all expenses incurred in connection with any registration, qualification, or compliance under this Agreement, including, without limitation:</w:t>
      </w:r>
    </w:p>
    <w:p>
      <w:pPr>
        <w:spacing w:after="120"/>
        <w:ind w:left="720"/>
        <w:jc w:val="both"/>
      </w:pPr>
      <w:r>
        <w:rPr>
          <w:rFonts w:ascii="Times New Roman" w:cs="Times New Roman" w:eastAsia="Times New Roman" w:hAnsi="Times New Roman"/>
          <w:b w:val="false"/>
          <w:bCs w:val="false"/>
          <w:i w:val="false"/>
          <w:iCs w:val="false"/>
          <w:sz w:val="22"/>
          <w:szCs w:val="22"/>
        </w:rPr>
        <w:t xml:space="preserve">(a) all registration and filing fees with the Commission and applicable state securities authorities;</w:t>
      </w:r>
    </w:p>
    <w:p>
      <w:pPr>
        <w:spacing w:after="120"/>
        <w:ind w:left="720"/>
        <w:jc w:val="both"/>
      </w:pPr>
      <w:r>
        <w:rPr>
          <w:rFonts w:ascii="Times New Roman" w:cs="Times New Roman" w:eastAsia="Times New Roman" w:hAnsi="Times New Roman"/>
          <w:b w:val="false"/>
          <w:bCs w:val="false"/>
          <w:i w:val="false"/>
          <w:iCs w:val="false"/>
          <w:sz w:val="22"/>
          <w:szCs w:val="22"/>
        </w:rPr>
        <w:t xml:space="preserve">(b) all printing and duplicating expenses;</w:t>
      </w:r>
    </w:p>
    <w:p>
      <w:pPr>
        <w:spacing w:after="120"/>
        <w:ind w:left="720"/>
        <w:jc w:val="both"/>
      </w:pPr>
      <w:r>
        <w:rPr>
          <w:rFonts w:ascii="Times New Roman" w:cs="Times New Roman" w:eastAsia="Times New Roman" w:hAnsi="Times New Roman"/>
          <w:b w:val="false"/>
          <w:bCs w:val="false"/>
          <w:i w:val="false"/>
          <w:iCs w:val="false"/>
          <w:sz w:val="22"/>
          <w:szCs w:val="22"/>
        </w:rPr>
        <w:t xml:space="preserve">(c) the fees and disbursements of the Company’s counsel and independent registered public accountants;</w:t>
      </w:r>
    </w:p>
    <w:p>
      <w:pPr>
        <w:spacing w:after="120"/>
        <w:ind w:left="720"/>
        <w:jc w:val="both"/>
      </w:pPr>
      <w:r>
        <w:rPr>
          <w:rFonts w:ascii="Times New Roman" w:cs="Times New Roman" w:eastAsia="Times New Roman" w:hAnsi="Times New Roman"/>
          <w:b w:val="false"/>
          <w:bCs w:val="false"/>
          <w:i w:val="false"/>
          <w:iCs w:val="false"/>
          <w:sz w:val="22"/>
          <w:szCs w:val="22"/>
        </w:rPr>
        <w:t xml:space="preserve">(d) all fees and expenses associated with compliance with state securities or "blue sky" laws (including fees of blue sky counsel); and</w:t>
      </w:r>
    </w:p>
    <w:p>
      <w:pPr>
        <w:spacing w:after="120"/>
        <w:ind w:left="720"/>
        <w:jc w:val="both"/>
      </w:pPr>
      <w:r>
        <w:rPr>
          <w:rFonts w:ascii="Times New Roman" w:cs="Times New Roman" w:eastAsia="Times New Roman" w:hAnsi="Times New Roman"/>
          <w:b w:val="false"/>
          <w:bCs w:val="false"/>
          <w:i w:val="false"/>
          <w:iCs w:val="false"/>
          <w:sz w:val="22"/>
          <w:szCs w:val="22"/>
        </w:rPr>
        <w:t xml:space="preserve">(e) the reasonable fees and expenses of one counsel selected by the Holders of a majority of the Registrable Securities being registered (the "Selling Holders’ Counsel"), in an amount not to exceed $[50,000] per registration.</w:t>
      </w:r>
    </w:p>
    <w:p>
      <w:pPr>
        <w:spacing w:after="120" w:before="240"/>
        <w:ind w:left="360"/>
        <w:jc w:val="left"/>
      </w:pPr>
      <w:r>
        <w:rPr>
          <w:rFonts w:ascii="Times New Roman" w:cs="Times New Roman" w:eastAsia="Times New Roman" w:hAnsi="Times New Roman"/>
          <w:b/>
          <w:bCs/>
          <w:sz w:val="22"/>
          <w:szCs w:val="22"/>
        </w:rPr>
        <w:t xml:space="preserve">7.2 Selling Expenses.</w:t>
      </w:r>
    </w:p>
    <w:p>
      <w:pPr>
        <w:spacing w:after="120"/>
        <w:ind w:left="360"/>
        <w:jc w:val="both"/>
      </w:pPr>
      <w:r>
        <w:rPr>
          <w:rFonts w:ascii="Times New Roman" w:cs="Times New Roman" w:eastAsia="Times New Roman" w:hAnsi="Times New Roman"/>
          <w:b w:val="false"/>
          <w:bCs w:val="false"/>
          <w:i w:val="false"/>
          <w:iCs w:val="false"/>
          <w:sz w:val="22"/>
          <w:szCs w:val="22"/>
        </w:rPr>
        <w:t xml:space="preserve">Notwithstanding the foregoing, each selling Holder shall bear (i) all underwriting discounts, selling commissions, and stock transfer taxes applicable to the sale of Registrable Securities by such Holder, and (ii) the fees and expenses of any counsel or other advisors retained by such Holder (other than the Selling Holders’ Counsel, the fees of which are borne by the Company pursuant to Section 7.1(e)).</w:t>
      </w:r>
    </w:p>
    <w:p>
      <w:pPr>
        <w:spacing w:after="200" w:before="360"/>
        <w:jc w:val="left"/>
      </w:pPr>
      <w:r>
        <w:rPr>
          <w:rFonts w:ascii="Times New Roman" w:cs="Times New Roman" w:eastAsia="Times New Roman" w:hAnsi="Times New Roman"/>
          <w:b/>
          <w:bCs/>
          <w:sz w:val="24"/>
          <w:szCs w:val="24"/>
        </w:rPr>
        <w:t xml:space="preserve">8. INDEMNIFICATION</w:t>
      </w:r>
    </w:p>
    <w:p>
      <w:pPr>
        <w:spacing w:after="120" w:before="240"/>
        <w:ind w:left="360"/>
        <w:jc w:val="left"/>
      </w:pPr>
      <w:r>
        <w:rPr>
          <w:rFonts w:ascii="Times New Roman" w:cs="Times New Roman" w:eastAsia="Times New Roman" w:hAnsi="Times New Roman"/>
          <w:b/>
          <w:bCs/>
          <w:sz w:val="22"/>
          <w:szCs w:val="22"/>
        </w:rPr>
        <w:t xml:space="preserve">8.1 Company Indemnification.</w:t>
      </w:r>
    </w:p>
    <w:p>
      <w:pPr>
        <w:spacing w:after="120"/>
        <w:ind w:left="360"/>
        <w:jc w:val="both"/>
      </w:pPr>
      <w:r>
        <w:rPr>
          <w:rFonts w:ascii="Times New Roman" w:cs="Times New Roman" w:eastAsia="Times New Roman" w:hAnsi="Times New Roman"/>
          <w:b w:val="false"/>
          <w:bCs w:val="false"/>
          <w:i w:val="false"/>
          <w:iCs w:val="false"/>
          <w:sz w:val="22"/>
          <w:szCs w:val="22"/>
        </w:rPr>
        <w:t xml:space="preserve">The Company shall indemnify and hold harmless each selling Holder, each of its officers, directors, partners, members, managers, shareholders, employees, and agents, and each person, if any, who controls such Holder within the meaning of Section 15 of the Securities Act or Section 20 of the Exchange Act (collectively, the "Holder Indemnified Parties"), from and against any and all losses, claims, damages, liabilities, and expenses (including reasonable attorneys’ fees and costs of investigation) (collectively, "Losses"), as incurred, caused by, arising out of, or relating to any untrue statement or alleged untrue statement of a material fact contained in any Registration Statement, any prospectus, or any amendment or supplement thereto, or caused by any omission or alleged omission to state therein a material fact required to be stated therein or necessary to make the statements therein (in the case of a prospectus, in the light of the circumstances under which they were made) not misleading; provided, however, that the Company shall not be liable to any Holder Indemnified Party to the extent that any such Losses are caused by any untrue statement or omission or alleged untrue statement or omission made in reliance upon and in conformity with written information furnished to the Company by or on behalf of such Holder expressly for use therein.</w:t>
      </w:r>
    </w:p>
    <w:p>
      <w:pPr>
        <w:spacing w:after="120" w:before="240"/>
        <w:ind w:left="360"/>
        <w:jc w:val="left"/>
      </w:pPr>
      <w:r>
        <w:rPr>
          <w:rFonts w:ascii="Times New Roman" w:cs="Times New Roman" w:eastAsia="Times New Roman" w:hAnsi="Times New Roman"/>
          <w:b/>
          <w:bCs/>
          <w:sz w:val="22"/>
          <w:szCs w:val="22"/>
        </w:rPr>
        <w:t xml:space="preserve">8.2 Holder Indemnification.</w:t>
      </w:r>
    </w:p>
    <w:p>
      <w:pPr>
        <w:spacing w:after="120"/>
        <w:ind w:left="360"/>
        <w:jc w:val="both"/>
      </w:pPr>
      <w:r>
        <w:rPr>
          <w:rFonts w:ascii="Times New Roman" w:cs="Times New Roman" w:eastAsia="Times New Roman" w:hAnsi="Times New Roman"/>
          <w:b w:val="false"/>
          <w:bCs w:val="false"/>
          <w:i w:val="false"/>
          <w:iCs w:val="false"/>
          <w:sz w:val="22"/>
          <w:szCs w:val="22"/>
        </w:rPr>
        <w:t xml:space="preserve">Each selling Holder shall, severally and not jointly, indemnify and hold harmless the Company, each of its officers and directors, each person, if any, who controls the Company within the meaning of Section 15 of the Securities Act or Section 20 of the Exchange Act, and each other selling Holder and each of such other selling Holder’s officers, directors, partners, members, managers, shareholders, employees, and agents, from and against any and all Losses caused by any untrue statement or alleged untrue statement of a material fact or any omission or alleged omission of a material fact required to be stated in any Registration Statement or prospectus, or necessary to make the statements therein (in the case of a prospectus, in the light of the circumstances under which they were made) not misleading, in each case to the extent, but only to the extent, that such untrue statement or omission was made in reliance upon and in conformity with written information furnished to the Company by or on behalf of such Holder expressly for use in the Registration Statement or prospectus. The liability of each Holder under this Section 8.2 shall in no event exceed the net proceeds received by such Holder from the sale of Registrable Securities giving rise to such obligation.</w:t>
      </w:r>
    </w:p>
    <w:p>
      <w:pPr>
        <w:spacing w:after="120" w:before="240"/>
        <w:ind w:left="360"/>
        <w:jc w:val="left"/>
      </w:pPr>
      <w:r>
        <w:rPr>
          <w:rFonts w:ascii="Times New Roman" w:cs="Times New Roman" w:eastAsia="Times New Roman" w:hAnsi="Times New Roman"/>
          <w:b/>
          <w:bCs/>
          <w:sz w:val="22"/>
          <w:szCs w:val="22"/>
        </w:rPr>
        <w:t xml:space="preserve">8.3 Contribution.</w:t>
      </w:r>
    </w:p>
    <w:p>
      <w:pPr>
        <w:spacing w:after="120"/>
        <w:ind w:left="360"/>
        <w:jc w:val="both"/>
      </w:pPr>
      <w:r>
        <w:rPr>
          <w:rFonts w:ascii="Times New Roman" w:cs="Times New Roman" w:eastAsia="Times New Roman" w:hAnsi="Times New Roman"/>
          <w:b w:val="false"/>
          <w:bCs w:val="false"/>
          <w:i w:val="false"/>
          <w:iCs w:val="false"/>
          <w:sz w:val="22"/>
          <w:szCs w:val="22"/>
        </w:rPr>
        <w:t xml:space="preserve">If the indemnification provided for in Section 8.1 or Section 8.2 from the indemnifying party is unavailable or insufficient to hold harmless the indemnified party in respect of any Losses, then each indemnifying party, in lieu of indemnifying such indemnified party, shall contribute to the amount paid or payable by such indemnified party as a result of such Losses, in such proportion as is appropriate to reflect the relative fault of the indemnifying party, on the one hand, and the indemnified party, on the other hand, in connection with the statements or omissions that resulted in such Losses, as well as any other relevant equitable considerations. The relative fault of the indemnifying party and the indemnified party shall be determined by reference to, among other things, whether the untrue or alleged untrue statement of a material fact or the omission or alleged omission to state a material fact relates to information supplied by the indemnifying party or by the indemnified party, and the parties’ relative intent, knowledge, access to information, and opportunity to correct or prevent such statement or omission. In no event shall any selling Holder be required to contribute an amount in excess of the net proceeds received by such Holder from the sale of Registrable Securities giving rise to such obligation.</w:t>
      </w:r>
    </w:p>
    <w:p>
      <w:pPr>
        <w:spacing w:after="120" w:before="240"/>
        <w:ind w:left="360"/>
        <w:jc w:val="left"/>
      </w:pPr>
      <w:r>
        <w:rPr>
          <w:rFonts w:ascii="Times New Roman" w:cs="Times New Roman" w:eastAsia="Times New Roman" w:hAnsi="Times New Roman"/>
          <w:b/>
          <w:bCs/>
          <w:sz w:val="22"/>
          <w:szCs w:val="22"/>
        </w:rPr>
        <w:t xml:space="preserve">8.4 Procedures.</w:t>
      </w:r>
    </w:p>
    <w:p>
      <w:pPr>
        <w:spacing w:after="120"/>
        <w:ind w:left="360"/>
        <w:jc w:val="both"/>
      </w:pPr>
      <w:r>
        <w:rPr>
          <w:rFonts w:ascii="Times New Roman" w:cs="Times New Roman" w:eastAsia="Times New Roman" w:hAnsi="Times New Roman"/>
          <w:b w:val="false"/>
          <w:bCs w:val="false"/>
          <w:i w:val="false"/>
          <w:iCs w:val="false"/>
          <w:sz w:val="22"/>
          <w:szCs w:val="22"/>
        </w:rPr>
        <w:t xml:space="preserve">Any person entitled to indemnification hereunder shall:</w:t>
      </w:r>
    </w:p>
    <w:p>
      <w:pPr>
        <w:spacing w:after="120"/>
        <w:ind w:left="720"/>
        <w:jc w:val="both"/>
      </w:pPr>
      <w:r>
        <w:rPr>
          <w:rFonts w:ascii="Times New Roman" w:cs="Times New Roman" w:eastAsia="Times New Roman" w:hAnsi="Times New Roman"/>
          <w:b w:val="false"/>
          <w:bCs w:val="false"/>
          <w:i w:val="false"/>
          <w:iCs w:val="false"/>
          <w:sz w:val="22"/>
          <w:szCs w:val="22"/>
        </w:rPr>
        <w:t xml:space="preserve">(a) give prompt written notice to the indemnifying party after receipt of notice of the commencement of any action, suit, proceeding, investigation, or threat thereof made in writing for which such person will claim indemnification or contribution pursuant to this Agreement; provided that the failure to so notify the indemnifying party shall not relieve the indemnifying party from any liability that it may have to such person under this Section 8 except to the extent that the indemnifying party is actually and materially prejudiced by such failure;</w:t>
      </w:r>
    </w:p>
    <w:p>
      <w:pPr>
        <w:spacing w:after="120"/>
        <w:ind w:left="720"/>
        <w:jc w:val="both"/>
      </w:pPr>
      <w:r>
        <w:rPr>
          <w:rFonts w:ascii="Times New Roman" w:cs="Times New Roman" w:eastAsia="Times New Roman" w:hAnsi="Times New Roman"/>
          <w:b w:val="false"/>
          <w:bCs w:val="false"/>
          <w:i w:val="false"/>
          <w:iCs w:val="false"/>
          <w:sz w:val="22"/>
          <w:szCs w:val="22"/>
        </w:rPr>
        <w:t xml:space="preserve">(b) permit the indemnifying party to assume the defense of such claim with counsel reasonably satisfactory to the indemnified party; provided that if the indemnified party reasonably concludes that there may be legal defenses available to it that are different from or in addition to those available to the indemnifying party, the indemnified party shall have the right to select separate counsel, at the expense of the indemnifying party, to assert such legal defenses and to otherwise participate in the defense of such claim on behalf of the indemnified party; and</w:t>
      </w:r>
    </w:p>
    <w:p>
      <w:pPr>
        <w:spacing w:after="120"/>
        <w:ind w:left="720"/>
        <w:jc w:val="both"/>
      </w:pPr>
      <w:r>
        <w:rPr>
          <w:rFonts w:ascii="Times New Roman" w:cs="Times New Roman" w:eastAsia="Times New Roman" w:hAnsi="Times New Roman"/>
          <w:b w:val="false"/>
          <w:bCs w:val="false"/>
          <w:i w:val="false"/>
          <w:iCs w:val="false"/>
          <w:sz w:val="22"/>
          <w:szCs w:val="22"/>
        </w:rPr>
        <w:t xml:space="preserve">(c) not settle, compromise, or consent to the entry of any judgment with respect to any pending or threatened claim, action, suit, or proceeding in respect of which indemnification or contribution may be sought hereunder without the prior written consent of the indemnifying party, which consent shall not be unreasonably withheld, conditioned, or delayed.</w:t>
      </w:r>
    </w:p>
    <w:p>
      <w:pPr>
        <w:spacing w:after="200" w:before="360"/>
        <w:jc w:val="left"/>
      </w:pPr>
      <w:r>
        <w:rPr>
          <w:rFonts w:ascii="Times New Roman" w:cs="Times New Roman" w:eastAsia="Times New Roman" w:hAnsi="Times New Roman"/>
          <w:b/>
          <w:bCs/>
          <w:sz w:val="24"/>
          <w:szCs w:val="24"/>
        </w:rPr>
        <w:t xml:space="preserve">9. TRANSFER OF REGISTRATION RIGHTS</w:t>
      </w:r>
    </w:p>
    <w:p>
      <w:pPr>
        <w:spacing w:after="120"/>
        <w:ind w:left="360"/>
        <w:jc w:val="both"/>
      </w:pPr>
      <w:r>
        <w:rPr>
          <w:rFonts w:ascii="Times New Roman" w:cs="Times New Roman" w:eastAsia="Times New Roman" w:hAnsi="Times New Roman"/>
          <w:b w:val="false"/>
          <w:bCs w:val="false"/>
          <w:i w:val="false"/>
          <w:iCs w:val="false"/>
          <w:sz w:val="22"/>
          <w:szCs w:val="22"/>
        </w:rPr>
        <w:t xml:space="preserve">The registration rights granted under this Agreement may be transferred or assigned by a Holder to:</w:t>
      </w:r>
    </w:p>
    <w:p>
      <w:pPr>
        <w:spacing w:after="120"/>
        <w:ind w:left="720"/>
        <w:jc w:val="both"/>
      </w:pPr>
      <w:r>
        <w:rPr>
          <w:rFonts w:ascii="Times New Roman" w:cs="Times New Roman" w:eastAsia="Times New Roman" w:hAnsi="Times New Roman"/>
          <w:b w:val="false"/>
          <w:bCs w:val="false"/>
          <w:i w:val="false"/>
          <w:iCs w:val="false"/>
          <w:sz w:val="22"/>
          <w:szCs w:val="22"/>
        </w:rPr>
        <w:t xml:space="preserve">(a) any affiliate of such Holder;</w:t>
      </w:r>
    </w:p>
    <w:p>
      <w:pPr>
        <w:spacing w:after="120"/>
        <w:ind w:left="720"/>
        <w:jc w:val="both"/>
      </w:pPr>
      <w:r>
        <w:rPr>
          <w:rFonts w:ascii="Times New Roman" w:cs="Times New Roman" w:eastAsia="Times New Roman" w:hAnsi="Times New Roman"/>
          <w:b w:val="false"/>
          <w:bCs w:val="false"/>
          <w:i w:val="false"/>
          <w:iCs w:val="false"/>
          <w:sz w:val="22"/>
          <w:szCs w:val="22"/>
        </w:rPr>
        <w:t xml:space="preserve">(b) any transferee who acquires at least [TRANSFER THRESHOLD] percent ([TRANSFER THRESHOLD]%) of such Holder’s Registrable Securities; or</w:t>
      </w:r>
    </w:p>
    <w:p>
      <w:pPr>
        <w:spacing w:after="120"/>
        <w:ind w:left="720"/>
        <w:jc w:val="both"/>
      </w:pPr>
      <w:r>
        <w:rPr>
          <w:rFonts w:ascii="Times New Roman" w:cs="Times New Roman" w:eastAsia="Times New Roman" w:hAnsi="Times New Roman"/>
          <w:b w:val="false"/>
          <w:bCs w:val="false"/>
          <w:i w:val="false"/>
          <w:iCs w:val="false"/>
          <w:sz w:val="22"/>
          <w:szCs w:val="22"/>
        </w:rPr>
        <w:t xml:space="preserve">(c) any other transferee with the prior written consent of the Company (such consent not to be unreasonably withheld, conditioned, or delayed);</w:t>
      </w:r>
    </w:p>
    <w:p>
      <w:pPr>
        <w:spacing w:after="120"/>
        <w:ind w:left="360"/>
        <w:jc w:val="both"/>
      </w:pPr>
      <w:r>
        <w:rPr>
          <w:rFonts w:ascii="Times New Roman" w:cs="Times New Roman" w:eastAsia="Times New Roman" w:hAnsi="Times New Roman"/>
          <w:b w:val="false"/>
          <w:bCs w:val="false"/>
          <w:i w:val="false"/>
          <w:iCs w:val="false"/>
          <w:sz w:val="22"/>
          <w:szCs w:val="22"/>
        </w:rPr>
        <w:t xml:space="preserve">provided, in each case, that (i) the Company is given written notice of such transfer prior to or concurrently with the effectiveness thereof, stating the name and address of the transferee and identifying the Registrable Securities with respect to which the rights under this Agreement are being transferred, (ii) the transferee agrees in writing to be bound by the terms and conditions of this Agreement by executing and delivering to the Company a joinder agreement in form and substance reasonably satisfactory to the Company, and (iii) such transfer is effected in compliance with all applicable federal and state securities laws.</w:t>
      </w:r>
    </w:p>
    <w:p>
      <w:pPr>
        <w:spacing w:after="200" w:before="360"/>
        <w:jc w:val="left"/>
      </w:pPr>
      <w:r>
        <w:rPr>
          <w:rFonts w:ascii="Times New Roman" w:cs="Times New Roman" w:eastAsia="Times New Roman" w:hAnsi="Times New Roman"/>
          <w:b/>
          <w:bCs/>
          <w:sz w:val="24"/>
          <w:szCs w:val="24"/>
        </w:rPr>
        <w:t xml:space="preserve">10. TERMINATION</w:t>
      </w:r>
    </w:p>
    <w:p>
      <w:pPr>
        <w:spacing w:after="120"/>
        <w:ind w:left="360"/>
        <w:jc w:val="both"/>
      </w:pPr>
      <w:r>
        <w:rPr>
          <w:rFonts w:ascii="Times New Roman" w:cs="Times New Roman" w:eastAsia="Times New Roman" w:hAnsi="Times New Roman"/>
          <w:b w:val="false"/>
          <w:bCs w:val="false"/>
          <w:i w:val="false"/>
          <w:iCs w:val="false"/>
          <w:sz w:val="22"/>
          <w:szCs w:val="22"/>
        </w:rPr>
        <w:t xml:space="preserve">The registration rights granted under this Agreement shall terminate as to any particular Holder upon the earliest to occur of:</w:t>
      </w:r>
    </w:p>
    <w:p>
      <w:pPr>
        <w:spacing w:after="120"/>
        <w:ind w:left="720"/>
        <w:jc w:val="both"/>
      </w:pPr>
      <w:r>
        <w:rPr>
          <w:rFonts w:ascii="Times New Roman" w:cs="Times New Roman" w:eastAsia="Times New Roman" w:hAnsi="Times New Roman"/>
          <w:b w:val="false"/>
          <w:bCs w:val="false"/>
          <w:i w:val="false"/>
          <w:iCs w:val="false"/>
          <w:sz w:val="22"/>
          <w:szCs w:val="22"/>
        </w:rPr>
        <w:t xml:space="preserve">(a) the [fifth] anniversary of the effective date of the Company’s Qualified IPO;</w:t>
      </w:r>
    </w:p>
    <w:p>
      <w:pPr>
        <w:spacing w:after="120"/>
        <w:ind w:left="720"/>
        <w:jc w:val="both"/>
      </w:pPr>
      <w:r>
        <w:rPr>
          <w:rFonts w:ascii="Times New Roman" w:cs="Times New Roman" w:eastAsia="Times New Roman" w:hAnsi="Times New Roman"/>
          <w:b w:val="false"/>
          <w:bCs w:val="false"/>
          <w:i w:val="false"/>
          <w:iCs w:val="false"/>
          <w:sz w:val="22"/>
          <w:szCs w:val="22"/>
        </w:rPr>
        <w:t xml:space="preserve">(b) the date on which all Registrable Securities held by such Holder may be sold without restriction pursuant to Rule 144 promulgated under the Securities Act (without volume limitations, manner of sale restrictions, or the requirement for the Company to be in compliance with the current public information requirements of Rule 144(c)(1)); and</w:t>
      </w:r>
    </w:p>
    <w:p>
      <w:pPr>
        <w:spacing w:after="120"/>
        <w:ind w:left="720"/>
        <w:jc w:val="both"/>
      </w:pPr>
      <w:r>
        <w:rPr>
          <w:rFonts w:ascii="Times New Roman" w:cs="Times New Roman" w:eastAsia="Times New Roman" w:hAnsi="Times New Roman"/>
          <w:b w:val="false"/>
          <w:bCs w:val="false"/>
          <w:i w:val="false"/>
          <w:iCs w:val="false"/>
          <w:sz w:val="22"/>
          <w:szCs w:val="22"/>
        </w:rPr>
        <w:t xml:space="preserve">(c) the date on which such Holder ceases to hold any Registrable Securities.</w:t>
      </w:r>
    </w:p>
    <w:p>
      <w:pPr>
        <w:spacing w:after="120"/>
        <w:ind w:left="360"/>
        <w:jc w:val="both"/>
      </w:pPr>
      <w:r>
        <w:rPr>
          <w:rFonts w:ascii="Times New Roman" w:cs="Times New Roman" w:eastAsia="Times New Roman" w:hAnsi="Times New Roman"/>
          <w:b w:val="false"/>
          <w:bCs w:val="false"/>
          <w:i w:val="false"/>
          <w:iCs w:val="false"/>
          <w:sz w:val="22"/>
          <w:szCs w:val="22"/>
        </w:rPr>
        <w:t xml:space="preserve">Notwithstanding the foregoing, the provisions of Section 7 (Registration Expenses), Section 8 (Indemnification), and Section 13 (Governing Law) shall survive any termination of this Agreement.</w:t>
      </w:r>
    </w:p>
    <w:p>
      <w:pPr>
        <w:spacing w:after="200" w:before="360"/>
        <w:jc w:val="left"/>
      </w:pPr>
      <w:r>
        <w:rPr>
          <w:rFonts w:ascii="Times New Roman" w:cs="Times New Roman" w:eastAsia="Times New Roman" w:hAnsi="Times New Roman"/>
          <w:b/>
          <w:bCs/>
          <w:sz w:val="24"/>
          <w:szCs w:val="24"/>
        </w:rPr>
        <w:t xml:space="preserve">11. REPORTS UNDER THE EXCHANGE ACT</w:t>
      </w:r>
    </w:p>
    <w:p>
      <w:pPr>
        <w:spacing w:after="120"/>
        <w:ind w:left="360"/>
        <w:jc w:val="both"/>
      </w:pPr>
      <w:r>
        <w:rPr>
          <w:rFonts w:ascii="Times New Roman" w:cs="Times New Roman" w:eastAsia="Times New Roman" w:hAnsi="Times New Roman"/>
          <w:b w:val="false"/>
          <w:bCs w:val="false"/>
          <w:i w:val="false"/>
          <w:iCs w:val="false"/>
          <w:sz w:val="22"/>
          <w:szCs w:val="22"/>
        </w:rPr>
        <w:t xml:space="preserve">With a view to making available to the Holders the benefits of Rule 144 and any other rule or regulation of the Commission that may at any time permit a Holder to sell securities of the Company to the public without registration or pursuant to a registration on Form S-3, the Company shall:</w:t>
      </w:r>
    </w:p>
    <w:p>
      <w:pPr>
        <w:spacing w:after="120"/>
        <w:ind w:left="720"/>
        <w:jc w:val="both"/>
      </w:pPr>
      <w:r>
        <w:rPr>
          <w:rFonts w:ascii="Times New Roman" w:cs="Times New Roman" w:eastAsia="Times New Roman" w:hAnsi="Times New Roman"/>
          <w:b w:val="false"/>
          <w:bCs w:val="false"/>
          <w:i w:val="false"/>
          <w:iCs w:val="false"/>
          <w:sz w:val="22"/>
          <w:szCs w:val="22"/>
        </w:rPr>
        <w:t xml:space="preserve">(a) make and keep adequate current public information available, as those terms are understood and defined in Rule 144 under the Securities Act, at all times after the effective date of the first Registration Statement filed by the Company for an offering of its securities to the general public (other than a registration statement relating to an employee benefit plan or a transaction under Rule 145);</w:t>
      </w:r>
    </w:p>
    <w:p>
      <w:pPr>
        <w:spacing w:after="120"/>
        <w:ind w:left="720"/>
        <w:jc w:val="both"/>
      </w:pPr>
      <w:r>
        <w:rPr>
          <w:rFonts w:ascii="Times New Roman" w:cs="Times New Roman" w:eastAsia="Times New Roman" w:hAnsi="Times New Roman"/>
          <w:b w:val="false"/>
          <w:bCs w:val="false"/>
          <w:i w:val="false"/>
          <w:iCs w:val="false"/>
          <w:sz w:val="22"/>
          <w:szCs w:val="22"/>
        </w:rPr>
        <w:t xml:space="preserve">(b) use its best efforts to timely file with the Commission all reports and other documents required of the Company under the Securities Act and the Exchange Act, at any time after it has become subject to such reporting requirements; and</w:t>
      </w:r>
    </w:p>
    <w:p>
      <w:pPr>
        <w:spacing w:after="120"/>
        <w:ind w:left="720"/>
        <w:jc w:val="both"/>
      </w:pPr>
      <w:r>
        <w:rPr>
          <w:rFonts w:ascii="Times New Roman" w:cs="Times New Roman" w:eastAsia="Times New Roman" w:hAnsi="Times New Roman"/>
          <w:b w:val="false"/>
          <w:bCs w:val="false"/>
          <w:i w:val="false"/>
          <w:iCs w:val="false"/>
          <w:sz w:val="22"/>
          <w:szCs w:val="22"/>
        </w:rPr>
        <w:t xml:space="preserve">(c) furnish to any Holder, upon written request, (i) a written statement by the Company as to whether it has complied with the reporting requirements of Rule 144, the Securities Act, and the Exchange Act, or whether it qualifies as a registrant whose securities may be resold pursuant to Form S-3, (ii) a copy of the most recent annual or quarterly report of the Company as filed with the Commission, and (iii) such other reports and documents of the Company as the Holder may reasonably request to avail itself of any rule or regulation of the Commission allowing the Holder to sell any such securities without registration.</w:t>
      </w:r>
    </w:p>
    <w:p>
      <w:pPr>
        <w:spacing w:after="200" w:before="360"/>
        <w:jc w:val="left"/>
      </w:pPr>
      <w:r>
        <w:rPr>
          <w:rFonts w:ascii="Times New Roman" w:cs="Times New Roman" w:eastAsia="Times New Roman" w:hAnsi="Times New Roman"/>
          <w:b/>
          <w:bCs/>
          <w:sz w:val="24"/>
          <w:szCs w:val="24"/>
        </w:rPr>
        <w:t xml:space="preserve">12. NO INCONSISTENT AGREEMENTS</w:t>
      </w:r>
    </w:p>
    <w:p>
      <w:pPr>
        <w:spacing w:after="120"/>
        <w:ind w:left="360"/>
        <w:jc w:val="both"/>
      </w:pPr>
      <w:r>
        <w:rPr>
          <w:rFonts w:ascii="Times New Roman" w:cs="Times New Roman" w:eastAsia="Times New Roman" w:hAnsi="Times New Roman"/>
          <w:b w:val="false"/>
          <w:bCs w:val="false"/>
          <w:i w:val="false"/>
          <w:iCs w:val="false"/>
          <w:sz w:val="22"/>
          <w:szCs w:val="22"/>
        </w:rPr>
        <w:t xml:space="preserve">The Company shall not hereafter enter into, and represents and warrants that it is not currently a party to, any agreement with respect to its securities that would grant to any person registration rights that are inconsistent with, or superior to, the registration rights granted under this Agreement, or that would materially and adversely affect the registration rights granted under this Agreement, in each case without the prior written consent of the Holders of a majority of the then-outstanding Registrable Securities. The Company further represents and warrants that this Agreement supersedes any other registration rights agreement or similar agreement with respect to the Registrable Securities.</w:t>
      </w:r>
    </w:p>
    <w:p>
      <w:pPr>
        <w:spacing w:after="200" w:before="360"/>
        <w:jc w:val="left"/>
      </w:pPr>
      <w:r>
        <w:rPr>
          <w:rFonts w:ascii="Times New Roman" w:cs="Times New Roman" w:eastAsia="Times New Roman" w:hAnsi="Times New Roman"/>
          <w:b/>
          <w:bCs/>
          <w:sz w:val="24"/>
          <w:szCs w:val="24"/>
        </w:rPr>
        <w:t xml:space="preserve">13. GOVERNING LAW</w:t>
      </w:r>
    </w:p>
    <w:p>
      <w:pPr>
        <w:spacing w:after="120"/>
        <w:ind w:left="360"/>
        <w:jc w:val="both"/>
      </w:pPr>
      <w:r>
        <w:rPr>
          <w:rFonts w:ascii="Times New Roman" w:cs="Times New Roman" w:eastAsia="Times New Roman" w:hAnsi="Times New Roman"/>
          <w:b w:val="false"/>
          <w:bCs w:val="false"/>
          <w:i w:val="false"/>
          <w:iCs w:val="false"/>
          <w:sz w:val="22"/>
          <w:szCs w:val="22"/>
        </w:rPr>
        <w:t xml:space="preserve">This Agreement shall be governed by, and construed and enforced in accordance with, the internal laws of the State of Delaware, without giving effect to any choice or conflict of law provision or rule (whether of the State of Delaware or any other jurisdiction) that would cause the application of the laws of any jurisdiction other than the State of Delaware. Each of the parties hereto irrevocably submits to the exclusive jurisdiction of the courts of the State of Delaware and the United States District Court for the District of Delaware for the purpose of any suit, action, proceeding, or judgment relating to or arising out of this Agreement and the transactions contemplated hereby. Each of the parties hereby irrevocably waives, and agrees not to assert in any such suit, action, or proceeding, any claim that it is not personally subject to the jurisdiction of any such court, that such suit, action, or proceeding is improper, or that this Agreement or the subject matter hereof may not be enforced in or by such courts.</w:t>
      </w:r>
    </w:p>
    <w:p>
      <w:pPr>
        <w:spacing w:after="200" w:before="360"/>
        <w:jc w:val="left"/>
      </w:pPr>
      <w:r>
        <w:rPr>
          <w:rFonts w:ascii="Times New Roman" w:cs="Times New Roman" w:eastAsia="Times New Roman" w:hAnsi="Times New Roman"/>
          <w:b/>
          <w:bCs/>
          <w:sz w:val="24"/>
          <w:szCs w:val="24"/>
        </w:rPr>
        <w:t xml:space="preserve">14. MISCELLANEOUS</w:t>
      </w:r>
    </w:p>
    <w:p>
      <w:pPr>
        <w:spacing w:after="120" w:before="240"/>
        <w:ind w:left="360"/>
        <w:jc w:val="left"/>
      </w:pPr>
      <w:r>
        <w:rPr>
          <w:rFonts w:ascii="Times New Roman" w:cs="Times New Roman" w:eastAsia="Times New Roman" w:hAnsi="Times New Roman"/>
          <w:b/>
          <w:bCs/>
          <w:sz w:val="22"/>
          <w:szCs w:val="22"/>
        </w:rPr>
        <w:t xml:space="preserve">14.1 Counterparts.</w:t>
      </w:r>
    </w:p>
    <w:p>
      <w:pPr>
        <w:spacing w:after="120"/>
        <w:ind w:left="360"/>
        <w:jc w:val="both"/>
      </w:pPr>
      <w:r>
        <w:rPr>
          <w:rFonts w:ascii="Times New Roman" w:cs="Times New Roman" w:eastAsia="Times New Roman" w:hAnsi="Times New Roman"/>
          <w:b w:val="false"/>
          <w:bCs w:val="false"/>
          <w:i w:val="false"/>
          <w:iCs w:val="false"/>
          <w:sz w:val="22"/>
          <w:szCs w:val="22"/>
        </w:rPr>
        <w:t xml:space="preserve">This Agreement may be executed in two or more counterparts, each of which shall be deemed an original, but all of which together shall constitute one and the same instrument. Counterparts may be delivered via electronic mail (including any electronic signature complying with the U.S. federal ESIGN Act of 2000, Uniform Electronic Transactions Act, or other applicable law) or other transmission method, and any counterpart so delivered shall be deemed to have been duly and validly delivered and be valid and effective for all purposes.</w:t>
      </w:r>
    </w:p>
    <w:p>
      <w:pPr>
        <w:spacing w:after="120" w:before="240"/>
        <w:ind w:left="360"/>
        <w:jc w:val="left"/>
      </w:pPr>
      <w:r>
        <w:rPr>
          <w:rFonts w:ascii="Times New Roman" w:cs="Times New Roman" w:eastAsia="Times New Roman" w:hAnsi="Times New Roman"/>
          <w:b/>
          <w:bCs/>
          <w:sz w:val="22"/>
          <w:szCs w:val="22"/>
        </w:rPr>
        <w:t xml:space="preserve">14.2 Notices.</w:t>
      </w:r>
    </w:p>
    <w:p>
      <w:pPr>
        <w:spacing w:after="120"/>
        <w:ind w:left="360"/>
        <w:jc w:val="both"/>
      </w:pPr>
      <w:r>
        <w:rPr>
          <w:rFonts w:ascii="Times New Roman" w:cs="Times New Roman" w:eastAsia="Times New Roman" w:hAnsi="Times New Roman"/>
          <w:b w:val="false"/>
          <w:bCs w:val="false"/>
          <w:i w:val="false"/>
          <w:iCs w:val="false"/>
          <w:sz w:val="22"/>
          <w:szCs w:val="22"/>
        </w:rPr>
        <w:t xml:space="preserve">All notices and other communications under this Agreement shall be in writing and shall be deemed duly given (a) on the date of delivery, if delivered personally or by email (with confirmation of receipt), (b) on the first business day following the date of dispatch, if delivered by a recognized next-day courier service, or (c) on the third business day following the date of mailing, if delivered by registered or certified mail, return receipt requested, postage prepaid. All notices to a party shall be delivered to the address set forth on the signature page hereto (or to such other address as such party may designate by ten (10) days’ advance written notice to the other parties).</w:t>
      </w:r>
    </w:p>
    <w:p>
      <w:pPr>
        <w:spacing w:after="120" w:before="240"/>
        <w:ind w:left="360"/>
        <w:jc w:val="left"/>
      </w:pPr>
      <w:r>
        <w:rPr>
          <w:rFonts w:ascii="Times New Roman" w:cs="Times New Roman" w:eastAsia="Times New Roman" w:hAnsi="Times New Roman"/>
          <w:b/>
          <w:bCs/>
          <w:sz w:val="22"/>
          <w:szCs w:val="22"/>
        </w:rPr>
        <w:t xml:space="preserve">14.3 Amendments and Waivers.</w:t>
      </w:r>
    </w:p>
    <w:p>
      <w:pPr>
        <w:spacing w:after="120"/>
        <w:ind w:left="360"/>
        <w:jc w:val="both"/>
      </w:pPr>
      <w:r>
        <w:rPr>
          <w:rFonts w:ascii="Times New Roman" w:cs="Times New Roman" w:eastAsia="Times New Roman" w:hAnsi="Times New Roman"/>
          <w:b w:val="false"/>
          <w:bCs w:val="false"/>
          <w:i w:val="false"/>
          <w:iCs w:val="false"/>
          <w:sz w:val="22"/>
          <w:szCs w:val="22"/>
        </w:rPr>
        <w:t xml:space="preserve">This Agreement may be amended, modified, or supplemented, and any provision hereof may be waived, only by a written instrument signed by the Company and the Holders of a majority of the then-outstanding Registrable Securities. Notwithstanding the foregoing, no amendment, modification, supplement, or waiver shall disproportionately and adversely affect any Holder or group of Holders (relative to other Holders) without the prior written consent of such Holder or the Holders of a majority of the Registrable Securities held by the adversely affected group. Any waiver by any party of a breach of any provision of this Agreement shall not operate or be construed as a waiver of any subsequent breach of that provision or as a waiver of any breach of any other provision.</w:t>
      </w:r>
    </w:p>
    <w:p>
      <w:pPr>
        <w:spacing w:after="120" w:before="240"/>
        <w:ind w:left="360"/>
        <w:jc w:val="left"/>
      </w:pPr>
      <w:r>
        <w:rPr>
          <w:rFonts w:ascii="Times New Roman" w:cs="Times New Roman" w:eastAsia="Times New Roman" w:hAnsi="Times New Roman"/>
          <w:b/>
          <w:bCs/>
          <w:sz w:val="22"/>
          <w:szCs w:val="22"/>
        </w:rPr>
        <w:t xml:space="preserve">14.4 Severability.</w:t>
      </w:r>
    </w:p>
    <w:p>
      <w:pPr>
        <w:spacing w:after="120"/>
        <w:ind w:left="360"/>
        <w:jc w:val="both"/>
      </w:pPr>
      <w:r>
        <w:rPr>
          <w:rFonts w:ascii="Times New Roman" w:cs="Times New Roman" w:eastAsia="Times New Roman" w:hAnsi="Times New Roman"/>
          <w:b w:val="false"/>
          <w:bCs w:val="false"/>
          <w:i w:val="false"/>
          <w:iCs w:val="false"/>
          <w:sz w:val="22"/>
          <w:szCs w:val="22"/>
        </w:rPr>
        <w:t xml:space="preserve">If any provision of this Agreement is held to be illegal, invalid, or unenforceable under present or future laws, such provision shall be fully severable, and this Agreement shall be construed and enforced as if such illegal, invalid, or unenforceable provision had never comprised a part hereof; the remaining provisions of this Agreement shall remain in full force and effect and shall not be affected by the illegal, invalid, or unenforceable provision or by its severance herefrom. In lieu of such illegal, invalid, or unenforceable provision, there shall be added automatically as part of this Agreement a provision as similar in terms to such illegal, invalid, or unenforceable provision as may be possible and be legal, valid, and enforceable.</w:t>
      </w:r>
    </w:p>
    <w:p>
      <w:pPr>
        <w:spacing w:after="120" w:before="240"/>
        <w:ind w:left="360"/>
        <w:jc w:val="left"/>
      </w:pPr>
      <w:r>
        <w:rPr>
          <w:rFonts w:ascii="Times New Roman" w:cs="Times New Roman" w:eastAsia="Times New Roman" w:hAnsi="Times New Roman"/>
          <w:b/>
          <w:bCs/>
          <w:sz w:val="22"/>
          <w:szCs w:val="22"/>
        </w:rPr>
        <w:t xml:space="preserve">14.5 Entire Agreement.</w:t>
      </w:r>
    </w:p>
    <w:p>
      <w:pPr>
        <w:spacing w:after="120"/>
        <w:ind w:left="360"/>
        <w:jc w:val="both"/>
      </w:pPr>
      <w:r>
        <w:rPr>
          <w:rFonts w:ascii="Times New Roman" w:cs="Times New Roman" w:eastAsia="Times New Roman" w:hAnsi="Times New Roman"/>
          <w:b w:val="false"/>
          <w:bCs w:val="false"/>
          <w:i w:val="false"/>
          <w:iCs w:val="false"/>
          <w:sz w:val="22"/>
          <w:szCs w:val="22"/>
        </w:rPr>
        <w:t xml:space="preserve">This Agreement, together with all exhibits and schedules hereto, constitutes the entire agreement among the parties with respect to the subject matter hereof and supersedes all prior agreements, understandings, negotiations, and discussions, both written and oral, among the parties with respect to such subject matter. There are no representations, warranties, covenants, or undertakings with respect to the subject matter hereof other than those expressly set forth or referred to herein.</w:t>
      </w:r>
    </w:p>
    <w:p>
      <w:pPr>
        <w:spacing w:after="120" w:before="240"/>
        <w:ind w:left="360"/>
        <w:jc w:val="left"/>
      </w:pPr>
      <w:r>
        <w:rPr>
          <w:rFonts w:ascii="Times New Roman" w:cs="Times New Roman" w:eastAsia="Times New Roman" w:hAnsi="Times New Roman"/>
          <w:b/>
          <w:bCs/>
          <w:sz w:val="22"/>
          <w:szCs w:val="22"/>
        </w:rPr>
        <w:t xml:space="preserve">14.6 Further Assurances.</w:t>
      </w:r>
    </w:p>
    <w:p>
      <w:pPr>
        <w:spacing w:after="120"/>
        <w:ind w:left="360"/>
        <w:jc w:val="both"/>
      </w:pPr>
      <w:r>
        <w:rPr>
          <w:rFonts w:ascii="Times New Roman" w:cs="Times New Roman" w:eastAsia="Times New Roman" w:hAnsi="Times New Roman"/>
          <w:b w:val="false"/>
          <w:bCs w:val="false"/>
          <w:i w:val="false"/>
          <w:iCs w:val="false"/>
          <w:sz w:val="22"/>
          <w:szCs w:val="22"/>
        </w:rPr>
        <w:t xml:space="preserve">Each party hereto shall do and perform, or cause to be done and performed, all such further acts and things and shall execute and deliver all such other agreements, certificates, instruments, and other documents as any other party hereto may reasonably request in order to carry out the intent and accomplish the purposes of this Agreement and the consummation of the transactions contemplated hereby.</w:t>
      </w:r>
    </w:p>
    <w:p>
      <w:pPr>
        <w:spacing w:after="120" w:before="240"/>
        <w:ind w:left="360"/>
        <w:jc w:val="left"/>
      </w:pPr>
      <w:r>
        <w:rPr>
          <w:rFonts w:ascii="Times New Roman" w:cs="Times New Roman" w:eastAsia="Times New Roman" w:hAnsi="Times New Roman"/>
          <w:b/>
          <w:bCs/>
          <w:sz w:val="22"/>
          <w:szCs w:val="22"/>
        </w:rPr>
        <w:t xml:space="preserve">14.7 Aggregation of Stock.</w:t>
      </w:r>
    </w:p>
    <w:p>
      <w:pPr>
        <w:spacing w:after="120"/>
        <w:ind w:left="360"/>
        <w:jc w:val="both"/>
      </w:pPr>
      <w:r>
        <w:rPr>
          <w:rFonts w:ascii="Times New Roman" w:cs="Times New Roman" w:eastAsia="Times New Roman" w:hAnsi="Times New Roman"/>
          <w:b w:val="false"/>
          <w:bCs w:val="false"/>
          <w:i w:val="false"/>
          <w:iCs w:val="false"/>
          <w:sz w:val="22"/>
          <w:szCs w:val="22"/>
        </w:rPr>
        <w:t xml:space="preserve">All Registrable Securities held or acquired by affiliated entities or persons shall be aggregated together for the purpose of determining the availability of any rights under this Agreement and any calculations of the number or percentage of Registrable Securities held by any Holder.</w:t>
      </w:r>
    </w:p>
    <w:p>
      <w:pPr>
        <w:spacing w:after="120" w:before="240"/>
        <w:ind w:left="360"/>
        <w:jc w:val="left"/>
      </w:pPr>
      <w:r>
        <w:rPr>
          <w:rFonts w:ascii="Times New Roman" w:cs="Times New Roman" w:eastAsia="Times New Roman" w:hAnsi="Times New Roman"/>
          <w:b/>
          <w:bCs/>
          <w:sz w:val="22"/>
          <w:szCs w:val="22"/>
        </w:rPr>
        <w:t xml:space="preserve">14.8 Successors and Assigns.</w:t>
      </w:r>
    </w:p>
    <w:p>
      <w:pPr>
        <w:spacing w:after="120"/>
        <w:ind w:left="360"/>
        <w:jc w:val="both"/>
      </w:pPr>
      <w:r>
        <w:rPr>
          <w:rFonts w:ascii="Times New Roman" w:cs="Times New Roman" w:eastAsia="Times New Roman" w:hAnsi="Times New Roman"/>
          <w:b w:val="false"/>
          <w:bCs w:val="false"/>
          <w:i w:val="false"/>
          <w:iCs w:val="false"/>
          <w:sz w:val="22"/>
          <w:szCs w:val="22"/>
        </w:rPr>
        <w:t xml:space="preserve">Except as otherwise provided herein, this Agreement shall bind and inure to the benefit of and be enforceable by the Company, the Holders, and their respective successors, permitted assigns, heirs, and personal representatives. Nothing in this Agreement, express or implied, is intended to confer upon any person other than the parties hereto, and their respective successors, permitted assigns, heirs, and personal representatives, any rights, remedies, obligations, or liabilities under or by reason of this Agreement, except as expressly provided in Section 8 hereof.</w:t>
      </w:r>
    </w:p>
    <w:p>
      <w:pPr>
        <w:spacing w:after="120" w:before="240"/>
        <w:ind w:left="360"/>
        <w:jc w:val="left"/>
      </w:pPr>
      <w:r>
        <w:rPr>
          <w:rFonts w:ascii="Times New Roman" w:cs="Times New Roman" w:eastAsia="Times New Roman" w:hAnsi="Times New Roman"/>
          <w:b/>
          <w:bCs/>
          <w:sz w:val="22"/>
          <w:szCs w:val="22"/>
        </w:rPr>
        <w:t xml:space="preserve">14.9 Delays or Omissions.</w:t>
      </w:r>
    </w:p>
    <w:p>
      <w:pPr>
        <w:spacing w:after="120"/>
        <w:ind w:left="360"/>
        <w:jc w:val="both"/>
      </w:pPr>
      <w:r>
        <w:rPr>
          <w:rFonts w:ascii="Times New Roman" w:cs="Times New Roman" w:eastAsia="Times New Roman" w:hAnsi="Times New Roman"/>
          <w:b w:val="false"/>
          <w:bCs w:val="false"/>
          <w:i w:val="false"/>
          <w:iCs w:val="false"/>
          <w:sz w:val="22"/>
          <w:szCs w:val="22"/>
        </w:rPr>
        <w:t xml:space="preserve">No delay or omission to exercise any right, power, or remedy accruing to any party under this Agreement shall impair any such right, power, or remedy, nor shall it be construed to be a waiver of or acquiescence to any breach or default, or of or in any similar breach or default thereafter occurring. All remedies, whether under this Agreement or by law or otherwise afforded to any party, shall be cumulative and not alternative.</w:t>
      </w:r>
    </w:p>
    <w:p>
      <w:pPr>
        <w:spacing w:after="120"/>
      </w:pPr>
    </w:p>
    <w:p>
      <w:pPr>
        <w:spacing w:after="120"/>
      </w:pPr>
    </w:p>
    <w:p>
      <w:pPr>
        <w:spacing w:after="240" w:before="360"/>
        <w:jc w:val="center"/>
      </w:pPr>
      <w:r>
        <w:rPr>
          <w:rFonts w:ascii="Times New Roman" w:cs="Times New Roman" w:eastAsia="Times New Roman" w:hAnsi="Times New Roman"/>
          <w:i/>
          <w:iCs/>
          <w:sz w:val="22"/>
          <w:szCs w:val="22"/>
        </w:rPr>
        <w:t xml:space="preserve">[Remainder of Page Intentionally Left Blank; Signature Pages Follow]</w:t>
      </w:r>
    </w:p>
    <w:p>
      <w:r>
        <w:br w:type="page"/>
      </w:r>
    </w:p>
    <w:p>
      <w:pPr>
        <w:spacing w:after="120"/>
        <w:jc w:val="both"/>
      </w:pPr>
      <w:r>
        <w:rPr>
          <w:rFonts w:ascii="Times New Roman" w:cs="Times New Roman" w:eastAsia="Times New Roman" w:hAnsi="Times New Roman"/>
          <w:b w:val="false"/>
          <w:bCs w:val="false"/>
          <w:i w:val="false"/>
          <w:iCs w:val="false"/>
          <w:sz w:val="22"/>
          <w:szCs w:val="22"/>
        </w:rPr>
        <w:t xml:space="preserve">IN WITNESS WHEREOF, the parties hereto have executed this Registration Rights Agreement as of the date first written above.</w:t>
      </w:r>
    </w:p>
    <w:p>
      <w:pPr>
        <w:spacing w:after="120"/>
      </w:pPr>
    </w:p>
    <w:p>
      <w:pPr>
        <w:spacing w:after="120"/>
      </w:pPr>
    </w:p>
    <w:p>
      <w:pPr>
        <w:spacing w:after="60"/>
      </w:pPr>
      <w:r>
        <w:rPr>
          <w:rFonts w:ascii="Times New Roman" w:cs="Times New Roman" w:eastAsia="Times New Roman" w:hAnsi="Times New Roman"/>
          <w:b/>
          <w:bCs/>
          <w:sz w:val="22"/>
          <w:szCs w:val="22"/>
          <w:u w:val="single"/>
        </w:rPr>
        <w:t xml:space="preserve">COMPANY:</w:t>
      </w:r>
    </w:p>
    <w:p>
      <w:pPr>
        <w:spacing w:after="120"/>
      </w:pPr>
    </w:p>
    <w:p>
      <w:pPr>
        <w:spacing w:after="60"/>
      </w:pPr>
      <w:r>
        <w:rPr>
          <w:rFonts w:ascii="Times New Roman" w:cs="Times New Roman" w:eastAsia="Times New Roman" w:hAnsi="Times New Roman"/>
          <w:b/>
          <w:bCs/>
          <w:sz w:val="22"/>
          <w:szCs w:val="22"/>
        </w:rPr>
        <w:t xml:space="preserve">[COMPANY NAME]</w:t>
      </w:r>
    </w:p>
    <w:p>
      <w:pPr>
        <w:spacing w:after="120"/>
      </w:pPr>
    </w:p>
    <w:p>
      <w:pPr>
        <w:spacing w:after="120"/>
      </w:pPr>
    </w:p>
    <w:p>
      <w:pPr>
        <w:spacing w:after="60" w:before="60"/>
      </w:pPr>
      <w:r>
        <w:rPr>
          <w:rFonts w:ascii="Times New Roman" w:cs="Times New Roman" w:eastAsia="Times New Roman" w:hAnsi="Times New Roman"/>
          <w:sz w:val="22"/>
          <w:szCs w:val="22"/>
        </w:rPr>
        <w:t xml:space="preserve">By:       ____________________________</w:t>
      </w:r>
    </w:p>
    <w:p>
      <w:pPr>
        <w:spacing w:after="120"/>
      </w:pPr>
    </w:p>
    <w:p>
      <w:pPr>
        <w:spacing w:after="60" w:before="60"/>
      </w:pPr>
      <w:r>
        <w:rPr>
          <w:rFonts w:ascii="Times New Roman" w:cs="Times New Roman" w:eastAsia="Times New Roman" w:hAnsi="Times New Roman"/>
          <w:sz w:val="22"/>
          <w:szCs w:val="22"/>
        </w:rPr>
        <w:t xml:space="preserve">Name:   ____________________________</w:t>
      </w:r>
    </w:p>
    <w:p>
      <w:pPr>
        <w:spacing w:after="120"/>
      </w:pPr>
    </w:p>
    <w:p>
      <w:pPr>
        <w:spacing w:after="60" w:before="60"/>
      </w:pPr>
      <w:r>
        <w:rPr>
          <w:rFonts w:ascii="Times New Roman" w:cs="Times New Roman" w:eastAsia="Times New Roman" w:hAnsi="Times New Roman"/>
          <w:sz w:val="22"/>
          <w:szCs w:val="22"/>
        </w:rPr>
        <w:t xml:space="preserve">Title:     ____________________________</w:t>
      </w:r>
    </w:p>
    <w:p>
      <w:pPr>
        <w:spacing w:after="120"/>
      </w:pPr>
    </w:p>
    <w:p>
      <w:pPr>
        <w:spacing w:after="120"/>
      </w:pPr>
    </w:p>
    <w:p>
      <w:pPr>
        <w:spacing w:after="120"/>
      </w:pPr>
    </w:p>
    <w:p>
      <w:pPr>
        <w:spacing w:after="60"/>
      </w:pPr>
      <w:r>
        <w:rPr>
          <w:rFonts w:ascii="Times New Roman" w:cs="Times New Roman" w:eastAsia="Times New Roman" w:hAnsi="Times New Roman"/>
          <w:b/>
          <w:bCs/>
          <w:sz w:val="22"/>
          <w:szCs w:val="22"/>
          <w:u w:val="single"/>
        </w:rPr>
        <w:t xml:space="preserve">HOLDERS:</w:t>
      </w:r>
    </w:p>
    <w:p>
      <w:pPr>
        <w:spacing w:after="120"/>
      </w:pPr>
    </w:p>
    <w:p>
      <w:pPr>
        <w:spacing w:after="60"/>
      </w:pPr>
      <w:r>
        <w:rPr>
          <w:rFonts w:ascii="Times New Roman" w:cs="Times New Roman" w:eastAsia="Times New Roman" w:hAnsi="Times New Roman"/>
          <w:b/>
          <w:bCs/>
          <w:sz w:val="22"/>
          <w:szCs w:val="22"/>
        </w:rPr>
        <w:t xml:space="preserve">[INITIAL HOLDER(S)]</w:t>
      </w:r>
    </w:p>
    <w:p>
      <w:pPr>
        <w:spacing w:after="120"/>
      </w:pPr>
    </w:p>
    <w:p>
      <w:pPr>
        <w:spacing w:after="120"/>
      </w:pPr>
    </w:p>
    <w:p>
      <w:pPr>
        <w:spacing w:after="60" w:before="60"/>
      </w:pPr>
      <w:r>
        <w:rPr>
          <w:rFonts w:ascii="Times New Roman" w:cs="Times New Roman" w:eastAsia="Times New Roman" w:hAnsi="Times New Roman"/>
          <w:sz w:val="22"/>
          <w:szCs w:val="22"/>
        </w:rPr>
        <w:t xml:space="preserve">By:       ____________________________</w:t>
      </w:r>
    </w:p>
    <w:p>
      <w:pPr>
        <w:spacing w:after="120"/>
      </w:pPr>
    </w:p>
    <w:p>
      <w:pPr>
        <w:spacing w:after="60" w:before="60"/>
      </w:pPr>
      <w:r>
        <w:rPr>
          <w:rFonts w:ascii="Times New Roman" w:cs="Times New Roman" w:eastAsia="Times New Roman" w:hAnsi="Times New Roman"/>
          <w:sz w:val="22"/>
          <w:szCs w:val="22"/>
        </w:rPr>
        <w:t xml:space="preserve">Name:   ____________________________</w:t>
      </w:r>
    </w:p>
    <w:p>
      <w:pPr>
        <w:spacing w:after="120"/>
      </w:pPr>
    </w:p>
    <w:p>
      <w:pPr>
        <w:spacing w:after="60" w:before="60"/>
      </w:pPr>
      <w:r>
        <w:rPr>
          <w:rFonts w:ascii="Times New Roman" w:cs="Times New Roman" w:eastAsia="Times New Roman" w:hAnsi="Times New Roman"/>
          <w:sz w:val="22"/>
          <w:szCs w:val="22"/>
        </w:rPr>
        <w:t xml:space="preserve">Title:     ____________________________</w:t>
      </w:r>
    </w:p>
    <w:p>
      <w:pPr>
        <w:spacing w:after="120"/>
      </w:pPr>
    </w:p>
    <w:p>
      <w:pPr>
        <w:spacing w:after="120"/>
      </w:pPr>
    </w:p>
    <w:p>
      <w:pPr>
        <w:spacing w:after="60"/>
      </w:pPr>
      <w:r>
        <w:rPr>
          <w:rFonts w:ascii="Times New Roman" w:cs="Times New Roman" w:eastAsia="Times New Roman" w:hAnsi="Times New Roman"/>
          <w:i/>
          <w:iCs/>
          <w:sz w:val="22"/>
          <w:szCs w:val="22"/>
        </w:rPr>
        <w:t xml:space="preserve">Address for Notices:</w:t>
      </w:r>
    </w:p>
    <w:p>
      <w:pPr>
        <w:spacing w:after="60" w:before="60"/>
      </w:pPr>
      <w:r>
        <w:rPr>
          <w:rFonts w:ascii="Times New Roman" w:cs="Times New Roman" w:eastAsia="Times New Roman" w:hAnsi="Times New Roman"/>
          <w:sz w:val="22"/>
          <w:szCs w:val="22"/>
        </w:rPr>
        <w:t xml:space="preserve">             ____________________________</w:t>
      </w:r>
    </w:p>
    <w:p>
      <w:pPr>
        <w:spacing w:after="60" w:before="60"/>
      </w:pPr>
      <w:r>
        <w:rPr>
          <w:rFonts w:ascii="Times New Roman" w:cs="Times New Roman" w:eastAsia="Times New Roman" w:hAnsi="Times New Roman"/>
          <w:sz w:val="22"/>
          <w:szCs w:val="22"/>
        </w:rPr>
        <w:t xml:space="preserve">             ____________________________</w:t>
      </w:r>
    </w:p>
    <w:p>
      <w:pPr>
        <w:spacing w:after="60" w:before="60"/>
      </w:pPr>
      <w:r>
        <w:rPr>
          <w:rFonts w:ascii="Times New Roman" w:cs="Times New Roman" w:eastAsia="Times New Roman" w:hAnsi="Times New Roman"/>
          <w:sz w:val="22"/>
          <w:szCs w:val="22"/>
        </w:rPr>
        <w:t xml:space="preserve">             ____________________________</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jc w:val="left"/>
    </w:pPr>
    <w:r>
      <w:rPr>
        <w:rFonts w:ascii="Times New Roman" w:cs="Times New Roman" w:eastAsia="Times New Roman" w:hAnsi="Times New Roman"/>
        <w:i/>
        <w:iCs/>
        <w:color w:val="888888"/>
        <w:sz w:val="16"/>
        <w:szCs w:val="16"/>
      </w:rPr>
      <w:t xml:space="preserve">Montague Law — Form Registration Rights Agreement</w:t>
    </w:r>
    <w:r>
      <w:rPr>
        <w:rFonts w:ascii="Times New Roman" w:cs="Times New Roman" w:eastAsia="Times New Roman" w:hAnsi="Times New Roman"/>
        <w:sz w:val="16"/>
        <w:szCs w:val="16"/>
      </w:rPr>
      <w:tab/>
    </w:r>
    <w:r>
      <w:rPr>
        <w:rFonts w:ascii="Times New Roman" w:cs="Times New Roman" w:eastAsia="Times New Roman" w:hAnsi="Times New Roman"/>
        <w:color w:val="888888"/>
        <w:sz w:val="16"/>
        <w:szCs w:val="16"/>
      </w:rPr>
      <w:t xml:space="preserve">Page </w:t>
    </w:r>
    <w:fldSimple w:instr="[object Object]"/>
    <w:r>
      <w:rPr>
        <w:rFonts w:ascii="Times New Roman" w:cs="Times New Roman" w:eastAsia="Times New Roman" w:hAnsi="Times New Roman"/>
        <w:color w:val="888888"/>
        <w:sz w:val="16"/>
        <w:szCs w:val="16"/>
      </w:rPr>
      <w:t xml:space="preserve"> of </w:t>
    </w:r>
    <w:fldSimple w:instr="[object Objec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2026-08-14T16:32:12.335Z</dcterms:created>
  <dcterms:modified xsi:type="dcterms:W3CDTF">2026-08-14T16:32:12.335Z</dcterms:modified>
</cp:coreProperties>
</file>

<file path=docProps/custom.xml><?xml version="1.0" encoding="utf-8"?>
<Properties xmlns="http://schemas.openxmlformats.org/officeDocument/2006/custom-properties" xmlns:vt="http://schemas.openxmlformats.org/officeDocument/2006/docPropsVTypes"/>
</file>