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2"/>
          <w:szCs w:val="32"/>
        </w:rPr>
        <w:t xml:space="preserve">COMMERCIAL REFERRAL FEE AGREEMENT</w:t>
      </w:r>
    </w:p>
    <w:p>
      <w:pPr>
        <w:spacing w:after="200"/>
        <w:jc w:val="center"/>
      </w:pPr>
      <w:r>
        <w:rPr>
          <w:rFonts w:ascii="Calibri" w:cs="Calibri" w:eastAsia="Calibri" w:hAnsi="Calibri"/>
          <w:i/>
          <w:iCs/>
          <w:color w:val="666666"/>
          <w:sz w:val="20"/>
          <w:szCs w:val="20"/>
        </w:rPr>
        <w:t xml:space="preserve">For Informational Purposes Only</w:t>
      </w:r>
    </w:p>
    <w:p>
      <w:pPr>
        <w:spacing w:after="160" w:line="276"/>
      </w:pPr>
      <w:r>
        <w:rPr>
          <w:rFonts w:ascii="Calibri" w:cs="Calibri" w:eastAsia="Calibri" w:hAnsi="Calibri"/>
          <w:sz w:val="22"/>
          <w:szCs w:val="22"/>
        </w:rPr>
        <w:t xml:space="preserve">This Commercial Referral Fee Agreement (the "Agreement") is entered into as of [DATE] (the "Effective Date"), by and between:</w:t>
      </w:r>
    </w:p>
    <w:p>
      <w:pPr>
        <w:spacing w:after="160" w:line="276"/>
      </w:pPr>
      <w:r>
        <w:rPr>
          <w:rFonts w:ascii="Calibri" w:cs="Calibri" w:eastAsia="Calibri" w:hAnsi="Calibri"/>
          <w:b/>
          <w:bCs/>
          <w:sz w:val="22"/>
          <w:szCs w:val="22"/>
        </w:rPr>
        <w:t xml:space="preserve">[PRINCIPAL] </w:t>
      </w:r>
      <w:r>
        <w:rPr>
          <w:rFonts w:ascii="Calibri" w:cs="Calibri" w:eastAsia="Calibri" w:hAnsi="Calibri"/>
          <w:sz w:val="22"/>
          <w:szCs w:val="22"/>
        </w:rPr>
        <w:t xml:space="preserve">("Principal"), a [STATE] [ENTITY TYPE] with its principal place of business at [ADDRESS]; and</w:t>
      </w:r>
    </w:p>
    <w:p>
      <w:pPr>
        <w:spacing w:after="160" w:line="276"/>
      </w:pPr>
      <w:r>
        <w:rPr>
          <w:rFonts w:ascii="Calibri" w:cs="Calibri" w:eastAsia="Calibri" w:hAnsi="Calibri"/>
          <w:b/>
          <w:bCs/>
          <w:sz w:val="22"/>
          <w:szCs w:val="22"/>
        </w:rPr>
        <w:t xml:space="preserve">[REFERRER] </w:t>
      </w:r>
      <w:r>
        <w:rPr>
          <w:rFonts w:ascii="Calibri" w:cs="Calibri" w:eastAsia="Calibri" w:hAnsi="Calibri"/>
          <w:sz w:val="22"/>
          <w:szCs w:val="22"/>
        </w:rPr>
        <w:t xml:space="preserve">("Referrer"), a [STATE] [ENTITY TYPE] with its principal place of business at [ADDRESS].</w:t>
      </w:r>
    </w:p>
    <w:p>
      <w:pPr>
        <w:spacing w:after="160" w:line="276"/>
      </w:pPr>
      <w:r>
        <w:rPr>
          <w:rFonts w:ascii="Calibri" w:cs="Calibri" w:eastAsia="Calibri" w:hAnsi="Calibri"/>
          <w:sz w:val="22"/>
          <w:szCs w:val="22"/>
        </w:rPr>
        <w:t xml:space="preserve">The parties agree as follows:</w:t>
      </w:r>
    </w:p>
    <w:p>
      <w:pPr>
        <w:pStyle w:val="Heading2"/>
        <w:spacing w:after="120" w:before="320"/>
      </w:pPr>
      <w:r>
        <w:rPr>
          <w:rFonts w:ascii="Calibri" w:cs="Calibri" w:eastAsia="Calibri" w:hAnsi="Calibri"/>
          <w:b/>
          <w:bCs/>
          <w:color w:val="1a1a2e"/>
          <w:sz w:val="24"/>
          <w:szCs w:val="24"/>
        </w:rPr>
        <w:t xml:space="preserve">1. LIMITED ENGAGEMENT; SCOPE OF AUTHORITY</w:t>
      </w:r>
    </w:p>
    <w:p>
      <w:pPr>
        <w:spacing w:after="160" w:line="276"/>
      </w:pPr>
      <w:r>
        <w:rPr>
          <w:rFonts w:ascii="Calibri" w:cs="Calibri" w:eastAsia="Calibri" w:hAnsi="Calibri"/>
          <w:sz w:val="22"/>
          <w:szCs w:val="22"/>
        </w:rPr>
        <w:t xml:space="preserve">Principal engages Referrer to identify and introduce prospective customers for the products and services described in Exhibit A (the "Covered Offerings"). The engagement is [nonexclusive / exclusive only as specified in Exhibit A].</w:t>
      </w:r>
    </w:p>
    <w:p>
      <w:pPr>
        <w:spacing w:after="160" w:line="276"/>
      </w:pPr>
      <w:r>
        <w:rPr>
          <w:rFonts w:ascii="Calibri" w:cs="Calibri" w:eastAsia="Calibri" w:hAnsi="Calibri"/>
          <w:sz w:val="22"/>
          <w:szCs w:val="22"/>
        </w:rPr>
        <w:t xml:space="preserve">Referrer has no authority to negotiate or quote final terms on Principal's behalf, collect funds, make warranties or representations regarding the Covered Offerings, sign contracts, or otherwise bind Principal. Principal retains sole and absolute discretion over whether and on what terms to pursue or contract with any prospect introduced by Referrer.</w:t>
      </w:r>
    </w:p>
    <w:p>
      <w:pPr>
        <w:spacing w:after="160" w:line="276"/>
      </w:pPr>
      <w:r>
        <w:rPr>
          <w:rFonts w:ascii="Calibri" w:cs="Calibri" w:eastAsia="Calibri" w:hAnsi="Calibri"/>
          <w:sz w:val="22"/>
          <w:szCs w:val="22"/>
        </w:rPr>
        <w:t xml:space="preserve">Nothing in this Agreement creates an employment, agency, partnership, franchise, or fiduciary relationship between the parties.</w:t>
      </w:r>
    </w:p>
    <w:p>
      <w:pPr>
        <w:pStyle w:val="Heading2"/>
        <w:spacing w:after="120" w:before="320"/>
      </w:pPr>
      <w:r>
        <w:rPr>
          <w:rFonts w:ascii="Calibri" w:cs="Calibri" w:eastAsia="Calibri" w:hAnsi="Calibri"/>
          <w:b/>
          <w:bCs/>
          <w:color w:val="1a1a2e"/>
          <w:sz w:val="24"/>
          <w:szCs w:val="24"/>
        </w:rPr>
        <w:t xml:space="preserve">2. QUALIFIED REFERRALS; REGISTRATION PROCESS</w:t>
      </w:r>
    </w:p>
    <w:p>
      <w:pPr>
        <w:spacing w:after="160" w:line="276"/>
      </w:pPr>
      <w:r>
        <w:rPr>
          <w:rFonts w:ascii="Calibri" w:cs="Calibri" w:eastAsia="Calibri" w:hAnsi="Calibri"/>
          <w:b/>
          <w:bCs/>
          <w:sz w:val="22"/>
          <w:szCs w:val="22"/>
        </w:rPr>
        <w:t xml:space="preserve">2.1 Definition. </w:t>
      </w:r>
      <w:r>
        <w:rPr>
          <w:rFonts w:ascii="Calibri" w:cs="Calibri" w:eastAsia="Calibri" w:hAnsi="Calibri"/>
          <w:sz w:val="22"/>
          <w:szCs w:val="22"/>
        </w:rPr>
        <w:t xml:space="preserve">A "Qualified Referral" means a prospective customer that: (a) Referrer submits through the registration process set forth in Exhibit B, including a documented introduction to a relevant contact at the prospect; (b) is not an Excluded Account, a current customer of Principal, or an active opportunity recorded in Principal's CRM system within the prior [PERIOD]; and (c) Principal accepts in writing within [10] Business Days of submission.</w:t>
      </w:r>
    </w:p>
    <w:p>
      <w:pPr>
        <w:spacing w:after="160" w:line="276"/>
      </w:pPr>
      <w:r>
        <w:rPr>
          <w:rFonts w:ascii="Calibri" w:cs="Calibri" w:eastAsia="Calibri" w:hAnsi="Calibri"/>
          <w:b/>
          <w:bCs/>
          <w:sz w:val="22"/>
          <w:szCs w:val="22"/>
        </w:rPr>
        <w:t xml:space="preserve">2.2 Duplicate Submissions. </w:t>
      </w:r>
      <w:r>
        <w:rPr>
          <w:rFonts w:ascii="Calibri" w:cs="Calibri" w:eastAsia="Calibri" w:hAnsi="Calibri"/>
          <w:sz w:val="22"/>
          <w:szCs w:val="22"/>
        </w:rPr>
        <w:t xml:space="preserve">If more than one referrer submits the same prospect, the referrer whose substantive, documented introduction was first accepted by Principal controls.</w:t>
      </w:r>
    </w:p>
    <w:p>
      <w:pPr>
        <w:spacing w:after="160" w:line="276"/>
      </w:pPr>
      <w:r>
        <w:rPr>
          <w:rFonts w:ascii="Calibri" w:cs="Calibri" w:eastAsia="Calibri" w:hAnsi="Calibri"/>
          <w:b/>
          <w:bCs/>
          <w:sz w:val="22"/>
          <w:szCs w:val="22"/>
        </w:rPr>
        <w:t xml:space="preserve">2.3 Protection Period. </w:t>
      </w:r>
      <w:r>
        <w:rPr>
          <w:rFonts w:ascii="Calibri" w:cs="Calibri" w:eastAsia="Calibri" w:hAnsi="Calibri"/>
          <w:sz w:val="22"/>
          <w:szCs w:val="22"/>
        </w:rPr>
        <w:t xml:space="preserve">An accepted Qualified Referral remains protected for [PERIOD] from the date of acceptance (the "Protection Period"). If no customer contract is executed during the Protection Period, the referral lapses and Principal has no further fee obligation with respect to that prospect.</w:t>
      </w:r>
    </w:p>
    <w:p>
      <w:pPr>
        <w:spacing w:after="160" w:line="276"/>
      </w:pPr>
      <w:r>
        <w:rPr>
          <w:rFonts w:ascii="Calibri" w:cs="Calibri" w:eastAsia="Calibri" w:hAnsi="Calibri"/>
          <w:b/>
          <w:bCs/>
          <w:sz w:val="22"/>
          <w:szCs w:val="22"/>
        </w:rPr>
        <w:t xml:space="preserve">2.4 Excluded Accounts. </w:t>
      </w:r>
      <w:r>
        <w:rPr>
          <w:rFonts w:ascii="Calibri" w:cs="Calibri" w:eastAsia="Calibri" w:hAnsi="Calibri"/>
          <w:sz w:val="22"/>
          <w:szCs w:val="22"/>
        </w:rPr>
        <w:t xml:space="preserve">Exhibit A identifies Excluded Accounts — accounts that are not eligible for referral fees regardless of Referrer's introduction. Principal may update the Excluded Account list on [30] days' written notice.</w:t>
      </w:r>
    </w:p>
    <w:p>
      <w:pPr>
        <w:pStyle w:val="Heading2"/>
        <w:spacing w:after="120" w:before="320"/>
      </w:pPr>
      <w:r>
        <w:rPr>
          <w:rFonts w:ascii="Calibri" w:cs="Calibri" w:eastAsia="Calibri" w:hAnsi="Calibri"/>
          <w:b/>
          <w:bCs/>
          <w:color w:val="1a1a2e"/>
          <w:sz w:val="24"/>
          <w:szCs w:val="24"/>
        </w:rPr>
        <w:t xml:space="preserve">3. REFERRAL FEES; PAYMENT MECHANICS</w:t>
      </w:r>
    </w:p>
    <w:p>
      <w:pPr>
        <w:spacing w:after="160" w:line="276"/>
      </w:pPr>
      <w:r>
        <w:rPr>
          <w:rFonts w:ascii="Calibri" w:cs="Calibri" w:eastAsia="Calibri" w:hAnsi="Calibri"/>
          <w:b/>
          <w:bCs/>
          <w:sz w:val="22"/>
          <w:szCs w:val="22"/>
        </w:rPr>
        <w:t xml:space="preserve">3.1 Fee Calculation. </w:t>
      </w:r>
      <w:r>
        <w:rPr>
          <w:rFonts w:ascii="Calibri" w:cs="Calibri" w:eastAsia="Calibri" w:hAnsi="Calibri"/>
          <w:sz w:val="22"/>
          <w:szCs w:val="22"/>
        </w:rPr>
        <w:t xml:space="preserve">Principal shall pay Referrer [PERCENT]% of Net Collected Revenue from the first customer contract entered into with a Qualified Referral during the Protection Period.</w:t>
      </w:r>
    </w:p>
    <w:p>
      <w:pPr>
        <w:spacing w:after="160" w:line="276"/>
      </w:pPr>
      <w:r>
        <w:rPr>
          <w:rFonts w:ascii="Calibri" w:cs="Calibri" w:eastAsia="Calibri" w:hAnsi="Calibri"/>
          <w:b/>
          <w:bCs/>
          <w:sz w:val="22"/>
          <w:szCs w:val="22"/>
        </w:rPr>
        <w:t xml:space="preserve">3.2 Net Collected Revenue. </w:t>
      </w:r>
      <w:r>
        <w:rPr>
          <w:rFonts w:ascii="Calibri" w:cs="Calibri" w:eastAsia="Calibri" w:hAnsi="Calibri"/>
          <w:sz w:val="22"/>
          <w:szCs w:val="22"/>
        </w:rPr>
        <w:t xml:space="preserve">"Net Collected Revenue" means gross amounts actually received by Principal from the customer, less: (a) applicable taxes, duties, and government-imposed charges; (b) refunds and credits issued to the customer; (c) chargebacks and payment-processor reversals; (d) bad debt written off in accordance with Principal's standard accounting policies; (e) pass-through expenses and third-party costs; and (f) discounts, rebates, or promotional credits applied to the customer's account.</w:t>
      </w:r>
    </w:p>
    <w:p>
      <w:pPr>
        <w:spacing w:after="160" w:line="276"/>
      </w:pPr>
      <w:r>
        <w:rPr>
          <w:rFonts w:ascii="Calibri" w:cs="Calibri" w:eastAsia="Calibri" w:hAnsi="Calibri"/>
          <w:b/>
          <w:bCs/>
          <w:sz w:val="22"/>
          <w:szCs w:val="22"/>
        </w:rPr>
        <w:t xml:space="preserve">3.3 Renewals and Expansion. </w:t>
      </w:r>
      <w:r>
        <w:rPr>
          <w:rFonts w:ascii="Calibri" w:cs="Calibri" w:eastAsia="Calibri" w:hAnsi="Calibri"/>
          <w:sz w:val="22"/>
          <w:szCs w:val="22"/>
        </w:rPr>
        <w:t xml:space="preserve">[Renewal, upsell, cross-sell, and affiliate purchase fees are included only as expressly stated in Exhibit A. If Exhibit A is silent, no fee applies to revenue beyond the initial customer contract.]</w:t>
      </w:r>
    </w:p>
    <w:p>
      <w:pPr>
        <w:spacing w:after="160" w:line="276"/>
      </w:pPr>
      <w:r>
        <w:rPr>
          <w:rFonts w:ascii="Calibri" w:cs="Calibri" w:eastAsia="Calibri" w:hAnsi="Calibri"/>
          <w:b/>
          <w:bCs/>
          <w:sz w:val="22"/>
          <w:szCs w:val="22"/>
        </w:rPr>
        <w:t xml:space="preserve">3.4 Earning and Payment. </w:t>
      </w:r>
      <w:r>
        <w:rPr>
          <w:rFonts w:ascii="Calibri" w:cs="Calibri" w:eastAsia="Calibri" w:hAnsi="Calibri"/>
          <w:sz w:val="22"/>
          <w:szCs w:val="22"/>
        </w:rPr>
        <w:t xml:space="preserve">Fees are earned only when Principal receives nonrefundable cash from the customer. Principal shall pay earned fees within [30] days after the end of the calendar month in which the cash is received, together with a written statement showing the customer, invoice amount, deductions, and net fee.</w:t>
      </w:r>
    </w:p>
    <w:p>
      <w:pPr>
        <w:spacing w:after="160" w:line="276"/>
      </w:pPr>
      <w:r>
        <w:rPr>
          <w:rFonts w:ascii="Calibri" w:cs="Calibri" w:eastAsia="Calibri" w:hAnsi="Calibri"/>
          <w:b/>
          <w:bCs/>
          <w:sz w:val="22"/>
          <w:szCs w:val="22"/>
        </w:rPr>
        <w:t xml:space="preserve">3.5 Refund Clawback. </w:t>
      </w:r>
      <w:r>
        <w:rPr>
          <w:rFonts w:ascii="Calibri" w:cs="Calibri" w:eastAsia="Calibri" w:hAnsi="Calibri"/>
          <w:sz w:val="22"/>
          <w:szCs w:val="22"/>
        </w:rPr>
        <w:t xml:space="preserve">If revenue on which a fee was paid is subsequently refunded, reversed, or written off, Referrer shall repay the corresponding fee within [30] days of notice, or Principal may offset the amount against future fees.</w:t>
      </w:r>
    </w:p>
    <w:p>
      <w:pPr>
        <w:spacing w:after="160" w:line="276"/>
      </w:pPr>
      <w:r>
        <w:rPr>
          <w:rFonts w:ascii="Calibri" w:cs="Calibri" w:eastAsia="Calibri" w:hAnsi="Calibri"/>
          <w:b/>
          <w:bCs/>
          <w:sz w:val="22"/>
          <w:szCs w:val="22"/>
        </w:rPr>
        <w:t xml:space="preserve">3.6 Disputes and Audit. </w:t>
      </w:r>
      <w:r>
        <w:rPr>
          <w:rFonts w:ascii="Calibri" w:cs="Calibri" w:eastAsia="Calibri" w:hAnsi="Calibri"/>
          <w:sz w:val="22"/>
          <w:szCs w:val="22"/>
        </w:rPr>
        <w:t xml:space="preserve">Referrer must dispute any statement in writing within [60] days of receipt; undisputed amounts are deemed accepted. Once annually, on at least [15] days' prior written notice, Referrer may engage an independent certified public accountant (at Referrer's expense) to inspect Principal's books and records solely to the extent reasonably necessary to verify fee calculations. If the audit reveals an underpayment exceeding [5]%, Principal shall reimburse Referrer's reasonable audit costs.</w:t>
      </w:r>
    </w:p>
    <w:p>
      <w:pPr>
        <w:pStyle w:val="Heading2"/>
        <w:spacing w:after="120" w:before="320"/>
      </w:pPr>
      <w:r>
        <w:rPr>
          <w:rFonts w:ascii="Calibri" w:cs="Calibri" w:eastAsia="Calibri" w:hAnsi="Calibri"/>
          <w:b/>
          <w:bCs/>
          <w:color w:val="1a1a2e"/>
          <w:sz w:val="24"/>
          <w:szCs w:val="24"/>
        </w:rPr>
        <w:t xml:space="preserve">4. CONDUCT AND COMPLIANCE OBLIGATIONS</w:t>
      </w:r>
    </w:p>
    <w:p>
      <w:pPr>
        <w:spacing w:after="160" w:line="276"/>
      </w:pPr>
      <w:r>
        <w:rPr>
          <w:rFonts w:ascii="Calibri" w:cs="Calibri" w:eastAsia="Calibri" w:hAnsi="Calibri"/>
          <w:b/>
          <w:bCs/>
          <w:sz w:val="22"/>
          <w:szCs w:val="22"/>
        </w:rPr>
        <w:t xml:space="preserve">4.1 Approved Materials. </w:t>
      </w:r>
      <w:r>
        <w:rPr>
          <w:rFonts w:ascii="Calibri" w:cs="Calibri" w:eastAsia="Calibri" w:hAnsi="Calibri"/>
          <w:sz w:val="22"/>
          <w:szCs w:val="22"/>
        </w:rPr>
        <w:t xml:space="preserve">Referrer shall use only marketing materials, descriptions, and claims approved in writing by Principal. Referrer shall not make any misleading, inaccurate, or unauthorized representation regarding the Covered Offerings, Principal, or Principal's customers.</w:t>
      </w:r>
    </w:p>
    <w:p>
      <w:pPr>
        <w:spacing w:after="160" w:line="276"/>
      </w:pPr>
      <w:r>
        <w:rPr>
          <w:rFonts w:ascii="Calibri" w:cs="Calibri" w:eastAsia="Calibri" w:hAnsi="Calibri"/>
          <w:b/>
          <w:bCs/>
          <w:sz w:val="22"/>
          <w:szCs w:val="22"/>
        </w:rPr>
        <w:t xml:space="preserve">4.2 Legal Compliance. </w:t>
      </w:r>
      <w:r>
        <w:rPr>
          <w:rFonts w:ascii="Calibri" w:cs="Calibri" w:eastAsia="Calibri" w:hAnsi="Calibri"/>
          <w:sz w:val="22"/>
          <w:szCs w:val="22"/>
        </w:rPr>
        <w:t xml:space="preserve">Referrer shall comply with all applicable laws, including anti-bribery and anti-corruption statutes (including the Foreign Corrupt Practices Act and UK Bribery Act, as applicable), trade sanctions and export controls, privacy and data-protection regulations, telemarketing and electronic-communications laws, and industry-specific licensing requirements.</w:t>
      </w:r>
    </w:p>
    <w:p>
      <w:pPr>
        <w:spacing w:after="160" w:line="276"/>
      </w:pPr>
      <w:r>
        <w:rPr>
          <w:rFonts w:ascii="Calibri" w:cs="Calibri" w:eastAsia="Calibri" w:hAnsi="Calibri"/>
          <w:b/>
          <w:bCs/>
          <w:sz w:val="22"/>
          <w:szCs w:val="22"/>
        </w:rPr>
        <w:t xml:space="preserve">4.3 Prohibited Conduct. </w:t>
      </w:r>
      <w:r>
        <w:rPr>
          <w:rFonts w:ascii="Calibri" w:cs="Calibri" w:eastAsia="Calibri" w:hAnsi="Calibri"/>
          <w:sz w:val="22"/>
          <w:szCs w:val="22"/>
        </w:rPr>
        <w:t xml:space="preserve">Without limiting Section 4.2, Referrer shall not: (a) offer or provide undisclosed incentives, gifts, or payments to any prospect's employee or agent; (b) engage in spam, unsolicited bulk communications, or deceptive marketing practices; (c) subcontract or delegate referral activities without Principal's prior written consent; or (d) knowingly introduce a prospect that Referrer knows or reasonably suspects is engaged in unlawful activity.</w:t>
      </w:r>
    </w:p>
    <w:p>
      <w:pPr>
        <w:spacing w:after="160" w:line="276"/>
      </w:pPr>
      <w:r>
        <w:rPr>
          <w:rFonts w:ascii="Calibri" w:cs="Calibri" w:eastAsia="Calibri" w:hAnsi="Calibri"/>
          <w:b/>
          <w:bCs/>
          <w:sz w:val="22"/>
          <w:szCs w:val="22"/>
        </w:rPr>
        <w:t xml:space="preserve">4.4 Reporting. </w:t>
      </w:r>
      <w:r>
        <w:rPr>
          <w:rFonts w:ascii="Calibri" w:cs="Calibri" w:eastAsia="Calibri" w:hAnsi="Calibri"/>
          <w:sz w:val="22"/>
          <w:szCs w:val="22"/>
        </w:rPr>
        <w:t xml:space="preserve">Referrer shall promptly report to Principal any conflict of interest, customer complaint, suspected unlawful conduct, or regulatory inquiry related to activities under this Agreement.</w:t>
      </w:r>
    </w:p>
    <w:p>
      <w:pPr>
        <w:spacing w:after="160" w:line="276"/>
      </w:pPr>
      <w:r>
        <w:rPr>
          <w:rFonts w:ascii="Calibri" w:cs="Calibri" w:eastAsia="Calibri" w:hAnsi="Calibri"/>
          <w:b/>
          <w:bCs/>
          <w:sz w:val="22"/>
          <w:szCs w:val="22"/>
        </w:rPr>
        <w:t xml:space="preserve">4.5 Records. </w:t>
      </w:r>
      <w:r>
        <w:rPr>
          <w:rFonts w:ascii="Calibri" w:cs="Calibri" w:eastAsia="Calibri" w:hAnsi="Calibri"/>
          <w:sz w:val="22"/>
          <w:szCs w:val="22"/>
        </w:rPr>
        <w:t xml:space="preserve">Referrer shall maintain accurate records of all referral activities, communications, and compliance efforts for [3] years following the termination of this Agreement or such longer period as applicable law requires.</w:t>
      </w:r>
    </w:p>
    <w:p>
      <w:pPr>
        <w:pStyle w:val="Heading2"/>
        <w:spacing w:after="120" w:before="320"/>
      </w:pPr>
      <w:r>
        <w:rPr>
          <w:rFonts w:ascii="Calibri" w:cs="Calibri" w:eastAsia="Calibri" w:hAnsi="Calibri"/>
          <w:b/>
          <w:bCs/>
          <w:color w:val="1a1a2e"/>
          <w:sz w:val="24"/>
          <w:szCs w:val="24"/>
        </w:rPr>
        <w:t xml:space="preserve">5. CONFIDENTIALITY; MARKS; PUBLICITY</w:t>
      </w:r>
    </w:p>
    <w:p>
      <w:pPr>
        <w:spacing w:after="160" w:line="276"/>
      </w:pPr>
      <w:r>
        <w:rPr>
          <w:rFonts w:ascii="Calibri" w:cs="Calibri" w:eastAsia="Calibri" w:hAnsi="Calibri"/>
          <w:b/>
          <w:bCs/>
          <w:sz w:val="22"/>
          <w:szCs w:val="22"/>
        </w:rPr>
        <w:t xml:space="preserve">5.1 Confidentiality. </w:t>
      </w:r>
      <w:r>
        <w:rPr>
          <w:rFonts w:ascii="Calibri" w:cs="Calibri" w:eastAsia="Calibri" w:hAnsi="Calibri"/>
          <w:sz w:val="22"/>
          <w:szCs w:val="22"/>
        </w:rPr>
        <w:t xml:space="preserve">Each party (the "Receiving Party") shall use the other party's (the "Disclosing Party's") confidential information solely to perform its obligations under this Agreement and shall protect it with the same degree of care it uses for its own confidential information, but no less than reasonable care. Confidential information excludes information that: (a) is or becomes publicly available through no fault of the Receiving Party; (b) was rightfully known to the Receiving Party before disclosure; (c) is rightfully received from a third party without restriction; or (d) is independently developed without use of the Disclosing Party's information.</w:t>
      </w:r>
    </w:p>
    <w:p>
      <w:pPr>
        <w:spacing w:after="160" w:line="276"/>
      </w:pPr>
      <w:r>
        <w:rPr>
          <w:rFonts w:ascii="Calibri" w:cs="Calibri" w:eastAsia="Calibri" w:hAnsi="Calibri"/>
          <w:b/>
          <w:bCs/>
          <w:sz w:val="22"/>
          <w:szCs w:val="22"/>
        </w:rPr>
        <w:t xml:space="preserve">5.2 Compelled Disclosure. </w:t>
      </w:r>
      <w:r>
        <w:rPr>
          <w:rFonts w:ascii="Calibri" w:cs="Calibri" w:eastAsia="Calibri" w:hAnsi="Calibri"/>
          <w:sz w:val="22"/>
          <w:szCs w:val="22"/>
        </w:rPr>
        <w:t xml:space="preserve">A Receiving Party may disclose confidential information to the extent required by law, regulation, or legal process, provided it gives prompt notice (where legally permitted) and cooperates with the Disclosing Party's efforts to obtain protective treatment.</w:t>
      </w:r>
    </w:p>
    <w:p>
      <w:pPr>
        <w:spacing w:after="160" w:line="276"/>
      </w:pPr>
      <w:r>
        <w:rPr>
          <w:rFonts w:ascii="Calibri" w:cs="Calibri" w:eastAsia="Calibri" w:hAnsi="Calibri"/>
          <w:b/>
          <w:bCs/>
          <w:sz w:val="22"/>
          <w:szCs w:val="22"/>
        </w:rPr>
        <w:t xml:space="preserve">5.3 Trademark License. </w:t>
      </w:r>
      <w:r>
        <w:rPr>
          <w:rFonts w:ascii="Calibri" w:cs="Calibri" w:eastAsia="Calibri" w:hAnsi="Calibri"/>
          <w:sz w:val="22"/>
          <w:szCs w:val="22"/>
        </w:rPr>
        <w:t xml:space="preserve">Principal grants Referrer a limited, nonexclusive, revocable license to use Principal's approved trademarks and logos solely in connection with authorized referral activities and in compliance with Principal's brand guidelines. All goodwill arising from such use inures to Principal's benefit.</w:t>
      </w:r>
    </w:p>
    <w:p>
      <w:pPr>
        <w:spacing w:after="160" w:line="276"/>
      </w:pPr>
      <w:r>
        <w:rPr>
          <w:rFonts w:ascii="Calibri" w:cs="Calibri" w:eastAsia="Calibri" w:hAnsi="Calibri"/>
          <w:b/>
          <w:bCs/>
          <w:sz w:val="22"/>
          <w:szCs w:val="22"/>
        </w:rPr>
        <w:t xml:space="preserve">5.4 Publicity. </w:t>
      </w:r>
      <w:r>
        <w:rPr>
          <w:rFonts w:ascii="Calibri" w:cs="Calibri" w:eastAsia="Calibri" w:hAnsi="Calibri"/>
          <w:sz w:val="22"/>
          <w:szCs w:val="22"/>
        </w:rPr>
        <w:t xml:space="preserve">Neither party shall issue public statements, press releases, testimonials, or case studies referencing the other party or this Agreement without prior written approval.</w:t>
      </w:r>
    </w:p>
    <w:p>
      <w:pPr>
        <w:pStyle w:val="Heading2"/>
        <w:spacing w:after="120" w:before="320"/>
      </w:pPr>
      <w:r>
        <w:rPr>
          <w:rFonts w:ascii="Calibri" w:cs="Calibri" w:eastAsia="Calibri" w:hAnsi="Calibri"/>
          <w:b/>
          <w:bCs/>
          <w:color w:val="1a1a2e"/>
          <w:sz w:val="24"/>
          <w:szCs w:val="24"/>
        </w:rPr>
        <w:t xml:space="preserve">6. INDEPENDENT CONTRACTOR STATUS</w:t>
      </w:r>
    </w:p>
    <w:p>
      <w:pPr>
        <w:spacing w:after="160" w:line="276"/>
      </w:pPr>
      <w:r>
        <w:rPr>
          <w:rFonts w:ascii="Calibri" w:cs="Calibri" w:eastAsia="Calibri" w:hAnsi="Calibri"/>
          <w:sz w:val="22"/>
          <w:szCs w:val="22"/>
        </w:rPr>
        <w:t xml:space="preserve">Referrer is an independent contractor. Referrer is solely responsible for its personnel, workspace, equipment, expenses, tax obligations, permits, and insurance. Nothing in this Agreement entitles Referrer or its personnel to any employment benefits, workers' compensation, or any other benefits afforded to employees of Principal.</w:t>
      </w:r>
    </w:p>
    <w:p>
      <w:pPr>
        <w:pStyle w:val="Heading2"/>
        <w:spacing w:after="120" w:before="320"/>
      </w:pPr>
      <w:r>
        <w:rPr>
          <w:rFonts w:ascii="Calibri" w:cs="Calibri" w:eastAsia="Calibri" w:hAnsi="Calibri"/>
          <w:b/>
          <w:bCs/>
          <w:color w:val="1a1a2e"/>
          <w:sz w:val="24"/>
          <w:szCs w:val="24"/>
        </w:rPr>
        <w:t xml:space="preserve">7. TERM AND TERMINATION</w:t>
      </w:r>
    </w:p>
    <w:p>
      <w:pPr>
        <w:spacing w:after="160" w:line="276"/>
      </w:pPr>
      <w:r>
        <w:rPr>
          <w:rFonts w:ascii="Calibri" w:cs="Calibri" w:eastAsia="Calibri" w:hAnsi="Calibri"/>
          <w:b/>
          <w:bCs/>
          <w:sz w:val="22"/>
          <w:szCs w:val="22"/>
        </w:rPr>
        <w:t xml:space="preserve">7.1 Term. </w:t>
      </w:r>
      <w:r>
        <w:rPr>
          <w:rFonts w:ascii="Calibri" w:cs="Calibri" w:eastAsia="Calibri" w:hAnsi="Calibri"/>
          <w:sz w:val="22"/>
          <w:szCs w:val="22"/>
        </w:rPr>
        <w:t xml:space="preserve">This Agreement commences on the Effective Date and continues for [TERM] unless earlier terminated (the "Term"). [The Agreement automatically renews for successive [PERIOD] periods unless either party provides [30] days' written notice of non-renewal before the end of the then-current period.]</w:t>
      </w:r>
    </w:p>
    <w:p>
      <w:pPr>
        <w:spacing w:after="160" w:line="276"/>
      </w:pPr>
      <w:r>
        <w:rPr>
          <w:rFonts w:ascii="Calibri" w:cs="Calibri" w:eastAsia="Calibri" w:hAnsi="Calibri"/>
          <w:b/>
          <w:bCs/>
          <w:sz w:val="22"/>
          <w:szCs w:val="22"/>
        </w:rPr>
        <w:t xml:space="preserve">7.2 Termination for Convenience. </w:t>
      </w:r>
      <w:r>
        <w:rPr>
          <w:rFonts w:ascii="Calibri" w:cs="Calibri" w:eastAsia="Calibri" w:hAnsi="Calibri"/>
          <w:sz w:val="22"/>
          <w:szCs w:val="22"/>
        </w:rPr>
        <w:t xml:space="preserve">Either party may terminate this Agreement on [15] days' prior written notice.</w:t>
      </w:r>
    </w:p>
    <w:p>
      <w:pPr>
        <w:spacing w:after="160" w:line="276"/>
      </w:pPr>
      <w:r>
        <w:rPr>
          <w:rFonts w:ascii="Calibri" w:cs="Calibri" w:eastAsia="Calibri" w:hAnsi="Calibri"/>
          <w:b/>
          <w:bCs/>
          <w:sz w:val="22"/>
          <w:szCs w:val="22"/>
        </w:rPr>
        <w:t xml:space="preserve">7.3 Termination for Cause. </w:t>
      </w:r>
      <w:r>
        <w:rPr>
          <w:rFonts w:ascii="Calibri" w:cs="Calibri" w:eastAsia="Calibri" w:hAnsi="Calibri"/>
          <w:sz w:val="22"/>
          <w:szCs w:val="22"/>
        </w:rPr>
        <w:t xml:space="preserve">Either party may terminate this Agreement immediately upon written notice if the other party: (a) commits a material breach of applicable anti-bribery, sanctions, or anti-corruption law; (b) materially breaches the confidentiality obligations of Section 5; (c) engages in fraud, willful misconduct, or conduct that causes material reputational harm to the other party; or (d) becomes subject to insolvency proceedings.</w:t>
      </w:r>
    </w:p>
    <w:p>
      <w:pPr>
        <w:spacing w:after="160" w:line="276"/>
      </w:pPr>
      <w:r>
        <w:rPr>
          <w:rFonts w:ascii="Calibri" w:cs="Calibri" w:eastAsia="Calibri" w:hAnsi="Calibri"/>
          <w:b/>
          <w:bCs/>
          <w:sz w:val="22"/>
          <w:szCs w:val="22"/>
        </w:rPr>
        <w:t xml:space="preserve">7.4 Tail Period. </w:t>
      </w:r>
      <w:r>
        <w:rPr>
          <w:rFonts w:ascii="Calibri" w:cs="Calibri" w:eastAsia="Calibri" w:hAnsi="Calibri"/>
          <w:sz w:val="22"/>
          <w:szCs w:val="22"/>
        </w:rPr>
        <w:t xml:space="preserve">Following termination (other than termination under Section 7.3 for Referrer's fraud or unlawful conduct), Referrer shall continue to earn fees on Qualified Referrals accepted before the termination date, provided a customer contract is executed within the Protection Period (the "Tail Period"). No new referrals may be submitted after the termination date.</w:t>
      </w:r>
    </w:p>
    <w:p>
      <w:pPr>
        <w:spacing w:after="160" w:line="276"/>
      </w:pPr>
      <w:r>
        <w:rPr>
          <w:rFonts w:ascii="Calibri" w:cs="Calibri" w:eastAsia="Calibri" w:hAnsi="Calibri"/>
          <w:b/>
          <w:bCs/>
          <w:sz w:val="22"/>
          <w:szCs w:val="22"/>
        </w:rPr>
        <w:t xml:space="preserve">7.5 Survival. </w:t>
      </w:r>
      <w:r>
        <w:rPr>
          <w:rFonts w:ascii="Calibri" w:cs="Calibri" w:eastAsia="Calibri" w:hAnsi="Calibri"/>
          <w:sz w:val="22"/>
          <w:szCs w:val="22"/>
        </w:rPr>
        <w:t xml:space="preserve">Accrued payment obligations, confidentiality, audit rights, indemnification, limitation of liability, and general provisions survive termination.</w:t>
      </w:r>
    </w:p>
    <w:p>
      <w:pPr>
        <w:pStyle w:val="Heading2"/>
        <w:spacing w:after="120" w:before="320"/>
      </w:pPr>
      <w:r>
        <w:rPr>
          <w:rFonts w:ascii="Calibri" w:cs="Calibri" w:eastAsia="Calibri" w:hAnsi="Calibri"/>
          <w:b/>
          <w:bCs/>
          <w:color w:val="1a1a2e"/>
          <w:sz w:val="24"/>
          <w:szCs w:val="24"/>
        </w:rPr>
        <w:t xml:space="preserve">8. INDEMNIFICATION AND LIMITATION OF LIABILITY</w:t>
      </w:r>
    </w:p>
    <w:p>
      <w:pPr>
        <w:spacing w:after="160" w:line="276"/>
      </w:pPr>
      <w:r>
        <w:rPr>
          <w:rFonts w:ascii="Calibri" w:cs="Calibri" w:eastAsia="Calibri" w:hAnsi="Calibri"/>
          <w:b/>
          <w:bCs/>
          <w:sz w:val="22"/>
          <w:szCs w:val="22"/>
        </w:rPr>
        <w:t xml:space="preserve">8.1 Mutual Indemnification. </w:t>
      </w:r>
      <w:r>
        <w:rPr>
          <w:rFonts w:ascii="Calibri" w:cs="Calibri" w:eastAsia="Calibri" w:hAnsi="Calibri"/>
          <w:sz w:val="22"/>
          <w:szCs w:val="22"/>
        </w:rPr>
        <w:t xml:space="preserve">Each party (the "Indemnifying Party") shall defend, indemnify, and hold harmless the other party and its officers, directors, and employees from and against third-party claims, damages, and reasonable expenses arising from: (a) the Indemnifying Party's breach of this Agreement; (b) the Indemnifying Party's unlawful conduct; or (c) unauthorized statements or representations made by the Indemnifying Party.</w:t>
      </w:r>
    </w:p>
    <w:p>
      <w:pPr>
        <w:spacing w:after="160" w:line="276"/>
      </w:pPr>
      <w:r>
        <w:rPr>
          <w:rFonts w:ascii="Calibri" w:cs="Calibri" w:eastAsia="Calibri" w:hAnsi="Calibri"/>
          <w:b/>
          <w:bCs/>
          <w:sz w:val="22"/>
          <w:szCs w:val="22"/>
        </w:rPr>
        <w:t xml:space="preserve">8.2 Exclusion of Indirect Damages. </w:t>
      </w:r>
      <w:r>
        <w:rPr>
          <w:rFonts w:ascii="Calibri" w:cs="Calibri" w:eastAsia="Calibri" w:hAnsi="Calibri"/>
          <w:sz w:val="22"/>
          <w:szCs w:val="22"/>
        </w:rPr>
        <w:t xml:space="preserve">EXCEPT FOR BREACHES OF SECTION 5 (CONFIDENTIALITY) OR INDEMNIFICATION OBLIGATIONS, NEITHER PARTY SHALL BE LIABLE FOR INDIRECT, INCIDENTAL, CONSEQUENTIAL, SPECIAL, OR PUNITIVE DAMAGES, HOWEVER CAUSED, EVEN IF ADVISED OF THE POSSIBILITY OF SUCH DAMAGES.</w:t>
      </w:r>
    </w:p>
    <w:p>
      <w:pPr>
        <w:spacing w:after="160" w:line="276"/>
      </w:pPr>
      <w:r>
        <w:rPr>
          <w:rFonts w:ascii="Calibri" w:cs="Calibri" w:eastAsia="Calibri" w:hAnsi="Calibri"/>
          <w:b/>
          <w:bCs/>
          <w:sz w:val="22"/>
          <w:szCs w:val="22"/>
        </w:rPr>
        <w:t xml:space="preserve">8.3 Aggregate Cap. </w:t>
      </w:r>
      <w:r>
        <w:rPr>
          <w:rFonts w:ascii="Calibri" w:cs="Calibri" w:eastAsia="Calibri" w:hAnsi="Calibri"/>
          <w:sz w:val="22"/>
          <w:szCs w:val="22"/>
        </w:rPr>
        <w:t xml:space="preserve">EACH PARTY'S TOTAL AGGREGATE LIABILITY UNDER THIS AGREEMENT SHALL NOT EXCEED THE TOTAL FEES PAID OR PAYABLE UNDER THIS AGREEMENT DURING THE [12]-MONTH PERIOD PRECEDING THE EVENT GIVING RISE TO LIABILITY, EXCEPT FOR BREACHES OF CONFIDENTIALITY, FRAUD, OR WILLFUL MISCONDUCT.</w:t>
      </w:r>
    </w:p>
    <w:p>
      <w:pPr>
        <w:pStyle w:val="Heading2"/>
        <w:spacing w:after="120" w:before="320"/>
      </w:pPr>
      <w:r>
        <w:rPr>
          <w:rFonts w:ascii="Calibri" w:cs="Calibri" w:eastAsia="Calibri" w:hAnsi="Calibri"/>
          <w:b/>
          <w:bCs/>
          <w:color w:val="1a1a2e"/>
          <w:sz w:val="24"/>
          <w:szCs w:val="24"/>
        </w:rPr>
        <w:t xml:space="preserve">9. GENERAL PROVISIONS</w:t>
      </w:r>
    </w:p>
    <w:p>
      <w:pPr>
        <w:spacing w:after="160" w:line="276"/>
      </w:pPr>
      <w:r>
        <w:rPr>
          <w:rFonts w:ascii="Calibri" w:cs="Calibri" w:eastAsia="Calibri" w:hAnsi="Calibri"/>
          <w:b/>
          <w:bCs/>
          <w:sz w:val="22"/>
          <w:szCs w:val="22"/>
        </w:rPr>
        <w:t xml:space="preserve">9.1 Assignment. </w:t>
      </w:r>
      <w:r>
        <w:rPr>
          <w:rFonts w:ascii="Calibri" w:cs="Calibri" w:eastAsia="Calibri" w:hAnsi="Calibri"/>
          <w:sz w:val="22"/>
          <w:szCs w:val="22"/>
        </w:rPr>
        <w:t xml:space="preserve">Neither party may assign this Agreement without the other's prior written consent, except that Principal may assign this Agreement in connection with a merger, acquisition, or sale of all or substantially all of its assets.</w:t>
      </w:r>
    </w:p>
    <w:p>
      <w:pPr>
        <w:spacing w:after="160" w:line="276"/>
      </w:pPr>
      <w:r>
        <w:rPr>
          <w:rFonts w:ascii="Calibri" w:cs="Calibri" w:eastAsia="Calibri" w:hAnsi="Calibri"/>
          <w:b/>
          <w:bCs/>
          <w:sz w:val="22"/>
          <w:szCs w:val="22"/>
        </w:rPr>
        <w:t xml:space="preserve">9.2 Notices. </w:t>
      </w:r>
      <w:r>
        <w:rPr>
          <w:rFonts w:ascii="Calibri" w:cs="Calibri" w:eastAsia="Calibri" w:hAnsi="Calibri"/>
          <w:sz w:val="22"/>
          <w:szCs w:val="22"/>
        </w:rPr>
        <w:t xml:space="preserve">All notices under this Agreement shall be in writing and delivered to the addresses set forth on the signature page, by personal delivery, nationally recognized overnight courier, or email to a designated address with confirmation of receipt.</w:t>
      </w:r>
    </w:p>
    <w:p>
      <w:pPr>
        <w:spacing w:after="160" w:line="276"/>
      </w:pPr>
      <w:r>
        <w:rPr>
          <w:rFonts w:ascii="Calibri" w:cs="Calibri" w:eastAsia="Calibri" w:hAnsi="Calibri"/>
          <w:b/>
          <w:bCs/>
          <w:sz w:val="22"/>
          <w:szCs w:val="22"/>
        </w:rPr>
        <w:t xml:space="preserve">9.3 Entire Agreement. </w:t>
      </w:r>
      <w:r>
        <w:rPr>
          <w:rFonts w:ascii="Calibri" w:cs="Calibri" w:eastAsia="Calibri" w:hAnsi="Calibri"/>
          <w:sz w:val="22"/>
          <w:szCs w:val="22"/>
        </w:rPr>
        <w:t xml:space="preserve">This Agreement, together with its Exhibits, constitutes the entire agreement between the parties concerning its subject matter and supersedes all prior negotiations, representations, and agreements.</w:t>
      </w:r>
    </w:p>
    <w:p>
      <w:pPr>
        <w:spacing w:after="160" w:line="276"/>
      </w:pPr>
      <w:r>
        <w:rPr>
          <w:rFonts w:ascii="Calibri" w:cs="Calibri" w:eastAsia="Calibri" w:hAnsi="Calibri"/>
          <w:b/>
          <w:bCs/>
          <w:sz w:val="22"/>
          <w:szCs w:val="22"/>
        </w:rPr>
        <w:t xml:space="preserve">9.4 Amendment. </w:t>
      </w:r>
      <w:r>
        <w:rPr>
          <w:rFonts w:ascii="Calibri" w:cs="Calibri" w:eastAsia="Calibri" w:hAnsi="Calibri"/>
          <w:sz w:val="22"/>
          <w:szCs w:val="22"/>
        </w:rPr>
        <w:t xml:space="preserve">This Agreement may be amended only by a written instrument signed by both parties.</w:t>
      </w:r>
    </w:p>
    <w:p>
      <w:pPr>
        <w:spacing w:after="160" w:line="276"/>
      </w:pPr>
      <w:r>
        <w:rPr>
          <w:rFonts w:ascii="Calibri" w:cs="Calibri" w:eastAsia="Calibri" w:hAnsi="Calibri"/>
          <w:b/>
          <w:bCs/>
          <w:sz w:val="22"/>
          <w:szCs w:val="22"/>
        </w:rPr>
        <w:t xml:space="preserve">9.5 Waiver. </w:t>
      </w:r>
      <w:r>
        <w:rPr>
          <w:rFonts w:ascii="Calibri" w:cs="Calibri" w:eastAsia="Calibri" w:hAnsi="Calibri"/>
          <w:sz w:val="22"/>
          <w:szCs w:val="22"/>
        </w:rPr>
        <w:t xml:space="preserve">No waiver of any provision shall constitute a waiver of any other provision or a continuing waiver.</w:t>
      </w:r>
    </w:p>
    <w:p>
      <w:pPr>
        <w:spacing w:after="160" w:line="276"/>
      </w:pPr>
      <w:r>
        <w:rPr>
          <w:rFonts w:ascii="Calibri" w:cs="Calibri" w:eastAsia="Calibri" w:hAnsi="Calibri"/>
          <w:b/>
          <w:bCs/>
          <w:sz w:val="22"/>
          <w:szCs w:val="22"/>
        </w:rPr>
        <w:t xml:space="preserve">9.6 Severability. </w:t>
      </w:r>
      <w:r>
        <w:rPr>
          <w:rFonts w:ascii="Calibri" w:cs="Calibri" w:eastAsia="Calibri" w:hAnsi="Calibri"/>
          <w:sz w:val="22"/>
          <w:szCs w:val="22"/>
        </w:rPr>
        <w:t xml:space="preserve">If any provision is held unenforceable, it shall be modified to the minimum extent necessary to be enforceable, and the remaining provisions shall continue in full force.</w:t>
      </w:r>
    </w:p>
    <w:p>
      <w:pPr>
        <w:spacing w:after="160" w:line="276"/>
      </w:pPr>
      <w:r>
        <w:rPr>
          <w:rFonts w:ascii="Calibri" w:cs="Calibri" w:eastAsia="Calibri" w:hAnsi="Calibri"/>
          <w:b/>
          <w:bCs/>
          <w:sz w:val="22"/>
          <w:szCs w:val="22"/>
        </w:rPr>
        <w:t xml:space="preserve">9.7 Governing Law. </w:t>
      </w:r>
      <w:r>
        <w:rPr>
          <w:rFonts w:ascii="Calibri" w:cs="Calibri" w:eastAsia="Calibri" w:hAnsi="Calibri"/>
          <w:sz w:val="22"/>
          <w:szCs w:val="22"/>
        </w:rPr>
        <w:t xml:space="preserve">This Agreement shall be governed by and construed in accordance with the laws of the State of [STATE], without regard to its conflict-of-laws principles.</w:t>
      </w:r>
    </w:p>
    <w:p>
      <w:pPr>
        <w:spacing w:after="160" w:line="276"/>
      </w:pPr>
      <w:r>
        <w:rPr>
          <w:rFonts w:ascii="Calibri" w:cs="Calibri" w:eastAsia="Calibri" w:hAnsi="Calibri"/>
          <w:b/>
          <w:bCs/>
          <w:sz w:val="22"/>
          <w:szCs w:val="22"/>
        </w:rPr>
        <w:t xml:space="preserve">9.8 Dispute Resolution. </w:t>
      </w:r>
      <w:r>
        <w:rPr>
          <w:rFonts w:ascii="Calibri" w:cs="Calibri" w:eastAsia="Calibri" w:hAnsi="Calibri"/>
          <w:sz w:val="22"/>
          <w:szCs w:val="22"/>
        </w:rPr>
        <w:t xml:space="preserve">Any dispute arising under this Agreement shall be resolved in the [state/federal] courts located in [COUNTY], [STATE], and each party irrevocably consents to such jurisdiction and venue.</w:t>
      </w:r>
    </w:p>
    <w:p>
      <w:pPr>
        <w:spacing w:after="160" w:line="276"/>
      </w:pPr>
      <w:r>
        <w:rPr>
          <w:rFonts w:ascii="Calibri" w:cs="Calibri" w:eastAsia="Calibri" w:hAnsi="Calibri"/>
          <w:b/>
          <w:bCs/>
          <w:sz w:val="22"/>
          <w:szCs w:val="22"/>
        </w:rPr>
        <w:t xml:space="preserve">9.9 Counterparts. </w:t>
      </w:r>
      <w:r>
        <w:rPr>
          <w:rFonts w:ascii="Calibri" w:cs="Calibri" w:eastAsia="Calibri" w:hAnsi="Calibri"/>
          <w:sz w:val="22"/>
          <w:szCs w:val="22"/>
        </w:rPr>
        <w:t xml:space="preserve">This Agreement may be executed in counterparts, including electronic signatures, each of which shall be deemed an original.</w:t>
      </w:r>
    </w:p>
    <w:p>
      <w:pPr>
        <w:spacing w:before="480"/>
      </w:pPr>
    </w:p>
    <w:p>
      <w:pPr>
        <w:spacing w:after="160" w:line="276"/>
      </w:pPr>
      <w:r>
        <w:rPr>
          <w:rFonts w:ascii="Calibri" w:cs="Calibri" w:eastAsia="Calibri" w:hAnsi="Calibri"/>
          <w:sz w:val="22"/>
          <w:szCs w:val="22"/>
        </w:rPr>
        <w:t xml:space="preserve">IN WITNESS WHEREOF, the parties have executed this Agreement as of the Effective Date.</w:t>
      </w:r>
    </w:p>
    <w:p>
      <w:pPr>
        <w:spacing w:before="3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4680"/>
            <w:tcBorders>
              <w:top w:val="none"/>
              <w:left w:val="none"/>
              <w:bottom w:val="none"/>
              <w:right w:val="none"/>
            </w:tcBorders>
          </w:tcPr>
          <w:p>
            <w:pPr>
              <w:spacing w:after="160" w:line="276"/>
            </w:pPr>
            <w:r>
              <w:rPr>
                <w:rFonts w:ascii="Calibri" w:cs="Calibri" w:eastAsia="Calibri" w:hAnsi="Calibri"/>
                <w:b/>
                <w:bCs/>
                <w:sz w:val="22"/>
                <w:szCs w:val="22"/>
              </w:rPr>
              <w:t xml:space="preserve">PRINCIPAL:</w:t>
            </w:r>
            <w:r>
              <w:rPr>
                <w:rFonts w:ascii="Calibri" w:cs="Calibri" w:eastAsia="Calibri" w:hAnsi="Calibri"/>
                <w:sz w:val="22"/>
                <w:szCs w:val="22"/>
              </w:rPr>
              <w:t xml:space="preserve"/>
            </w:r>
          </w:p>
          <w:p>
            <w:pPr>
              <w:spacing w:before="200"/>
            </w:pPr>
          </w:p>
          <w:p>
            <w:pPr>
              <w:spacing w:after="160" w:line="276"/>
            </w:pPr>
            <w:r>
              <w:rPr>
                <w:rFonts w:ascii="Calibri" w:cs="Calibri" w:eastAsia="Calibri" w:hAnsi="Calibri"/>
                <w:sz w:val="22"/>
                <w:szCs w:val="22"/>
              </w:rPr>
              <w:t xml:space="preserve">____________________________________</w:t>
            </w:r>
          </w:p>
          <w:p>
            <w:pPr>
              <w:spacing w:after="160" w:line="276"/>
            </w:pPr>
            <w:r>
              <w:rPr>
                <w:rFonts w:ascii="Calibri" w:cs="Calibri" w:eastAsia="Calibri" w:hAnsi="Calibri"/>
                <w:sz w:val="22"/>
                <w:szCs w:val="22"/>
              </w:rPr>
              <w:t xml:space="preserve">Name: [NAME]</w:t>
            </w:r>
          </w:p>
          <w:p>
            <w:pPr>
              <w:spacing w:after="160" w:line="276"/>
            </w:pPr>
            <w:r>
              <w:rPr>
                <w:rFonts w:ascii="Calibri" w:cs="Calibri" w:eastAsia="Calibri" w:hAnsi="Calibri"/>
                <w:sz w:val="22"/>
                <w:szCs w:val="22"/>
              </w:rPr>
              <w:t xml:space="preserve">Title: [TITLE]</w:t>
            </w:r>
          </w:p>
          <w:p>
            <w:pPr>
              <w:spacing w:after="160" w:line="276"/>
            </w:pPr>
            <w:r>
              <w:rPr>
                <w:rFonts w:ascii="Calibri" w:cs="Calibri" w:eastAsia="Calibri" w:hAnsi="Calibri"/>
                <w:sz w:val="22"/>
                <w:szCs w:val="22"/>
              </w:rPr>
              <w:t xml:space="preserve">Date: [DATE]</w:t>
            </w:r>
          </w:p>
        </w:tc>
        <w:tc>
          <w:tcPr>
            <w:tcW w:type="dxa" w:w="4680"/>
            <w:tcBorders>
              <w:top w:val="none"/>
              <w:left w:val="none"/>
              <w:bottom w:val="none"/>
              <w:right w:val="none"/>
            </w:tcBorders>
          </w:tcPr>
          <w:p>
            <w:pPr>
              <w:spacing w:after="160" w:line="276"/>
            </w:pPr>
            <w:r>
              <w:rPr>
                <w:rFonts w:ascii="Calibri" w:cs="Calibri" w:eastAsia="Calibri" w:hAnsi="Calibri"/>
                <w:b/>
                <w:bCs/>
                <w:sz w:val="22"/>
                <w:szCs w:val="22"/>
              </w:rPr>
              <w:t xml:space="preserve">REFERRER:</w:t>
            </w:r>
            <w:r>
              <w:rPr>
                <w:rFonts w:ascii="Calibri" w:cs="Calibri" w:eastAsia="Calibri" w:hAnsi="Calibri"/>
                <w:sz w:val="22"/>
                <w:szCs w:val="22"/>
              </w:rPr>
              <w:t xml:space="preserve"/>
            </w:r>
          </w:p>
          <w:p>
            <w:pPr>
              <w:spacing w:before="200"/>
            </w:pPr>
          </w:p>
          <w:p>
            <w:pPr>
              <w:spacing w:after="160" w:line="276"/>
            </w:pPr>
            <w:r>
              <w:rPr>
                <w:rFonts w:ascii="Calibri" w:cs="Calibri" w:eastAsia="Calibri" w:hAnsi="Calibri"/>
                <w:sz w:val="22"/>
                <w:szCs w:val="22"/>
              </w:rPr>
              <w:t xml:space="preserve">____________________________________</w:t>
            </w:r>
          </w:p>
          <w:p>
            <w:pPr>
              <w:spacing w:after="160" w:line="276"/>
            </w:pPr>
            <w:r>
              <w:rPr>
                <w:rFonts w:ascii="Calibri" w:cs="Calibri" w:eastAsia="Calibri" w:hAnsi="Calibri"/>
                <w:sz w:val="22"/>
                <w:szCs w:val="22"/>
              </w:rPr>
              <w:t xml:space="preserve">Name: [NAME]</w:t>
            </w:r>
          </w:p>
          <w:p>
            <w:pPr>
              <w:spacing w:after="160" w:line="276"/>
            </w:pPr>
            <w:r>
              <w:rPr>
                <w:rFonts w:ascii="Calibri" w:cs="Calibri" w:eastAsia="Calibri" w:hAnsi="Calibri"/>
                <w:sz w:val="22"/>
                <w:szCs w:val="22"/>
              </w:rPr>
              <w:t xml:space="preserve">Title: [TITLE]</w:t>
            </w:r>
          </w:p>
          <w:p>
            <w:pPr>
              <w:spacing w:after="160" w:line="276"/>
            </w:pPr>
            <w:r>
              <w:rPr>
                <w:rFonts w:ascii="Calibri" w:cs="Calibri" w:eastAsia="Calibri" w:hAnsi="Calibri"/>
                <w:sz w:val="22"/>
                <w:szCs w:val="22"/>
              </w:rPr>
              <w:t xml:space="preserve">Date: [DATE]</w:t>
            </w:r>
          </w:p>
        </w:tc>
      </w:tr>
    </w:tbl>
    <w:p>
      <w:r>
        <w:br w:type="page"/>
      </w:r>
    </w:p>
    <w:p>
      <w:pPr>
        <w:pStyle w:val="Heading1"/>
        <w:spacing w:after="120" w:before="360"/>
      </w:pPr>
      <w:r>
        <w:rPr>
          <w:rFonts w:ascii="Calibri" w:cs="Calibri" w:eastAsia="Calibri" w:hAnsi="Calibri"/>
          <w:b/>
          <w:bCs/>
          <w:color w:val="1a1a2e"/>
        </w:rPr>
        <w:t xml:space="preserve">EXHIBIT A</w:t>
      </w:r>
    </w:p>
    <w:p>
      <w:pPr>
        <w:spacing w:after="200"/>
      </w:pPr>
      <w:r>
        <w:rPr>
          <w:rFonts w:ascii="Calibri" w:cs="Calibri" w:eastAsia="Calibri" w:hAnsi="Calibri"/>
          <w:i/>
          <w:iCs/>
          <w:color w:val="666666"/>
          <w:sz w:val="22"/>
          <w:szCs w:val="22"/>
        </w:rPr>
        <w:t xml:space="preserve">Covered Offerings, Territory, Fee Schedule, and Excluded Accounts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shd w:fill="F2F2F2" w:val="clear"/>
          </w:tcPr>
          <w:p>
            <w:r>
              <w:rPr>
                <w:rFonts w:ascii="Calibri" w:cs="Calibri" w:eastAsia="Calibri" w:hAnsi="Calibri"/>
                <w:b/>
                <w:bCs/>
                <w:sz w:val="22"/>
                <w:szCs w:val="22"/>
              </w:rPr>
              <w:t xml:space="preserve">Covered Offerings</w:t>
            </w:r>
          </w:p>
        </w:tc>
        <w:tc>
          <w:tcPr>
            <w:tcW w:type="dxa" w:w="6240"/>
          </w:tcPr>
          <w:p>
            <w:r>
              <w:rPr>
                <w:rFonts w:ascii="Calibri" w:cs="Calibri" w:eastAsia="Calibri" w:hAnsi="Calibri"/>
                <w:color w:val="666666"/>
                <w:sz w:val="22"/>
                <w:szCs w:val="22"/>
              </w:rPr>
              <w:t xml:space="preserve">[Description of products/services eligible for referral fees]</w:t>
            </w:r>
          </w:p>
        </w:tc>
      </w:tr>
      <w:tr>
        <w:tc>
          <w:tcPr>
            <w:tcW w:type="dxa" w:w="3120"/>
            <w:shd w:fill="F2F2F2" w:val="clear"/>
          </w:tcPr>
          <w:p>
            <w:r>
              <w:rPr>
                <w:rFonts w:ascii="Calibri" w:cs="Calibri" w:eastAsia="Calibri" w:hAnsi="Calibri"/>
                <w:b/>
                <w:bCs/>
                <w:sz w:val="22"/>
                <w:szCs w:val="22"/>
              </w:rPr>
              <w:t xml:space="preserve">Territory</w:t>
            </w:r>
          </w:p>
        </w:tc>
        <w:tc>
          <w:tcPr>
            <w:tcW w:type="dxa" w:w="6240"/>
          </w:tcPr>
          <w:p>
            <w:r>
              <w:rPr>
                <w:rFonts w:ascii="Calibri" w:cs="Calibri" w:eastAsia="Calibri" w:hAnsi="Calibri"/>
                <w:color w:val="666666"/>
                <w:sz w:val="22"/>
                <w:szCs w:val="22"/>
              </w:rPr>
              <w:t xml:space="preserve">[Geographic territory or market segment]</w:t>
            </w:r>
          </w:p>
        </w:tc>
      </w:tr>
      <w:tr>
        <w:tc>
          <w:tcPr>
            <w:tcW w:type="dxa" w:w="3120"/>
            <w:shd w:fill="F2F2F2" w:val="clear"/>
          </w:tcPr>
          <w:p>
            <w:r>
              <w:rPr>
                <w:rFonts w:ascii="Calibri" w:cs="Calibri" w:eastAsia="Calibri" w:hAnsi="Calibri"/>
                <w:b/>
                <w:bCs/>
                <w:sz w:val="22"/>
                <w:szCs w:val="22"/>
              </w:rPr>
              <w:t xml:space="preserve">Referral Fee Rate</w:t>
            </w:r>
          </w:p>
        </w:tc>
        <w:tc>
          <w:tcPr>
            <w:tcW w:type="dxa" w:w="6240"/>
          </w:tcPr>
          <w:p>
            <w:r>
              <w:rPr>
                <w:rFonts w:ascii="Calibri" w:cs="Calibri" w:eastAsia="Calibri" w:hAnsi="Calibri"/>
                <w:color w:val="666666"/>
                <w:sz w:val="22"/>
                <w:szCs w:val="22"/>
              </w:rPr>
              <w:t xml:space="preserve">[PERCENT]% of Net Collected Revenue</w:t>
            </w:r>
          </w:p>
        </w:tc>
      </w:tr>
      <w:tr>
        <w:tc>
          <w:tcPr>
            <w:tcW w:type="dxa" w:w="3120"/>
            <w:shd w:fill="F2F2F2" w:val="clear"/>
          </w:tcPr>
          <w:p>
            <w:r>
              <w:rPr>
                <w:rFonts w:ascii="Calibri" w:cs="Calibri" w:eastAsia="Calibri" w:hAnsi="Calibri"/>
                <w:b/>
                <w:bCs/>
                <w:sz w:val="22"/>
                <w:szCs w:val="22"/>
              </w:rPr>
              <w:t xml:space="preserve">Renewal/Upsell Fee</w:t>
            </w:r>
          </w:p>
        </w:tc>
        <w:tc>
          <w:tcPr>
            <w:tcW w:type="dxa" w:w="6240"/>
          </w:tcPr>
          <w:p>
            <w:r>
              <w:rPr>
                <w:rFonts w:ascii="Calibri" w:cs="Calibri" w:eastAsia="Calibri" w:hAnsi="Calibri"/>
                <w:color w:val="666666"/>
                <w:sz w:val="22"/>
                <w:szCs w:val="22"/>
              </w:rPr>
              <w:t xml:space="preserve">[Specify: included at same rate / reduced rate / excluded]</w:t>
            </w:r>
          </w:p>
        </w:tc>
      </w:tr>
      <w:tr>
        <w:tc>
          <w:tcPr>
            <w:tcW w:type="dxa" w:w="3120"/>
            <w:shd w:fill="F2F2F2" w:val="clear"/>
          </w:tcPr>
          <w:p>
            <w:r>
              <w:rPr>
                <w:rFonts w:ascii="Calibri" w:cs="Calibri" w:eastAsia="Calibri" w:hAnsi="Calibri"/>
                <w:b/>
                <w:bCs/>
                <w:sz w:val="22"/>
                <w:szCs w:val="22"/>
              </w:rPr>
              <w:t xml:space="preserve">Excluded Accounts</w:t>
            </w:r>
          </w:p>
        </w:tc>
        <w:tc>
          <w:tcPr>
            <w:tcW w:type="dxa" w:w="6240"/>
          </w:tcPr>
          <w:p>
            <w:r>
              <w:rPr>
                <w:rFonts w:ascii="Calibri" w:cs="Calibri" w:eastAsia="Calibri" w:hAnsi="Calibri"/>
                <w:color w:val="666666"/>
                <w:sz w:val="22"/>
                <w:szCs w:val="22"/>
              </w:rPr>
              <w:t xml:space="preserve">[List current customers and house accounts excluded from referral eligibility]</w:t>
            </w:r>
          </w:p>
        </w:tc>
      </w:tr>
      <w:tr>
        <w:tc>
          <w:tcPr>
            <w:tcW w:type="dxa" w:w="3120"/>
            <w:shd w:fill="F2F2F2" w:val="clear"/>
          </w:tcPr>
          <w:p>
            <w:r>
              <w:rPr>
                <w:rFonts w:ascii="Calibri" w:cs="Calibri" w:eastAsia="Calibri" w:hAnsi="Calibri"/>
                <w:b/>
                <w:bCs/>
                <w:sz w:val="22"/>
                <w:szCs w:val="22"/>
              </w:rPr>
              <w:t xml:space="preserve">Competitive Restrictions</w:t>
            </w:r>
          </w:p>
        </w:tc>
        <w:tc>
          <w:tcPr>
            <w:tcW w:type="dxa" w:w="6240"/>
          </w:tcPr>
          <w:p>
            <w:r>
              <w:rPr>
                <w:rFonts w:ascii="Calibri" w:cs="Calibri" w:eastAsia="Calibri" w:hAnsi="Calibri"/>
                <w:color w:val="666666"/>
                <w:sz w:val="22"/>
                <w:szCs w:val="22"/>
              </w:rPr>
              <w:t xml:space="preserve">[Any limitations on Referrer representing competing products]</w:t>
            </w:r>
          </w:p>
        </w:tc>
      </w:tr>
    </w:tbl>
    <w:p>
      <w:r>
        <w:br w:type="page"/>
      </w:r>
    </w:p>
    <w:p>
      <w:pPr>
        <w:pStyle w:val="Heading1"/>
        <w:spacing w:after="120" w:before="360"/>
      </w:pPr>
      <w:r>
        <w:rPr>
          <w:rFonts w:ascii="Calibri" w:cs="Calibri" w:eastAsia="Calibri" w:hAnsi="Calibri"/>
          <w:b/>
          <w:bCs/>
          <w:color w:val="1a1a2e"/>
        </w:rPr>
        <w:t xml:space="preserve">EXHIBIT B</w:t>
      </w:r>
    </w:p>
    <w:p>
      <w:pPr>
        <w:spacing w:after="200"/>
      </w:pPr>
      <w:r>
        <w:rPr>
          <w:rFonts w:ascii="Calibri" w:cs="Calibri" w:eastAsia="Calibri" w:hAnsi="Calibri"/>
          <w:i/>
          <w:iCs/>
          <w:color w:val="666666"/>
          <w:sz w:val="22"/>
          <w:szCs w:val="22"/>
        </w:rPr>
        <w:t xml:space="preserve">Referral Registration Process and Form</w:t>
      </w:r>
    </w:p>
    <w:p>
      <w:pPr>
        <w:spacing w:after="160" w:line="276"/>
      </w:pPr>
      <w:r>
        <w:rPr>
          <w:rFonts w:ascii="Calibri" w:cs="Calibri" w:eastAsia="Calibri" w:hAnsi="Calibri"/>
          <w:sz w:val="22"/>
          <w:szCs w:val="22"/>
        </w:rPr>
        <w:t xml:space="preserve">All referrals must be submitted using this registration form. Incomplete submissions will be returned. Principal will confirm acceptance or rejection within [10] Business Days.</w:t>
      </w:r>
    </w:p>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shd w:fill="F2F2F2" w:val="clear"/>
          </w:tcPr>
          <w:p>
            <w:r>
              <w:rPr>
                <w:rFonts w:ascii="Calibri" w:cs="Calibri" w:eastAsia="Calibri" w:hAnsi="Calibri"/>
                <w:b/>
                <w:bCs/>
                <w:sz w:val="22"/>
                <w:szCs w:val="22"/>
              </w:rPr>
              <w:t xml:space="preserve">Referrer Name</w:t>
            </w:r>
          </w:p>
        </w:tc>
        <w:tc>
          <w:tcPr>
            <w:tcW w:type="dxa" w:w="6240"/>
          </w:tcPr>
          <w:p>
            <w:r>
              <w:rPr>
                <w:rFonts w:ascii="Calibri" w:cs="Calibri" w:eastAsia="Calibri" w:hAnsi="Calibri"/>
                <w:color w:val="666666"/>
                <w:sz w:val="22"/>
                <w:szCs w:val="22"/>
              </w:rPr>
              <w:t xml:space="preserve">[                                          ]</w:t>
            </w:r>
          </w:p>
        </w:tc>
      </w:tr>
      <w:tr>
        <w:tc>
          <w:tcPr>
            <w:tcW w:type="dxa" w:w="3120"/>
            <w:shd w:fill="F2F2F2" w:val="clear"/>
          </w:tcPr>
          <w:p>
            <w:r>
              <w:rPr>
                <w:rFonts w:ascii="Calibri" w:cs="Calibri" w:eastAsia="Calibri" w:hAnsi="Calibri"/>
                <w:b/>
                <w:bCs/>
                <w:sz w:val="22"/>
                <w:szCs w:val="22"/>
              </w:rPr>
              <w:t xml:space="preserve">Date of Submission</w:t>
            </w:r>
          </w:p>
        </w:tc>
        <w:tc>
          <w:tcPr>
            <w:tcW w:type="dxa" w:w="6240"/>
          </w:tcPr>
          <w:p>
            <w:r>
              <w:rPr>
                <w:rFonts w:ascii="Calibri" w:cs="Calibri" w:eastAsia="Calibri" w:hAnsi="Calibri"/>
                <w:color w:val="666666"/>
                <w:sz w:val="22"/>
                <w:szCs w:val="22"/>
              </w:rPr>
              <w:t xml:space="preserve">[                                          ]</w:t>
            </w:r>
          </w:p>
        </w:tc>
      </w:tr>
      <w:tr>
        <w:tc>
          <w:tcPr>
            <w:tcW w:type="dxa" w:w="3120"/>
            <w:shd w:fill="F2F2F2" w:val="clear"/>
          </w:tcPr>
          <w:p>
            <w:r>
              <w:rPr>
                <w:rFonts w:ascii="Calibri" w:cs="Calibri" w:eastAsia="Calibri" w:hAnsi="Calibri"/>
                <w:b/>
                <w:bCs/>
                <w:sz w:val="22"/>
                <w:szCs w:val="22"/>
              </w:rPr>
              <w:t xml:space="preserve">Prospect Legal Name</w:t>
            </w:r>
          </w:p>
        </w:tc>
        <w:tc>
          <w:tcPr>
            <w:tcW w:type="dxa" w:w="6240"/>
          </w:tcPr>
          <w:p>
            <w:r>
              <w:rPr>
                <w:rFonts w:ascii="Calibri" w:cs="Calibri" w:eastAsia="Calibri" w:hAnsi="Calibri"/>
                <w:color w:val="666666"/>
                <w:sz w:val="22"/>
                <w:szCs w:val="22"/>
              </w:rPr>
              <w:t xml:space="preserve">[                                          ]</w:t>
            </w:r>
          </w:p>
        </w:tc>
      </w:tr>
      <w:tr>
        <w:tc>
          <w:tcPr>
            <w:tcW w:type="dxa" w:w="3120"/>
            <w:shd w:fill="F2F2F2" w:val="clear"/>
          </w:tcPr>
          <w:p>
            <w:r>
              <w:rPr>
                <w:rFonts w:ascii="Calibri" w:cs="Calibri" w:eastAsia="Calibri" w:hAnsi="Calibri"/>
                <w:b/>
                <w:bCs/>
                <w:sz w:val="22"/>
                <w:szCs w:val="22"/>
              </w:rPr>
              <w:t xml:space="preserve">Prospect Contact Name</w:t>
            </w:r>
          </w:p>
        </w:tc>
        <w:tc>
          <w:tcPr>
            <w:tcW w:type="dxa" w:w="6240"/>
          </w:tcPr>
          <w:p>
            <w:r>
              <w:rPr>
                <w:rFonts w:ascii="Calibri" w:cs="Calibri" w:eastAsia="Calibri" w:hAnsi="Calibri"/>
                <w:color w:val="666666"/>
                <w:sz w:val="22"/>
                <w:szCs w:val="22"/>
              </w:rPr>
              <w:t xml:space="preserve">[                                          ]</w:t>
            </w:r>
          </w:p>
        </w:tc>
      </w:tr>
      <w:tr>
        <w:tc>
          <w:tcPr>
            <w:tcW w:type="dxa" w:w="3120"/>
            <w:shd w:fill="F2F2F2" w:val="clear"/>
          </w:tcPr>
          <w:p>
            <w:r>
              <w:rPr>
                <w:rFonts w:ascii="Calibri" w:cs="Calibri" w:eastAsia="Calibri" w:hAnsi="Calibri"/>
                <w:b/>
                <w:bCs/>
                <w:sz w:val="22"/>
                <w:szCs w:val="22"/>
              </w:rPr>
              <w:t xml:space="preserve">Contact Title / Role</w:t>
            </w:r>
          </w:p>
        </w:tc>
        <w:tc>
          <w:tcPr>
            <w:tcW w:type="dxa" w:w="6240"/>
          </w:tcPr>
          <w:p>
            <w:r>
              <w:rPr>
                <w:rFonts w:ascii="Calibri" w:cs="Calibri" w:eastAsia="Calibri" w:hAnsi="Calibri"/>
                <w:color w:val="666666"/>
                <w:sz w:val="22"/>
                <w:szCs w:val="22"/>
              </w:rPr>
              <w:t xml:space="preserve">[                                          ]</w:t>
            </w:r>
          </w:p>
        </w:tc>
      </w:tr>
      <w:tr>
        <w:tc>
          <w:tcPr>
            <w:tcW w:type="dxa" w:w="3120"/>
            <w:shd w:fill="F2F2F2" w:val="clear"/>
          </w:tcPr>
          <w:p>
            <w:r>
              <w:rPr>
                <w:rFonts w:ascii="Calibri" w:cs="Calibri" w:eastAsia="Calibri" w:hAnsi="Calibri"/>
                <w:b/>
                <w:bCs/>
                <w:sz w:val="22"/>
                <w:szCs w:val="22"/>
              </w:rPr>
              <w:t xml:space="preserve">Contact Email</w:t>
            </w:r>
          </w:p>
        </w:tc>
        <w:tc>
          <w:tcPr>
            <w:tcW w:type="dxa" w:w="6240"/>
          </w:tcPr>
          <w:p>
            <w:r>
              <w:rPr>
                <w:rFonts w:ascii="Calibri" w:cs="Calibri" w:eastAsia="Calibri" w:hAnsi="Calibri"/>
                <w:color w:val="666666"/>
                <w:sz w:val="22"/>
                <w:szCs w:val="22"/>
              </w:rPr>
              <w:t xml:space="preserve">[                                          ]</w:t>
            </w:r>
          </w:p>
        </w:tc>
      </w:tr>
      <w:tr>
        <w:tc>
          <w:tcPr>
            <w:tcW w:type="dxa" w:w="3120"/>
            <w:shd w:fill="F2F2F2" w:val="clear"/>
          </w:tcPr>
          <w:p>
            <w:r>
              <w:rPr>
                <w:rFonts w:ascii="Calibri" w:cs="Calibri" w:eastAsia="Calibri" w:hAnsi="Calibri"/>
                <w:b/>
                <w:bCs/>
                <w:sz w:val="22"/>
                <w:szCs w:val="22"/>
              </w:rPr>
              <w:t xml:space="preserve">Contact Phone</w:t>
            </w:r>
          </w:p>
        </w:tc>
        <w:tc>
          <w:tcPr>
            <w:tcW w:type="dxa" w:w="6240"/>
          </w:tcPr>
          <w:p>
            <w:r>
              <w:rPr>
                <w:rFonts w:ascii="Calibri" w:cs="Calibri" w:eastAsia="Calibri" w:hAnsi="Calibri"/>
                <w:color w:val="666666"/>
                <w:sz w:val="22"/>
                <w:szCs w:val="22"/>
              </w:rPr>
              <w:t xml:space="preserve">[                                          ]</w:t>
            </w:r>
          </w:p>
        </w:tc>
      </w:tr>
      <w:tr>
        <w:tc>
          <w:tcPr>
            <w:tcW w:type="dxa" w:w="3120"/>
            <w:shd w:fill="F2F2F2" w:val="clear"/>
          </w:tcPr>
          <w:p>
            <w:r>
              <w:rPr>
                <w:rFonts w:ascii="Calibri" w:cs="Calibri" w:eastAsia="Calibri" w:hAnsi="Calibri"/>
                <w:b/>
                <w:bCs/>
                <w:sz w:val="22"/>
                <w:szCs w:val="22"/>
              </w:rPr>
              <w:t xml:space="preserve">Product/Service Interest</w:t>
            </w:r>
          </w:p>
        </w:tc>
        <w:tc>
          <w:tcPr>
            <w:tcW w:type="dxa" w:w="6240"/>
          </w:tcPr>
          <w:p>
            <w:r>
              <w:rPr>
                <w:rFonts w:ascii="Calibri" w:cs="Calibri" w:eastAsia="Calibri" w:hAnsi="Calibri"/>
                <w:color w:val="666666"/>
                <w:sz w:val="22"/>
                <w:szCs w:val="22"/>
              </w:rPr>
              <w:t xml:space="preserve">[                                          ]</w:t>
            </w:r>
          </w:p>
        </w:tc>
      </w:tr>
      <w:tr>
        <w:tc>
          <w:tcPr>
            <w:tcW w:type="dxa" w:w="3120"/>
            <w:shd w:fill="F2F2F2" w:val="clear"/>
          </w:tcPr>
          <w:p>
            <w:r>
              <w:rPr>
                <w:rFonts w:ascii="Calibri" w:cs="Calibri" w:eastAsia="Calibri" w:hAnsi="Calibri"/>
                <w:b/>
                <w:bCs/>
                <w:sz w:val="22"/>
                <w:szCs w:val="22"/>
              </w:rPr>
              <w:t xml:space="preserve">Territory / Market</w:t>
            </w:r>
          </w:p>
        </w:tc>
        <w:tc>
          <w:tcPr>
            <w:tcW w:type="dxa" w:w="6240"/>
          </w:tcPr>
          <w:p>
            <w:r>
              <w:rPr>
                <w:rFonts w:ascii="Calibri" w:cs="Calibri" w:eastAsia="Calibri" w:hAnsi="Calibri"/>
                <w:color w:val="666666"/>
                <w:sz w:val="22"/>
                <w:szCs w:val="22"/>
              </w:rPr>
              <w:t xml:space="preserve">[                                          ]</w:t>
            </w:r>
          </w:p>
        </w:tc>
      </w:tr>
      <w:tr>
        <w:tc>
          <w:tcPr>
            <w:tcW w:type="dxa" w:w="3120"/>
            <w:shd w:fill="F2F2F2" w:val="clear"/>
          </w:tcPr>
          <w:p>
            <w:r>
              <w:rPr>
                <w:rFonts w:ascii="Calibri" w:cs="Calibri" w:eastAsia="Calibri" w:hAnsi="Calibri"/>
                <w:b/>
                <w:bCs/>
                <w:sz w:val="22"/>
                <w:szCs w:val="22"/>
              </w:rPr>
              <w:t xml:space="preserve">Nature of Introduction</w:t>
            </w:r>
          </w:p>
        </w:tc>
        <w:tc>
          <w:tcPr>
            <w:tcW w:type="dxa" w:w="6240"/>
          </w:tcPr>
          <w:p>
            <w:r>
              <w:rPr>
                <w:rFonts w:ascii="Calibri" w:cs="Calibri" w:eastAsia="Calibri" w:hAnsi="Calibri"/>
                <w:color w:val="666666"/>
                <w:sz w:val="22"/>
                <w:szCs w:val="22"/>
              </w:rPr>
              <w:t xml:space="preserve">[Describe how and when the introduction was made]</w:t>
            </w:r>
          </w:p>
        </w:tc>
      </w:tr>
      <w:tr>
        <w:tc>
          <w:tcPr>
            <w:tcW w:type="dxa" w:w="3120"/>
            <w:shd w:fill="F2F2F2" w:val="clear"/>
          </w:tcPr>
          <w:p>
            <w:r>
              <w:rPr>
                <w:rFonts w:ascii="Calibri" w:cs="Calibri" w:eastAsia="Calibri" w:hAnsi="Calibri"/>
                <w:b/>
                <w:bCs/>
                <w:sz w:val="22"/>
                <w:szCs w:val="22"/>
              </w:rPr>
              <w:t xml:space="preserve">Existing Relationship?</w:t>
            </w:r>
          </w:p>
        </w:tc>
        <w:tc>
          <w:tcPr>
            <w:tcW w:type="dxa" w:w="6240"/>
          </w:tcPr>
          <w:p>
            <w:r>
              <w:rPr>
                <w:rFonts w:ascii="Calibri" w:cs="Calibri" w:eastAsia="Calibri" w:hAnsi="Calibri"/>
                <w:color w:val="666666"/>
                <w:sz w:val="22"/>
                <w:szCs w:val="22"/>
              </w:rPr>
              <w:t xml:space="preserve">[Yes/No — if yes, describe]</w:t>
            </w:r>
          </w:p>
        </w:tc>
      </w:tr>
      <w:tr>
        <w:tc>
          <w:tcPr>
            <w:tcW w:type="dxa" w:w="3120"/>
            <w:shd w:fill="F2F2F2" w:val="clear"/>
          </w:tcPr>
          <w:p>
            <w:r>
              <w:rPr>
                <w:rFonts w:ascii="Calibri" w:cs="Calibri" w:eastAsia="Calibri" w:hAnsi="Calibri"/>
                <w:b/>
                <w:bCs/>
                <w:sz w:val="22"/>
                <w:szCs w:val="22"/>
              </w:rPr>
              <w:t xml:space="preserve">Conflict of Interest?</w:t>
            </w:r>
          </w:p>
        </w:tc>
        <w:tc>
          <w:tcPr>
            <w:tcW w:type="dxa" w:w="6240"/>
          </w:tcPr>
          <w:p>
            <w:r>
              <w:rPr>
                <w:rFonts w:ascii="Calibri" w:cs="Calibri" w:eastAsia="Calibri" w:hAnsi="Calibri"/>
                <w:color w:val="666666"/>
                <w:sz w:val="22"/>
                <w:szCs w:val="22"/>
              </w:rPr>
              <w:t xml:space="preserve">[Yes/No — if yes, describe]</w:t>
            </w:r>
          </w:p>
        </w:tc>
      </w:tr>
      <w:tr>
        <w:tc>
          <w:tcPr>
            <w:tcW w:type="dxa" w:w="3120"/>
            <w:shd w:fill="F2F2F2" w:val="clear"/>
          </w:tcPr>
          <w:p>
            <w:r>
              <w:rPr>
                <w:rFonts w:ascii="Calibri" w:cs="Calibri" w:eastAsia="Calibri" w:hAnsi="Calibri"/>
                <w:b/>
                <w:bCs/>
                <w:sz w:val="22"/>
                <w:szCs w:val="22"/>
              </w:rPr>
              <w:t xml:space="preserve">Notes</w:t>
            </w:r>
          </w:p>
        </w:tc>
        <w:tc>
          <w:tcPr>
            <w:tcW w:type="dxa" w:w="6240"/>
          </w:tcPr>
          <w:p>
            <w:r>
              <w:rPr>
                <w:rFonts w:ascii="Calibri" w:cs="Calibri" w:eastAsia="Calibri" w:hAnsi="Calibri"/>
                <w:color w:val="666666"/>
                <w:sz w:val="22"/>
                <w:szCs w:val="22"/>
              </w:rPr>
              <w:t xml:space="preserve">[                                          ]</w:t>
            </w:r>
          </w:p>
        </w:tc>
      </w:tr>
    </w:tbl>
    <w:p>
      <w:pPr>
        <w:spacing w:before="200"/>
      </w:pPr>
    </w:p>
    <w:p>
      <w:pPr>
        <w:spacing w:after="160" w:line="276"/>
      </w:pPr>
      <w:r>
        <w:rPr>
          <w:rFonts w:ascii="Calibri" w:cs="Calibri" w:eastAsia="Calibri" w:hAnsi="Calibri"/>
          <w:b/>
          <w:bCs/>
          <w:sz w:val="22"/>
          <w:szCs w:val="22"/>
        </w:rPr>
        <w:t xml:space="preserve">Principal Acceptance: </w:t>
      </w:r>
      <w:r>
        <w:rPr>
          <w:rFonts w:ascii="Calibri" w:cs="Calibri" w:eastAsia="Calibri" w:hAnsi="Calibri"/>
          <w:sz w:val="22"/>
          <w:szCs w:val="22"/>
        </w:rPr>
        <w:t xml:space="preserve">[ ] Accepted   [ ] Rejected   Date: __________</w:t>
      </w:r>
    </w:p>
    <w:p>
      <w:pPr>
        <w:spacing w:after="160" w:line="276"/>
      </w:pPr>
      <w:r>
        <w:rPr>
          <w:rFonts w:ascii="Calibri" w:cs="Calibri" w:eastAsia="Calibri" w:hAnsi="Calibri"/>
          <w:b/>
          <w:bCs/>
          <w:sz w:val="22"/>
          <w:szCs w:val="22"/>
        </w:rPr>
        <w:t xml:space="preserve">Protection Period Expires: </w:t>
      </w:r>
      <w:r>
        <w:rPr>
          <w:rFonts w:ascii="Calibri" w:cs="Calibri" w:eastAsia="Calibri" w:hAnsi="Calibri"/>
          <w:sz w:val="22"/>
          <w:szCs w:val="22"/>
        </w:rPr>
        <w:t xml:space="preserve">[DATE]</w:t>
      </w:r>
    </w:p>
    <w:p>
      <w:pPr>
        <w:spacing w:after="160" w:line="276"/>
      </w:pPr>
      <w:r>
        <w:rPr>
          <w:rFonts w:ascii="Calibri" w:cs="Calibri" w:eastAsia="Calibri" w:hAnsi="Calibri"/>
          <w:b/>
          <w:bCs/>
          <w:sz w:val="22"/>
          <w:szCs w:val="22"/>
        </w:rPr>
        <w:t xml:space="preserve">CRM Reference #: </w:t>
      </w:r>
      <w:r>
        <w:rPr>
          <w:rFonts w:ascii="Calibri" w:cs="Calibri" w:eastAsia="Calibri" w:hAnsi="Calibri"/>
          <w:sz w:val="22"/>
          <w:szCs w:val="22"/>
        </w:rPr>
        <w:t xml:space="preserve">[                    ]</w:t>
      </w:r>
    </w:p>
    <w:sectPr>
      <w:headerReference w:type="default" r:id="rId7"/>
      <w:headerReference w:type="first" r:id="rId8"/>
      <w:footerReference w:type="default" r:id="rId9"/>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rPr>
      <w:t xml:space="preserve">Montague Law  |  montague.law  |  Page </w:t>
    </w:r>
    <w:r>
      <w:rPr>
        <w:rFonts w:ascii="Calibri" w:cs="Calibri" w:eastAsia="Calibri" w:hAnsi="Calibri"/>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999999"/>
        <w:sz w:val="18"/>
        <w:szCs w:val="18"/>
      </w:rPr>
      <w:t xml:space="preserve">Commercial Referral Fee 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2026-08-22T21:13:36.931Z</dcterms:created>
  <dcterms:modified xsi:type="dcterms:W3CDTF">2026-08-22T21:13:36.933Z</dcterms:modified>
</cp:coreProperties>
</file>

<file path=docProps/custom.xml><?xml version="1.0" encoding="utf-8"?>
<Properties xmlns="http://schemas.openxmlformats.org/officeDocument/2006/custom-properties" xmlns:vt="http://schemas.openxmlformats.org/officeDocument/2006/docPropsVTypes"/>
</file>