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Calibri" w:cs="Calibri" w:eastAsia="Calibri" w:hAnsi="Calibri"/>
          <w:b/>
          <w:bCs/>
          <w:color w:val="1a1a2e"/>
          <w:sz w:val="32"/>
          <w:szCs w:val="32"/>
        </w:rPr>
        <w:t xml:space="preserve">[COMPANY], LLC</w:t>
      </w:r>
    </w:p>
    <w:p>
      <w:pPr>
        <w:spacing w:after="80"/>
        <w:jc w:val="center"/>
      </w:pPr>
      <w:r>
        <w:rPr>
          <w:rFonts w:ascii="Calibri" w:cs="Calibri" w:eastAsia="Calibri" w:hAnsi="Calibri"/>
          <w:b/>
          <w:bCs/>
          <w:color w:val="1a1a2e"/>
          <w:sz w:val="28"/>
          <w:szCs w:val="28"/>
        </w:rPr>
        <w:t xml:space="preserve">PROFITS INTEREST PLAN</w:t>
      </w:r>
    </w:p>
    <w:p>
      <w:pPr>
        <w:spacing w:after="360"/>
        <w:jc w:val="center"/>
      </w:pPr>
      <w:r>
        <w:rPr>
          <w:rFonts w:ascii="Calibri" w:cs="Calibri" w:eastAsia="Calibri" w:hAnsi="Calibri"/>
          <w:i/>
          <w:iCs/>
          <w:color w:val="555555"/>
          <w:sz w:val="22"/>
          <w:szCs w:val="22"/>
        </w:rPr>
        <w:t xml:space="preserve">Effective as of [DATE]</w:t>
      </w:r>
    </w:p>
    <w:p>
      <w:pPr>
        <w:pStyle w:val="Heading2"/>
        <w:spacing w:after="120" w:before="240"/>
      </w:pPr>
      <w:r>
        <w:rPr>
          <w:rFonts w:ascii="Calibri" w:cs="Calibri" w:eastAsia="Calibri" w:hAnsi="Calibri"/>
          <w:b/>
          <w:bCs/>
          <w:color w:val="1a1a2e"/>
          <w:sz w:val="24"/>
          <w:szCs w:val="24"/>
        </w:rPr>
        <w:t xml:space="preserve">Section 1. Purpose and Effective Date</w:t>
      </w:r>
    </w:p>
    <w:p>
      <w:pPr>
        <w:spacing w:after="160"/>
        <w:jc w:val="left"/>
      </w:pPr>
      <w:r>
        <w:rPr>
          <w:rFonts w:ascii="Calibri" w:cs="Calibri" w:eastAsia="Calibri" w:hAnsi="Calibri"/>
          <w:color w:val="333333"/>
          <w:sz w:val="22"/>
          <w:szCs w:val="22"/>
        </w:rPr>
        <w:t xml:space="preserve">This Profits Interest Plan (the "Plan") is adopted by [COMPANY], LLC, a [STATE] limited liability company (the "Company"), effective [DATE]. The purpose of the Plan is to promote the Company's long-term success by allowing eligible service providers to participate in future appreciation through awards of Incentive Units. The Company intends that each properly designated Incentive Unit will constitute a "profits interest" for U.S. federal income-tax purposes within the meaning of Revenue Procedures 93-27 and 2001-43, although the Company does not guarantee that treatment.</w:t>
      </w:r>
    </w:p>
    <w:p>
      <w:pPr>
        <w:pStyle w:val="Heading2"/>
        <w:spacing w:after="120" w:before="240"/>
      </w:pPr>
      <w:r>
        <w:rPr>
          <w:rFonts w:ascii="Calibri" w:cs="Calibri" w:eastAsia="Calibri" w:hAnsi="Calibri"/>
          <w:b/>
          <w:bCs/>
          <w:color w:val="1a1a2e"/>
          <w:sz w:val="24"/>
          <w:szCs w:val="24"/>
        </w:rPr>
        <w:t xml:space="preserve">Section 2. Definitions</w:t>
      </w:r>
    </w:p>
    <w:p>
      <w:pPr>
        <w:spacing w:after="160"/>
      </w:pPr>
      <w:r>
        <w:rPr>
          <w:rFonts w:ascii="Calibri" w:cs="Calibri" w:eastAsia="Calibri" w:hAnsi="Calibri"/>
          <w:b/>
          <w:bCs/>
          <w:color w:val="333333"/>
          <w:sz w:val="22"/>
          <w:szCs w:val="22"/>
        </w:rPr>
        <w:t xml:space="preserve">"Administrator" </w:t>
      </w:r>
      <w:r>
        <w:rPr>
          <w:rFonts w:ascii="Calibri" w:cs="Calibri" w:eastAsia="Calibri" w:hAnsi="Calibri"/>
          <w:color w:val="333333"/>
          <w:sz w:val="22"/>
          <w:szCs w:val="22"/>
        </w:rPr>
        <w:t xml:space="preserve">means the Board of Managers of the Company, or a committee of one or more Managers appointed by the Board to administer this Plan.</w:t>
      </w:r>
    </w:p>
    <w:p>
      <w:pPr>
        <w:spacing w:after="160"/>
      </w:pPr>
      <w:r>
        <w:rPr>
          <w:rFonts w:ascii="Calibri" w:cs="Calibri" w:eastAsia="Calibri" w:hAnsi="Calibri"/>
          <w:b/>
          <w:bCs/>
          <w:color w:val="333333"/>
          <w:sz w:val="22"/>
          <w:szCs w:val="22"/>
        </w:rPr>
        <w:t xml:space="preserve">"Award" </w:t>
      </w:r>
      <w:r>
        <w:rPr>
          <w:rFonts w:ascii="Calibri" w:cs="Calibri" w:eastAsia="Calibri" w:hAnsi="Calibri"/>
          <w:color w:val="333333"/>
          <w:sz w:val="22"/>
          <w:szCs w:val="22"/>
        </w:rPr>
        <w:t xml:space="preserve">means a grant of Incentive Units under this Plan.</w:t>
      </w:r>
    </w:p>
    <w:p>
      <w:pPr>
        <w:spacing w:after="160"/>
      </w:pPr>
      <w:r>
        <w:rPr>
          <w:rFonts w:ascii="Calibri" w:cs="Calibri" w:eastAsia="Calibri" w:hAnsi="Calibri"/>
          <w:b/>
          <w:bCs/>
          <w:color w:val="333333"/>
          <w:sz w:val="22"/>
          <w:szCs w:val="22"/>
        </w:rPr>
        <w:t xml:space="preserve">"Award Agreement" </w:t>
      </w:r>
      <w:r>
        <w:rPr>
          <w:rFonts w:ascii="Calibri" w:cs="Calibri" w:eastAsia="Calibri" w:hAnsi="Calibri"/>
          <w:color w:val="333333"/>
          <w:sz w:val="22"/>
          <w:szCs w:val="22"/>
        </w:rPr>
        <w:t xml:space="preserve">means the written agreement between the Company and a Participant evidencing the terms of an Award.</w:t>
      </w:r>
    </w:p>
    <w:p>
      <w:pPr>
        <w:spacing w:after="160"/>
      </w:pPr>
      <w:r>
        <w:rPr>
          <w:rFonts w:ascii="Calibri" w:cs="Calibri" w:eastAsia="Calibri" w:hAnsi="Calibri"/>
          <w:b/>
          <w:bCs/>
          <w:color w:val="333333"/>
          <w:sz w:val="22"/>
          <w:szCs w:val="22"/>
        </w:rPr>
        <w:t xml:space="preserve">"Board" </w:t>
      </w:r>
      <w:r>
        <w:rPr>
          <w:rFonts w:ascii="Calibri" w:cs="Calibri" w:eastAsia="Calibri" w:hAnsi="Calibri"/>
          <w:color w:val="333333"/>
          <w:sz w:val="22"/>
          <w:szCs w:val="22"/>
        </w:rPr>
        <w:t xml:space="preserve">means the Board of Managers of the Company.</w:t>
      </w:r>
    </w:p>
    <w:p>
      <w:pPr>
        <w:spacing w:after="160"/>
      </w:pPr>
      <w:r>
        <w:rPr>
          <w:rFonts w:ascii="Calibri" w:cs="Calibri" w:eastAsia="Calibri" w:hAnsi="Calibri"/>
          <w:b/>
          <w:bCs/>
          <w:color w:val="333333"/>
          <w:sz w:val="22"/>
          <w:szCs w:val="22"/>
        </w:rPr>
        <w:t xml:space="preserve">"Business Day" </w:t>
      </w:r>
      <w:r>
        <w:rPr>
          <w:rFonts w:ascii="Calibri" w:cs="Calibri" w:eastAsia="Calibri" w:hAnsi="Calibri"/>
          <w:color w:val="333333"/>
          <w:sz w:val="22"/>
          <w:szCs w:val="22"/>
        </w:rPr>
        <w:t xml:space="preserve">means any day other than a Saturday, Sunday, or day on which banks in [STATE] are authorized or required to close.</w:t>
      </w:r>
    </w:p>
    <w:p>
      <w:pPr>
        <w:spacing w:after="160"/>
      </w:pPr>
      <w:r>
        <w:rPr>
          <w:rFonts w:ascii="Calibri" w:cs="Calibri" w:eastAsia="Calibri" w:hAnsi="Calibri"/>
          <w:b/>
          <w:bCs/>
          <w:color w:val="333333"/>
          <w:sz w:val="22"/>
          <w:szCs w:val="22"/>
        </w:rPr>
        <w:t xml:space="preserve">"Cause" </w:t>
      </w:r>
      <w:r>
        <w:rPr>
          <w:rFonts w:ascii="Calibri" w:cs="Calibri" w:eastAsia="Calibri" w:hAnsi="Calibri"/>
          <w:color w:val="333333"/>
          <w:sz w:val="22"/>
          <w:szCs w:val="22"/>
        </w:rPr>
        <w:t xml:space="preserve">has the meaning set forth in the Participant's service agreement with the Company or, if no such definition exists, means: (a) fraud, embezzlement, or material dishonesty related to the Company; (b) willful misconduct that materially injures the Company; (c) conviction of, or plea of no contest to, a felony; or (d) uncured material breach of a written obligation to the Company after [30] days' notice.</w:t>
      </w:r>
    </w:p>
    <w:p>
      <w:pPr>
        <w:spacing w:after="160"/>
      </w:pPr>
      <w:r>
        <w:rPr>
          <w:rFonts w:ascii="Calibri" w:cs="Calibri" w:eastAsia="Calibri" w:hAnsi="Calibri"/>
          <w:b/>
          <w:bCs/>
          <w:color w:val="333333"/>
          <w:sz w:val="22"/>
          <w:szCs w:val="22"/>
        </w:rPr>
        <w:t xml:space="preserve">"Change in Control" </w:t>
      </w:r>
      <w:r>
        <w:rPr>
          <w:rFonts w:ascii="Calibri" w:cs="Calibri" w:eastAsia="Calibri" w:hAnsi="Calibri"/>
          <w:color w:val="333333"/>
          <w:sz w:val="22"/>
          <w:szCs w:val="22"/>
        </w:rPr>
        <w:t xml:space="preserve">means: (a) a sale or disposition of all or substantially all of the Company's assets; (b) any transaction or series of related transactions after which the holders of the Company's voting interests immediately prior to such transaction no longer hold a majority of the voting power; or (c) a merger, consolidation, or similar combination producing the result described in clause (b); excluding in each case an internal reorganization that does not change the ultimate beneficial ownership.</w:t>
      </w:r>
    </w:p>
    <w:p>
      <w:pPr>
        <w:spacing w:after="160"/>
      </w:pPr>
      <w:r>
        <w:rPr>
          <w:rFonts w:ascii="Calibri" w:cs="Calibri" w:eastAsia="Calibri" w:hAnsi="Calibri"/>
          <w:b/>
          <w:bCs/>
          <w:color w:val="333333"/>
          <w:sz w:val="22"/>
          <w:szCs w:val="22"/>
        </w:rPr>
        <w:t xml:space="preserve">"Continuous Service" </w:t>
      </w:r>
      <w:r>
        <w:rPr>
          <w:rFonts w:ascii="Calibri" w:cs="Calibri" w:eastAsia="Calibri" w:hAnsi="Calibri"/>
          <w:color w:val="333333"/>
          <w:sz w:val="22"/>
          <w:szCs w:val="22"/>
        </w:rPr>
        <w:t xml:space="preserve">means uninterrupted service to the Company or an Affiliate as an employee, manager, consultant, or adviser, subject to leave policies approved by the Administrator.</w:t>
      </w:r>
    </w:p>
    <w:p>
      <w:pPr>
        <w:spacing w:after="160"/>
      </w:pPr>
      <w:r>
        <w:rPr>
          <w:rFonts w:ascii="Calibri" w:cs="Calibri" w:eastAsia="Calibri" w:hAnsi="Calibri"/>
          <w:b/>
          <w:bCs/>
          <w:color w:val="333333"/>
          <w:sz w:val="22"/>
          <w:szCs w:val="22"/>
        </w:rPr>
        <w:t xml:space="preserve">"Disability" </w:t>
      </w:r>
      <w:r>
        <w:rPr>
          <w:rFonts w:ascii="Calibri" w:cs="Calibri" w:eastAsia="Calibri" w:hAnsi="Calibri"/>
          <w:color w:val="333333"/>
          <w:sz w:val="22"/>
          <w:szCs w:val="22"/>
        </w:rPr>
        <w:t xml:space="preserve">means the Participant's inability to perform the essential functions of the Participant's position for [180] consecutive days, as determined by the Administrator in good faith.</w:t>
      </w:r>
    </w:p>
    <w:p>
      <w:pPr>
        <w:spacing w:after="160"/>
      </w:pPr>
      <w:r>
        <w:rPr>
          <w:rFonts w:ascii="Calibri" w:cs="Calibri" w:eastAsia="Calibri" w:hAnsi="Calibri"/>
          <w:b/>
          <w:bCs/>
          <w:color w:val="333333"/>
          <w:sz w:val="22"/>
          <w:szCs w:val="22"/>
        </w:rPr>
        <w:t xml:space="preserve">"Fair Market Value" </w:t>
      </w:r>
      <w:r>
        <w:rPr>
          <w:rFonts w:ascii="Calibri" w:cs="Calibri" w:eastAsia="Calibri" w:hAnsi="Calibri"/>
          <w:color w:val="333333"/>
          <w:sz w:val="22"/>
          <w:szCs w:val="22"/>
        </w:rPr>
        <w:t xml:space="preserve">means the fair market value of an Incentive Unit as of the applicable date, determined in good faith by the Administrator based on all relevant information, without applying any discount for minority interest or lack of marketability unless the Award Agreement expressly provides otherwise.</w:t>
      </w:r>
    </w:p>
    <w:p>
      <w:pPr>
        <w:spacing w:after="160"/>
      </w:pPr>
      <w:r>
        <w:rPr>
          <w:rFonts w:ascii="Calibri" w:cs="Calibri" w:eastAsia="Calibri" w:hAnsi="Calibri"/>
          <w:b/>
          <w:bCs/>
          <w:color w:val="333333"/>
          <w:sz w:val="22"/>
          <w:szCs w:val="22"/>
        </w:rPr>
        <w:t xml:space="preserve">"Good Reason" </w:t>
      </w:r>
      <w:r>
        <w:rPr>
          <w:rFonts w:ascii="Calibri" w:cs="Calibri" w:eastAsia="Calibri" w:hAnsi="Calibri"/>
          <w:color w:val="333333"/>
          <w:sz w:val="22"/>
          <w:szCs w:val="22"/>
        </w:rPr>
        <w:t xml:space="preserve">means, without the Participant's written consent: (a) a material reduction in base compensation; (b) a material diminution in duties or authority; or (c) a required relocation of more than [50] miles; provided the Participant gives notice within [30] days, the Company fails to cure within [30] days, and the Participant resigns within [30] days after the cure period.</w:t>
      </w:r>
    </w:p>
    <w:p>
      <w:pPr>
        <w:spacing w:after="160"/>
      </w:pPr>
      <w:r>
        <w:rPr>
          <w:rFonts w:ascii="Calibri" w:cs="Calibri" w:eastAsia="Calibri" w:hAnsi="Calibri"/>
          <w:b/>
          <w:bCs/>
          <w:color w:val="333333"/>
          <w:sz w:val="22"/>
          <w:szCs w:val="22"/>
        </w:rPr>
        <w:t xml:space="preserve">"Incentive Unit" </w:t>
      </w:r>
      <w:r>
        <w:rPr>
          <w:rFonts w:ascii="Calibri" w:cs="Calibri" w:eastAsia="Calibri" w:hAnsi="Calibri"/>
          <w:color w:val="333333"/>
          <w:sz w:val="22"/>
          <w:szCs w:val="22"/>
        </w:rPr>
        <w:t xml:space="preserve">means the class or series of membership interest created under the LLC Agreement for Awards under this Plan.</w:t>
      </w:r>
    </w:p>
    <w:p>
      <w:pPr>
        <w:spacing w:after="160"/>
      </w:pPr>
      <w:r>
        <w:rPr>
          <w:rFonts w:ascii="Calibri" w:cs="Calibri" w:eastAsia="Calibri" w:hAnsi="Calibri"/>
          <w:b/>
          <w:bCs/>
          <w:color w:val="333333"/>
          <w:sz w:val="22"/>
          <w:szCs w:val="22"/>
        </w:rPr>
        <w:t xml:space="preserve">"LLC Agreement" </w:t>
      </w:r>
      <w:r>
        <w:rPr>
          <w:rFonts w:ascii="Calibri" w:cs="Calibri" w:eastAsia="Calibri" w:hAnsi="Calibri"/>
          <w:color w:val="333333"/>
          <w:sz w:val="22"/>
          <w:szCs w:val="22"/>
        </w:rPr>
        <w:t xml:space="preserve">means the Company's Limited Liability Company Operating Agreement, as amended from time to time.</w:t>
      </w:r>
    </w:p>
    <w:p>
      <w:pPr>
        <w:spacing w:after="160"/>
      </w:pPr>
      <w:r>
        <w:rPr>
          <w:rFonts w:ascii="Calibri" w:cs="Calibri" w:eastAsia="Calibri" w:hAnsi="Calibri"/>
          <w:b/>
          <w:bCs/>
          <w:color w:val="333333"/>
          <w:sz w:val="22"/>
          <w:szCs w:val="22"/>
        </w:rPr>
        <w:t xml:space="preserve">"Member" </w:t>
      </w:r>
      <w:r>
        <w:rPr>
          <w:rFonts w:ascii="Calibri" w:cs="Calibri" w:eastAsia="Calibri" w:hAnsi="Calibri"/>
          <w:color w:val="333333"/>
          <w:sz w:val="22"/>
          <w:szCs w:val="22"/>
        </w:rPr>
        <w:t xml:space="preserve">means a member of the Company as defined in the LLC Agreement.</w:t>
      </w:r>
    </w:p>
    <w:p>
      <w:pPr>
        <w:spacing w:after="160"/>
      </w:pPr>
      <w:r>
        <w:rPr>
          <w:rFonts w:ascii="Calibri" w:cs="Calibri" w:eastAsia="Calibri" w:hAnsi="Calibri"/>
          <w:b/>
          <w:bCs/>
          <w:color w:val="333333"/>
          <w:sz w:val="22"/>
          <w:szCs w:val="22"/>
        </w:rPr>
        <w:t xml:space="preserve">"Participant" </w:t>
      </w:r>
      <w:r>
        <w:rPr>
          <w:rFonts w:ascii="Calibri" w:cs="Calibri" w:eastAsia="Calibri" w:hAnsi="Calibri"/>
          <w:color w:val="333333"/>
          <w:sz w:val="22"/>
          <w:szCs w:val="22"/>
        </w:rPr>
        <w:t xml:space="preserve">means any Service Provider who has been granted an Award under this Plan.</w:t>
      </w:r>
    </w:p>
    <w:p>
      <w:pPr>
        <w:spacing w:after="160"/>
      </w:pPr>
      <w:r>
        <w:rPr>
          <w:rFonts w:ascii="Calibri" w:cs="Calibri" w:eastAsia="Calibri" w:hAnsi="Calibri"/>
          <w:b/>
          <w:bCs/>
          <w:color w:val="333333"/>
          <w:sz w:val="22"/>
          <w:szCs w:val="22"/>
        </w:rPr>
        <w:t xml:space="preserve">"Profits Interest Hurdle" </w:t>
      </w:r>
      <w:r>
        <w:rPr>
          <w:rFonts w:ascii="Calibri" w:cs="Calibri" w:eastAsia="Calibri" w:hAnsi="Calibri"/>
          <w:color w:val="333333"/>
          <w:sz w:val="22"/>
          <w:szCs w:val="22"/>
        </w:rPr>
        <w:t xml:space="preserve">means the aggregate amount that must be distributed to holders of interests senior to the applicable Incentive Units under the LLC Agreement's distribution waterfall before the Incentive Units participate in residual distributions.</w:t>
      </w:r>
    </w:p>
    <w:p>
      <w:pPr>
        <w:spacing w:after="160"/>
      </w:pPr>
      <w:r>
        <w:rPr>
          <w:rFonts w:ascii="Calibri" w:cs="Calibri" w:eastAsia="Calibri" w:hAnsi="Calibri"/>
          <w:b/>
          <w:bCs/>
          <w:color w:val="333333"/>
          <w:sz w:val="22"/>
          <w:szCs w:val="22"/>
        </w:rPr>
        <w:t xml:space="preserve">"Restricted Unit" </w:t>
      </w:r>
      <w:r>
        <w:rPr>
          <w:rFonts w:ascii="Calibri" w:cs="Calibri" w:eastAsia="Calibri" w:hAnsi="Calibri"/>
          <w:color w:val="333333"/>
          <w:sz w:val="22"/>
          <w:szCs w:val="22"/>
        </w:rPr>
        <w:t xml:space="preserve">means an Incentive Unit that remains subject to service-based vesting and the Company's forfeiture right.</w:t>
      </w:r>
    </w:p>
    <w:p>
      <w:pPr>
        <w:spacing w:after="160"/>
      </w:pPr>
      <w:r>
        <w:rPr>
          <w:rFonts w:ascii="Calibri" w:cs="Calibri" w:eastAsia="Calibri" w:hAnsi="Calibri"/>
          <w:b/>
          <w:bCs/>
          <w:color w:val="333333"/>
          <w:sz w:val="22"/>
          <w:szCs w:val="22"/>
        </w:rPr>
        <w:t xml:space="preserve">"Service Provider" </w:t>
      </w:r>
      <w:r>
        <w:rPr>
          <w:rFonts w:ascii="Calibri" w:cs="Calibri" w:eastAsia="Calibri" w:hAnsi="Calibri"/>
          <w:color w:val="333333"/>
          <w:sz w:val="22"/>
          <w:szCs w:val="22"/>
        </w:rPr>
        <w:t xml:space="preserve">means any employee, manager, consultant, or adviser who provides bona fide services to the Company or an Affiliate.</w:t>
      </w:r>
    </w:p>
    <w:p>
      <w:pPr>
        <w:spacing w:after="160"/>
      </w:pPr>
      <w:r>
        <w:rPr>
          <w:rFonts w:ascii="Calibri" w:cs="Calibri" w:eastAsia="Calibri" w:hAnsi="Calibri"/>
          <w:b/>
          <w:bCs/>
          <w:color w:val="333333"/>
          <w:sz w:val="22"/>
          <w:szCs w:val="22"/>
        </w:rPr>
        <w:t xml:space="preserve">"Vested Unit" </w:t>
      </w:r>
      <w:r>
        <w:rPr>
          <w:rFonts w:ascii="Calibri" w:cs="Calibri" w:eastAsia="Calibri" w:hAnsi="Calibri"/>
          <w:color w:val="333333"/>
          <w:sz w:val="22"/>
          <w:szCs w:val="22"/>
        </w:rPr>
        <w:t xml:space="preserve">means an Incentive Unit that is no longer subject to service-based forfeiture under the applicable Award Agreement.</w:t>
      </w:r>
    </w:p>
    <w:p>
      <w:pPr>
        <w:pStyle w:val="Heading2"/>
        <w:spacing w:after="120" w:before="240"/>
      </w:pPr>
      <w:r>
        <w:rPr>
          <w:rFonts w:ascii="Calibri" w:cs="Calibri" w:eastAsia="Calibri" w:hAnsi="Calibri"/>
          <w:b/>
          <w:bCs/>
          <w:color w:val="1a1a2e"/>
          <w:sz w:val="24"/>
          <w:szCs w:val="24"/>
        </w:rPr>
        <w:t xml:space="preserve">Section 3. Administration</w:t>
      </w:r>
    </w:p>
    <w:p>
      <w:pPr>
        <w:spacing w:after="160"/>
        <w:jc w:val="left"/>
      </w:pPr>
      <w:r>
        <w:rPr>
          <w:rFonts w:ascii="Calibri" w:cs="Calibri" w:eastAsia="Calibri" w:hAnsi="Calibri"/>
          <w:color w:val="333333"/>
          <w:sz w:val="22"/>
          <w:szCs w:val="22"/>
        </w:rPr>
        <w:t xml:space="preserve">3.1 Authority. The Administrator shall have full authority to administer the Plan, including the power to: (a) select Participants; (b) determine the number of Incentive Units, the Profits Interest Hurdle, the vesting schedule, any performance conditions, transfer restrictions, and call rights applicable to each Award; (c) approve Award Agreement forms and related documents; (d) interpret the Plan and Award Agreements; (e) correct administrative errors; and (f) make equitable adjustments as contemplated by Section 7.</w:t>
      </w:r>
    </w:p>
    <w:p>
      <w:pPr>
        <w:spacing w:after="160"/>
        <w:jc w:val="left"/>
      </w:pPr>
      <w:r>
        <w:rPr>
          <w:rFonts w:ascii="Calibri" w:cs="Calibri" w:eastAsia="Calibri" w:hAnsi="Calibri"/>
          <w:color w:val="333333"/>
          <w:sz w:val="22"/>
          <w:szCs w:val="22"/>
        </w:rPr>
        <w:t xml:space="preserve">3.2 Conditions. The Administrator may condition any Award on the Participant's execution of an Award Agreement, joinder to the LLC Agreement, spousal consent, tax elections, or other documentation as the Administrator determines necessary.</w:t>
      </w:r>
    </w:p>
    <w:p>
      <w:pPr>
        <w:spacing w:after="160"/>
        <w:jc w:val="left"/>
      </w:pPr>
      <w:r>
        <w:rPr>
          <w:rFonts w:ascii="Calibri" w:cs="Calibri" w:eastAsia="Calibri" w:hAnsi="Calibri"/>
          <w:color w:val="333333"/>
          <w:sz w:val="22"/>
          <w:szCs w:val="22"/>
        </w:rPr>
        <w:t xml:space="preserve">3.3 Delegation. The Administrator may delegate ministerial and administrative duties to officers or employees of the Company, but may not delegate authority that applicable law or the LLC Agreement reserves to the Members or Managers.</w:t>
      </w:r>
    </w:p>
    <w:p>
      <w:pPr>
        <w:spacing w:after="160"/>
        <w:jc w:val="left"/>
      </w:pPr>
      <w:r>
        <w:rPr>
          <w:rFonts w:ascii="Calibri" w:cs="Calibri" w:eastAsia="Calibri" w:hAnsi="Calibri"/>
          <w:color w:val="333333"/>
          <w:sz w:val="22"/>
          <w:szCs w:val="22"/>
        </w:rPr>
        <w:t xml:space="preserve">3.4 Finality. All decisions, interpretations, and determinations made by the Administrator in good faith shall be final, conclusive, and binding on all parties, subject to applicable law and the LLC Agreement.</w:t>
      </w:r>
    </w:p>
    <w:p>
      <w:pPr>
        <w:pStyle w:val="Heading2"/>
        <w:spacing w:after="120" w:before="240"/>
      </w:pPr>
      <w:r>
        <w:rPr>
          <w:rFonts w:ascii="Calibri" w:cs="Calibri" w:eastAsia="Calibri" w:hAnsi="Calibri"/>
          <w:b/>
          <w:bCs/>
          <w:color w:val="1a1a2e"/>
          <w:sz w:val="24"/>
          <w:szCs w:val="24"/>
        </w:rPr>
        <w:t xml:space="preserve">Section 4. Plan Pool and Authorization</w:t>
      </w:r>
    </w:p>
    <w:p>
      <w:pPr>
        <w:spacing w:after="160"/>
        <w:jc w:val="left"/>
      </w:pPr>
      <w:r>
        <w:rPr>
          <w:rFonts w:ascii="Calibri" w:cs="Calibri" w:eastAsia="Calibri" w:hAnsi="Calibri"/>
          <w:color w:val="333333"/>
          <w:sz w:val="22"/>
          <w:szCs w:val="22"/>
        </w:rPr>
        <w:t xml:space="preserve">4.1 Pool. The maximum number of Incentive Units that may be granted under this Plan is [NUMBER] Units, representing not more than [PERCENT]% of the Company's equity interests on a fully diluted basis as of the date of adoption.</w:t>
      </w:r>
    </w:p>
    <w:p>
      <w:pPr>
        <w:spacing w:after="160"/>
        <w:jc w:val="left"/>
      </w:pPr>
      <w:r>
        <w:rPr>
          <w:rFonts w:ascii="Calibri" w:cs="Calibri" w:eastAsia="Calibri" w:hAnsi="Calibri"/>
          <w:color w:val="333333"/>
          <w:sz w:val="22"/>
          <w:szCs w:val="22"/>
        </w:rPr>
        <w:t xml:space="preserve">4.2 Recycling. Any Incentive Units that are forfeited or repurchased by the Company at a price not exceeding the original purchase price (if any) shall return to the Plan pool and again become available for future Awards. Units repurchased at Fair Market Value shall not return to the pool unless the Administrator determines otherwise in accordance with the LLC Agreement.</w:t>
      </w:r>
    </w:p>
    <w:p>
      <w:pPr>
        <w:spacing w:after="160"/>
        <w:jc w:val="left"/>
      </w:pPr>
      <w:r>
        <w:rPr>
          <w:rFonts w:ascii="Calibri" w:cs="Calibri" w:eastAsia="Calibri" w:hAnsi="Calibri"/>
          <w:color w:val="333333"/>
          <w:sz w:val="22"/>
          <w:szCs w:val="22"/>
        </w:rPr>
        <w:t xml:space="preserve">4.3 LLC Agreement Supremacy. The Plan pool does not authorize any issuance that the LLC Agreement prohibits. The Company shall ensure that the LLC Agreement authorizes the creation, issuance, and terms of the Incentive Unit class before the first Award is granted.</w:t>
      </w:r>
    </w:p>
    <w:p>
      <w:pPr>
        <w:pStyle w:val="Heading2"/>
        <w:spacing w:after="120" w:before="240"/>
      </w:pPr>
      <w:r>
        <w:rPr>
          <w:rFonts w:ascii="Calibri" w:cs="Calibri" w:eastAsia="Calibri" w:hAnsi="Calibri"/>
          <w:b/>
          <w:bCs/>
          <w:color w:val="1a1a2e"/>
          <w:sz w:val="24"/>
          <w:szCs w:val="24"/>
        </w:rPr>
        <w:t xml:space="preserve">Section 5. Awards</w:t>
      </w:r>
    </w:p>
    <w:p>
      <w:pPr>
        <w:spacing w:after="160"/>
        <w:jc w:val="left"/>
      </w:pPr>
      <w:r>
        <w:rPr>
          <w:rFonts w:ascii="Calibri" w:cs="Calibri" w:eastAsia="Calibri" w:hAnsi="Calibri"/>
          <w:color w:val="333333"/>
          <w:sz w:val="22"/>
          <w:szCs w:val="22"/>
        </w:rPr>
        <w:t xml:space="preserve">5.1 Award Agreements. Each Award shall be evidenced by an Award Agreement that specifies: (a) the grant date; (b) the number and class of Incentive Units; (c) the Profits Interest Hurdle; (d) the vesting schedule and any acceleration provisions; (e) distribution and voting rights; (f) treatment upon termination of Continuous Service; (g) transfer restrictions; and (h) any additional terms required by the Administrator.</w:t>
      </w:r>
    </w:p>
    <w:p>
      <w:pPr>
        <w:spacing w:after="160"/>
        <w:jc w:val="left"/>
      </w:pPr>
      <w:r>
        <w:rPr>
          <w:rFonts w:ascii="Calibri" w:cs="Calibri" w:eastAsia="Calibri" w:hAnsi="Calibri"/>
          <w:color w:val="333333"/>
          <w:sz w:val="22"/>
          <w:szCs w:val="22"/>
        </w:rPr>
        <w:t xml:space="preserve">5.2 Subordination. Each Award is expressly subordinate to the LLC Agreement. In the event of any conflict between the terms of an Award Agreement and the LLC Agreement, the LLC Agreement shall control as to economic, governance, and Member rights.</w:t>
      </w:r>
    </w:p>
    <w:p>
      <w:pPr>
        <w:spacing w:after="160"/>
        <w:jc w:val="left"/>
      </w:pPr>
      <w:r>
        <w:rPr>
          <w:rFonts w:ascii="Calibri" w:cs="Calibri" w:eastAsia="Calibri" w:hAnsi="Calibri"/>
          <w:color w:val="333333"/>
          <w:sz w:val="22"/>
          <w:szCs w:val="22"/>
        </w:rPr>
        <w:t xml:space="preserve">5.3 Default Terms. Unless the applicable Award Agreement provides otherwise: (a) vesting requires Continuous Service; (b) all unvested Incentive Units are automatically forfeited for no consideration upon termination of Continuous Service; (c) no Award confers voting or governance rights until the Participant is admitted as a Member; and (d) no Participant may sell, assign, pledge, or transfer an Award except by will or the laws of intestate succession.</w:t>
      </w:r>
    </w:p>
    <w:p>
      <w:pPr>
        <w:spacing w:after="160"/>
        <w:jc w:val="left"/>
      </w:pPr>
      <w:r>
        <w:rPr>
          <w:rFonts w:ascii="Calibri" w:cs="Calibri" w:eastAsia="Calibri" w:hAnsi="Calibri"/>
          <w:color w:val="333333"/>
          <w:sz w:val="22"/>
          <w:szCs w:val="22"/>
        </w:rPr>
        <w:t xml:space="preserve">5.4 Hurdle Determination. The Administrator shall set each Profits Interest Hurdle in good faith using a contemporaneous liquidation-value analysis that reflects the Company's fair market value as of the grant date. The Company shall maintain the valuation methodology and supporting documentation for each grant. Tax distributions, allocations, and capital-account entries shall be governed exclusively by the LLC Agreement and shall not bypass the intended economic hurdle.</w:t>
      </w:r>
    </w:p>
    <w:p>
      <w:r>
        <w:br w:type="page"/>
      </w:r>
    </w:p>
    <w:p>
      <w:pPr>
        <w:pStyle w:val="Heading2"/>
        <w:spacing w:after="120" w:before="240"/>
      </w:pPr>
      <w:r>
        <w:rPr>
          <w:rFonts w:ascii="Calibri" w:cs="Calibri" w:eastAsia="Calibri" w:hAnsi="Calibri"/>
          <w:b/>
          <w:bCs/>
          <w:color w:val="1a1a2e"/>
          <w:sz w:val="24"/>
          <w:szCs w:val="24"/>
        </w:rPr>
        <w:t xml:space="preserve">Section 6. Company Call Right</w:t>
      </w:r>
    </w:p>
    <w:p>
      <w:pPr>
        <w:spacing w:after="160"/>
        <w:jc w:val="left"/>
      </w:pPr>
      <w:r>
        <w:rPr>
          <w:rFonts w:ascii="Calibri" w:cs="Calibri" w:eastAsia="Calibri" w:hAnsi="Calibri"/>
          <w:color w:val="333333"/>
          <w:sz w:val="22"/>
          <w:szCs w:val="22"/>
        </w:rPr>
        <w:t xml:space="preserve">6.1 Call Option. An Award Agreement may grant the Company (or its designee) the right to repurchase all or a portion of a Participant's Vested Units following the termination of the Participant's Continuous Service. Any such call right must specify: (a) the triggering event; (b) the notice period (not less than [30] days); (c) the valuation date; (d) the purchase price and methodology; (e) any appraisal procedure; (f) permitted offsets; (g) the form of payment; and (h) the closing deadline.</w:t>
      </w:r>
    </w:p>
    <w:p>
      <w:pPr>
        <w:spacing w:after="160"/>
        <w:jc w:val="left"/>
      </w:pPr>
      <w:r>
        <w:rPr>
          <w:rFonts w:ascii="Calibri" w:cs="Calibri" w:eastAsia="Calibri" w:hAnsi="Calibri"/>
          <w:color w:val="333333"/>
          <w:sz w:val="22"/>
          <w:szCs w:val="22"/>
        </w:rPr>
        <w:t xml:space="preserve">6.2 Default Price. Unless the Award Agreement expressly states otherwise, the repurchase price for Vested Units shall be the Fair Market Value as of the valuation date, determined in good faith by the Administrator without applying any minority or lack-of-marketability discount.</w:t>
      </w:r>
    </w:p>
    <w:p>
      <w:pPr>
        <w:spacing w:after="160"/>
        <w:jc w:val="left"/>
      </w:pPr>
      <w:r>
        <w:rPr>
          <w:rFonts w:ascii="Calibri" w:cs="Calibri" w:eastAsia="Calibri" w:hAnsi="Calibri"/>
          <w:color w:val="333333"/>
          <w:sz w:val="22"/>
          <w:szCs w:val="22"/>
        </w:rPr>
        <w:t xml:space="preserve">6.3 Cause-Based Discount. Any provision permitting a discounted repurchase price based on a termination for Cause requires separate review by legal and tax counsel before inclusion in an Award Agreement and must comply with applicable law.</w:t>
      </w:r>
    </w:p>
    <w:p>
      <w:pPr>
        <w:pStyle w:val="Heading2"/>
        <w:spacing w:after="120" w:before="240"/>
      </w:pPr>
      <w:r>
        <w:rPr>
          <w:rFonts w:ascii="Calibri" w:cs="Calibri" w:eastAsia="Calibri" w:hAnsi="Calibri"/>
          <w:b/>
          <w:bCs/>
          <w:color w:val="1a1a2e"/>
          <w:sz w:val="24"/>
          <w:szCs w:val="24"/>
        </w:rPr>
        <w:t xml:space="preserve">Section 7. Adjustments and Change in Control</w:t>
      </w:r>
    </w:p>
    <w:p>
      <w:pPr>
        <w:spacing w:after="160"/>
        <w:jc w:val="left"/>
      </w:pPr>
      <w:r>
        <w:rPr>
          <w:rFonts w:ascii="Calibri" w:cs="Calibri" w:eastAsia="Calibri" w:hAnsi="Calibri"/>
          <w:color w:val="333333"/>
          <w:sz w:val="22"/>
          <w:szCs w:val="22"/>
        </w:rPr>
        <w:t xml:space="preserve">7.1 Equitable Adjustments. In the event of any unit split, combination, recapitalization, reclassification, merger, conversion, or similar transaction affecting the Company's equity structure, the Administrator shall equitably adjust the Plan pool, the number and class of Incentive Units subject to outstanding Awards, and the applicable Profits Interest Hurdles, to prevent unintended dilution or enlargement of rights.</w:t>
      </w:r>
    </w:p>
    <w:p>
      <w:pPr>
        <w:spacing w:after="160"/>
        <w:jc w:val="left"/>
      </w:pPr>
      <w:r>
        <w:rPr>
          <w:rFonts w:ascii="Calibri" w:cs="Calibri" w:eastAsia="Calibri" w:hAnsi="Calibri"/>
          <w:color w:val="333333"/>
          <w:sz w:val="22"/>
          <w:szCs w:val="22"/>
        </w:rPr>
        <w:t xml:space="preserve">7.2 Change in Control. In connection with a Change in Control, the Administrator may, in its discretion and subject to the LLC Agreement: (a) arrange for the assumption or substitution of outstanding Awards by a successor entity; (b) provide for cash-out of Awards based on the per-unit consideration payable in the transaction; (c) continue Awards in accordance with their terms; or (d) cancel Awards that would receive no value under the distribution waterfall. The Administrator shall provide reasonable notice to Participants.</w:t>
      </w:r>
    </w:p>
    <w:p>
      <w:pPr>
        <w:spacing w:after="160"/>
        <w:jc w:val="left"/>
      </w:pPr>
      <w:r>
        <w:rPr>
          <w:rFonts w:ascii="Calibri" w:cs="Calibri" w:eastAsia="Calibri" w:hAnsi="Calibri"/>
          <w:color w:val="333333"/>
          <w:sz w:val="22"/>
          <w:szCs w:val="22"/>
        </w:rPr>
        <w:t xml:space="preserve">7.3 Acceleration. Acceleration of vesting shall occur only as expressly provided in the applicable Award Agreement: [none / single-trigger on Change in Control / double-trigger requiring both a Change in Control and qualifying termination within [12] months].</w:t>
      </w:r>
    </w:p>
    <w:p>
      <w:pPr>
        <w:pStyle w:val="Heading2"/>
        <w:spacing w:after="120" w:before="240"/>
      </w:pPr>
      <w:r>
        <w:rPr>
          <w:rFonts w:ascii="Calibri" w:cs="Calibri" w:eastAsia="Calibri" w:hAnsi="Calibri"/>
          <w:b/>
          <w:bCs/>
          <w:color w:val="1a1a2e"/>
          <w:sz w:val="24"/>
          <w:szCs w:val="24"/>
        </w:rPr>
        <w:t xml:space="preserve">Section 8. Tax Matters and Withholding</w:t>
      </w:r>
    </w:p>
    <w:p>
      <w:pPr>
        <w:spacing w:after="160"/>
        <w:jc w:val="left"/>
      </w:pPr>
      <w:r>
        <w:rPr>
          <w:rFonts w:ascii="Calibri" w:cs="Calibri" w:eastAsia="Calibri" w:hAnsi="Calibri"/>
          <w:color w:val="333333"/>
          <w:sz w:val="22"/>
          <w:szCs w:val="22"/>
        </w:rPr>
        <w:t xml:space="preserve">8.1 Withholding. The Company may satisfy any tax withholding obligations arising from an Award through: (a) cash payment by the Participant; (b) payroll deduction; (c) withholding from distributions; (d) unit withholding where lawful and permitted; or (e) any other method approved by the Administrator.</w:t>
      </w:r>
    </w:p>
    <w:p>
      <w:pPr>
        <w:spacing w:after="160"/>
        <w:jc w:val="left"/>
      </w:pPr>
      <w:r>
        <w:rPr>
          <w:rFonts w:ascii="Calibri" w:cs="Calibri" w:eastAsia="Calibri" w:hAnsi="Calibri"/>
          <w:color w:val="333333"/>
          <w:sz w:val="22"/>
          <w:szCs w:val="22"/>
        </w:rPr>
        <w:t xml:space="preserve">8.2 No Tax Assurance. Each Participant is solely responsible for obtaining independent tax advice concerning the tax consequences of an Award. The Company makes no representation or warranty and gives no assurance concerning: (a) whether an Award constitutes a profits interest; (b) the Participant's treatment as a partner or employee; (c) the application of Section 83, Section 409A, or any other provision of the Internal Revenue Code; (d) self-employment tax liability; (e) eligibility for employee benefits; or (f) any other federal, state, local, or foreign tax consequence.</w:t>
      </w:r>
    </w:p>
    <w:p>
      <w:pPr>
        <w:spacing w:after="160"/>
        <w:jc w:val="left"/>
      </w:pPr>
      <w:r>
        <w:rPr>
          <w:rFonts w:ascii="Calibri" w:cs="Calibri" w:eastAsia="Calibri" w:hAnsi="Calibri"/>
          <w:color w:val="333333"/>
          <w:sz w:val="22"/>
          <w:szCs w:val="22"/>
        </w:rPr>
        <w:t xml:space="preserve">8.3 Section 83(b) Election. The Participant is solely responsible for determining whether to file an election under Section 83(b) of the Internal Revenue Code, preparing and timely filing such election, retaining proof of filing, and providing a copy to the Company. The Company does not file any election on behalf of any Participant.</w:t>
      </w:r>
    </w:p>
    <w:p>
      <w:pPr>
        <w:pStyle w:val="Heading2"/>
        <w:spacing w:after="120" w:before="240"/>
      </w:pPr>
      <w:r>
        <w:rPr>
          <w:rFonts w:ascii="Calibri" w:cs="Calibri" w:eastAsia="Calibri" w:hAnsi="Calibri"/>
          <w:b/>
          <w:bCs/>
          <w:color w:val="1a1a2e"/>
          <w:sz w:val="24"/>
          <w:szCs w:val="24"/>
        </w:rPr>
        <w:t xml:space="preserve">Section 9. Transfer Restrictions</w:t>
      </w:r>
    </w:p>
    <w:p>
      <w:pPr>
        <w:spacing w:after="160"/>
        <w:jc w:val="left"/>
      </w:pPr>
      <w:r>
        <w:rPr>
          <w:rFonts w:ascii="Calibri" w:cs="Calibri" w:eastAsia="Calibri" w:hAnsi="Calibri"/>
          <w:color w:val="333333"/>
          <w:sz w:val="22"/>
          <w:szCs w:val="22"/>
        </w:rPr>
        <w:t xml:space="preserve">No Award or Incentive Unit may be sold, pledged, assigned, hypothecated, or otherwise transferred except as expressly permitted by the LLC Agreement and the applicable Award Agreement. Any purported transfer in violation of this Section 9 shall be void. Each permitted transferee must execute all required joinder agreements and shall remain subject to all vesting, call, securities-law, drag-along, tag-along, and other restrictions applicable to the transferred Units. The Company may refuse to record any transfer that does not comply with this Plan, the LLC Agreement, and applicable law.</w:t>
      </w:r>
    </w:p>
    <w:p>
      <w:pPr>
        <w:pStyle w:val="Heading2"/>
        <w:spacing w:after="120" w:before="240"/>
      </w:pPr>
      <w:r>
        <w:rPr>
          <w:rFonts w:ascii="Calibri" w:cs="Calibri" w:eastAsia="Calibri" w:hAnsi="Calibri"/>
          <w:b/>
          <w:bCs/>
          <w:color w:val="1a1a2e"/>
          <w:sz w:val="24"/>
          <w:szCs w:val="24"/>
        </w:rPr>
        <w:t xml:space="preserve">Section 10. General Provisions</w:t>
      </w:r>
    </w:p>
    <w:p>
      <w:pPr>
        <w:spacing w:after="160"/>
        <w:jc w:val="left"/>
      </w:pPr>
      <w:r>
        <w:rPr>
          <w:rFonts w:ascii="Calibri" w:cs="Calibri" w:eastAsia="Calibri" w:hAnsi="Calibri"/>
          <w:color w:val="333333"/>
          <w:sz w:val="22"/>
          <w:szCs w:val="22"/>
        </w:rPr>
        <w:t xml:space="preserve">10.1 No Right to Awards. No Service Provider has any right to receive an Award, and the grant of an Award does not create any right to continued service, future Awards, distributions, or any other benefit.</w:t>
      </w:r>
    </w:p>
    <w:p>
      <w:pPr>
        <w:spacing w:after="160"/>
        <w:jc w:val="left"/>
      </w:pPr>
      <w:r>
        <w:rPr>
          <w:rFonts w:ascii="Calibri" w:cs="Calibri" w:eastAsia="Calibri" w:hAnsi="Calibri"/>
          <w:color w:val="333333"/>
          <w:sz w:val="22"/>
          <w:szCs w:val="22"/>
        </w:rPr>
        <w:t xml:space="preserve">10.2 Compliance with Law. All issuances under this Plan are subject to compliance with applicable federal and state securities laws and the availability of exemptions from registration.</w:t>
      </w:r>
    </w:p>
    <w:p>
      <w:pPr>
        <w:spacing w:after="160"/>
        <w:jc w:val="left"/>
      </w:pPr>
      <w:r>
        <w:rPr>
          <w:rFonts w:ascii="Calibri" w:cs="Calibri" w:eastAsia="Calibri" w:hAnsi="Calibri"/>
          <w:color w:val="333333"/>
          <w:sz w:val="22"/>
          <w:szCs w:val="22"/>
        </w:rPr>
        <w:t xml:space="preserve">10.3 Amendment and Termination. The Board may amend, suspend, or terminate this Plan at any time; provided that no amendment shall materially impair the rights of a Participant under an outstanding Award without the Participant's written consent, unless such amendment is reasonably necessary to comply with applicable law, tax requirements, or regulatory guidance. Any amendment shall be adopted by written action of the Board.</w:t>
      </w:r>
    </w:p>
    <w:p>
      <w:pPr>
        <w:spacing w:after="160"/>
        <w:jc w:val="left"/>
      </w:pPr>
      <w:r>
        <w:rPr>
          <w:rFonts w:ascii="Calibri" w:cs="Calibri" w:eastAsia="Calibri" w:hAnsi="Calibri"/>
          <w:color w:val="333333"/>
          <w:sz w:val="22"/>
          <w:szCs w:val="22"/>
        </w:rPr>
        <w:t xml:space="preserve">10.4 Term. This Plan shall remain in effect for [10] years from the Effective Date, unless earlier terminated by the Board. Termination of the Plan shall not affect Awards previously granted, which shall continue in accordance with their terms.</w:t>
      </w:r>
    </w:p>
    <w:p>
      <w:pPr>
        <w:spacing w:after="160"/>
        <w:jc w:val="left"/>
      </w:pPr>
      <w:r>
        <w:rPr>
          <w:rFonts w:ascii="Calibri" w:cs="Calibri" w:eastAsia="Calibri" w:hAnsi="Calibri"/>
          <w:color w:val="333333"/>
          <w:sz w:val="22"/>
          <w:szCs w:val="22"/>
        </w:rPr>
        <w:t xml:space="preserve">10.5 Governing Law. This Plan shall be governed by and construed in accordance with the laws of the State of [STATE], without regard to conflict-of-laws principles.</w:t>
      </w:r>
    </w:p>
    <w:p>
      <w:pPr>
        <w:spacing w:after="160"/>
        <w:jc w:val="left"/>
      </w:pPr>
      <w:r>
        <w:rPr>
          <w:rFonts w:ascii="Calibri" w:cs="Calibri" w:eastAsia="Calibri" w:hAnsi="Calibri"/>
          <w:color w:val="333333"/>
          <w:sz w:val="22"/>
          <w:szCs w:val="22"/>
        </w:rPr>
        <w:t xml:space="preserve">10.6 Severability. If any provision of this Plan is held invalid or unenforceable, such provision shall be modified to the minimum extent necessary to make it valid and enforceable, and the remaining provisions shall continue in full force and effect.</w:t>
      </w:r>
    </w:p>
    <w:p>
      <w:pPr>
        <w:spacing w:after="160"/>
        <w:jc w:val="left"/>
      </w:pPr>
      <w:r>
        <w:rPr>
          <w:rFonts w:ascii="Calibri" w:cs="Calibri" w:eastAsia="Calibri" w:hAnsi="Calibri"/>
          <w:color w:val="333333"/>
          <w:sz w:val="22"/>
          <w:szCs w:val="22"/>
        </w:rPr>
        <w:t xml:space="preserve">10.7 Entire Agreement. This Plan, together with the LLC Agreement and each Award Agreement, constitutes the entire agreement with respect to Awards. In the event of conflict, the order of precedence is: (1) the LLC Agreement; (2) this Plan; and (3) the applicable Award Agreement.</w:t>
      </w:r>
    </w:p>
    <w:p>
      <w:r>
        <w:br w:type="page"/>
      </w:r>
    </w:p>
    <w:p>
      <w:pPr>
        <w:pStyle w:val="Heading2"/>
        <w:spacing w:after="120" w:before="240"/>
      </w:pPr>
      <w:r>
        <w:rPr>
          <w:rFonts w:ascii="Calibri" w:cs="Calibri" w:eastAsia="Calibri" w:hAnsi="Calibri"/>
          <w:b/>
          <w:bCs/>
          <w:color w:val="1a1a2e"/>
          <w:sz w:val="24"/>
          <w:szCs w:val="24"/>
        </w:rPr>
        <w:t xml:space="preserve">Adoption</w:t>
      </w:r>
    </w:p>
    <w:p>
      <w:pPr>
        <w:spacing w:after="160"/>
        <w:jc w:val="left"/>
      </w:pPr>
      <w:r>
        <w:rPr>
          <w:rFonts w:ascii="Calibri" w:cs="Calibri" w:eastAsia="Calibri" w:hAnsi="Calibri"/>
          <w:color w:val="333333"/>
          <w:sz w:val="22"/>
          <w:szCs w:val="22"/>
        </w:rPr>
        <w:t xml:space="preserve">This Profits Interest Plan was duly adopted by the Board of Managers of [COMPANY], LLC, by written consent effective as of [DATE].</w:t>
      </w:r>
    </w:p>
    <w:p>
      <w:pPr>
        <w:spacing w:before="480"/>
      </w:pPr>
    </w:p>
    <w:p>
      <w:pPr>
        <w:spacing w:after="160"/>
        <w:jc w:val="left"/>
      </w:pPr>
      <w:r>
        <w:rPr>
          <w:rFonts w:ascii="Calibri" w:cs="Calibri" w:eastAsia="Calibri" w:hAnsi="Calibri"/>
          <w:b/>
          <w:bCs/>
          <w:color w:val="333333"/>
          <w:sz w:val="22"/>
          <w:szCs w:val="22"/>
        </w:rPr>
        <w:t xml:space="preserve">[COMPANY], LLC</w:t>
      </w:r>
    </w:p>
    <w:p>
      <w:pPr>
        <w:spacing w:after="80" w:before="360"/>
      </w:pPr>
      <w:r>
        <w:rPr>
          <w:rFonts w:ascii="Calibri" w:cs="Calibri" w:eastAsia="Calibri" w:hAnsi="Calibri"/>
          <w:color w:val="333333"/>
          <w:sz w:val="22"/>
          <w:szCs w:val="22"/>
        </w:rPr>
        <w:t xml:space="preserve">____________________________________</w:t>
      </w:r>
    </w:p>
    <w:p>
      <w:pPr>
        <w:spacing w:after="200"/>
      </w:pPr>
      <w:r>
        <w:rPr>
          <w:rFonts w:ascii="Calibri" w:cs="Calibri" w:eastAsia="Calibri" w:hAnsi="Calibri"/>
          <w:i/>
          <w:iCs/>
          <w:color w:val="555555"/>
          <w:sz w:val="20"/>
          <w:szCs w:val="20"/>
        </w:rPr>
        <w:t xml:space="preserve">Name: [NAME]</w:t>
      </w:r>
    </w:p>
    <w:p>
      <w:pPr>
        <w:spacing w:after="200"/>
      </w:pPr>
      <w:r>
        <w:rPr>
          <w:rFonts w:ascii="Calibri" w:cs="Calibri" w:eastAsia="Calibri" w:hAnsi="Calibri"/>
          <w:i/>
          <w:iCs/>
          <w:color w:val="555555"/>
          <w:sz w:val="20"/>
          <w:szCs w:val="20"/>
        </w:rPr>
        <w:t xml:space="preserve">Title: [TITLE]</w:t>
      </w:r>
    </w:p>
    <w:p>
      <w:pPr>
        <w:spacing w:after="200"/>
      </w:pPr>
      <w:r>
        <w:rPr>
          <w:rFonts w:ascii="Calibri" w:cs="Calibri" w:eastAsia="Calibri" w:hAnsi="Calibri"/>
          <w:i/>
          <w:iCs/>
          <w:color w:val="555555"/>
          <w:sz w:val="20"/>
          <w:szCs w:val="20"/>
        </w:rPr>
        <w:t xml:space="preserve">Date: [DATE]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55555"/>
        <w:sz w:val="16"/>
        <w:szCs w:val="16"/>
      </w:rPr>
      <w:t xml:space="preserve">Montague Law  |  montague.law  |  Page </w:t>
    </w:r>
    <w:r>
      <w:rPr>
        <w:rFonts w:ascii="Calibri" w:cs="Calibri" w:eastAsia="Calibri" w:hAnsi="Calibri"/>
        <w:color w:val="555555"/>
        <w:sz w:val="16"/>
        <w:szCs w:val="16"/>
      </w:rPr>
      <w:fldChar w:fldCharType="begin"/>
      <w:instrText xml:space="preserve">PAGE</w:instrText>
      <w:fldChar w:fldCharType="separate"/>
      <w:fldChar w:fldCharType="end"/>
    </w:r>
    <w:r>
      <w:rPr>
        <w:rFonts w:ascii="Calibri" w:cs="Calibri" w:eastAsia="Calibri" w:hAnsi="Calibri"/>
        <w:color w:val="555555"/>
        <w:sz w:val="16"/>
        <w:szCs w:val="16"/>
      </w:rPr>
      <w:t xml:space="preserve"> of </w:t>
    </w:r>
    <w:r>
      <w:rPr>
        <w:rFonts w:ascii="Calibri" w:cs="Calibri" w:eastAsia="Calibri" w:hAnsi="Calibri"/>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555555"/>
        <w:sz w:val="18"/>
        <w:szCs w:val="18"/>
      </w:rPr>
      <w:t xml:space="preserve">Profits Interest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2026-08-22T16:49:11.038Z</dcterms:created>
  <dcterms:modified xsi:type="dcterms:W3CDTF">2026-08-22T16:49:11.042Z</dcterms:modified>
</cp:coreProperties>
</file>

<file path=docProps/custom.xml><?xml version="1.0" encoding="utf-8"?>
<Properties xmlns="http://schemas.openxmlformats.org/officeDocument/2006/custom-properties" xmlns:vt="http://schemas.openxmlformats.org/officeDocument/2006/docPropsVTypes"/>
</file>