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0"/>
          <w:szCs w:val="30"/>
        </w:rPr>
        <w:t xml:space="preserve">PROFITS INTEREST AWARD AGREEMENT</w:t>
      </w:r>
    </w:p>
    <w:p>
      <w:pPr>
        <w:spacing w:after="360"/>
        <w:jc w:val="center"/>
      </w:pPr>
      <w:r>
        <w:rPr>
          <w:rFonts w:ascii="Calibri" w:cs="Calibri" w:eastAsia="Calibri" w:hAnsi="Calibri"/>
          <w:i/>
          <w:iCs/>
          <w:color w:val="555555"/>
          <w:sz w:val="24"/>
          <w:szCs w:val="24"/>
        </w:rPr>
        <w:t xml:space="preserve">[COMPANY], LLC</w:t>
      </w:r>
    </w:p>
    <w:p>
      <w:pPr>
        <w:pStyle w:val="Heading2"/>
        <w:spacing w:after="120" w:before="240"/>
      </w:pPr>
      <w:r>
        <w:rPr>
          <w:rFonts w:ascii="Calibri" w:cs="Calibri" w:eastAsia="Calibri" w:hAnsi="Calibri"/>
          <w:b/>
          <w:bCs/>
          <w:color w:val="1a1a2e"/>
          <w:sz w:val="24"/>
          <w:szCs w:val="24"/>
        </w:rPr>
        <w:t xml:space="preserve">Grant Notice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Company:</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[COMPANY], LLC</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Participant:</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Grant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Incentive Units: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[NUMBER] [CLASS] Units</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Profits Interest Hurdle: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$[AMOUNT]</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Vesting Commencement:</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Vesting Schedule: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[4-year vesting, 1-year cliff, monthly thereafter]</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Acceleration: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[None / Single-Trigger / Double-Trigger]</w:t>
            </w:r>
          </w:p>
        </w:tc>
      </w:tr>
    </w:tbl>
    <w:p>
      <w:pPr>
        <w:spacing w:after="240"/>
      </w:pPr>
    </w:p>
    <w:p>
      <w:pPr>
        <w:pStyle w:val="Heading2"/>
        <w:spacing w:after="120" w:before="240"/>
      </w:pPr>
      <w:r>
        <w:rPr>
          <w:rFonts w:ascii="Calibri" w:cs="Calibri" w:eastAsia="Calibri" w:hAnsi="Calibri"/>
          <w:b/>
          <w:bCs/>
          <w:color w:val="1a1a2e"/>
          <w:sz w:val="24"/>
          <w:szCs w:val="24"/>
        </w:rPr>
        <w:t xml:space="preserve">1. Grant and Governing Documents</w:t>
      </w:r>
    </w:p>
    <w:p>
      <w:pPr>
        <w:spacing w:after="160"/>
        <w:jc w:val="left"/>
      </w:pPr>
      <w:r>
        <w:rPr>
          <w:rFonts w:ascii="Calibri" w:cs="Calibri" w:eastAsia="Calibri" w:hAnsi="Calibri"/>
          <w:color w:val="333333"/>
          <w:sz w:val="22"/>
          <w:szCs w:val="22"/>
        </w:rPr>
        <w:t xml:space="preserve">The Company hereby grants the Participant the Incentive Units described in the Grant Notice under the [PLAN NAME] (the "Plan"). The Participant accepts this Award subject to the terms of this Agreement, the Plan, and the Company's Limited Liability Company Operating Agreement (the "LLC Agreement"). In the event of any conflict: (a) the LLC Agreement controls as to economic, governance, and membership rights; (b) the Plan controls as to general program terms; and (c) this Agreement controls as to grant-specific terms, to the extent consistent with both.</w:t>
      </w:r>
    </w:p>
    <w:p>
      <w:pPr>
        <w:pStyle w:val="Heading2"/>
        <w:spacing w:after="120" w:before="240"/>
      </w:pPr>
      <w:r>
        <w:rPr>
          <w:rFonts w:ascii="Calibri" w:cs="Calibri" w:eastAsia="Calibri" w:hAnsi="Calibri"/>
          <w:b/>
          <w:bCs/>
          <w:color w:val="1a1a2e"/>
          <w:sz w:val="24"/>
          <w:szCs w:val="24"/>
        </w:rPr>
        <w:t xml:space="preserve">2. Intended Tax Treatment</w:t>
      </w:r>
    </w:p>
    <w:p>
      <w:pPr>
        <w:spacing w:after="160"/>
        <w:jc w:val="left"/>
      </w:pPr>
      <w:r>
        <w:rPr>
          <w:rFonts w:ascii="Calibri" w:cs="Calibri" w:eastAsia="Calibri" w:hAnsi="Calibri"/>
          <w:color w:val="333333"/>
          <w:sz w:val="22"/>
          <w:szCs w:val="22"/>
        </w:rPr>
        <w:t xml:space="preserve">The parties intend that the Incentive Units constitute "profits interests" within the meaning of Revenue Procedures 93-27 and 2001-43, having no liquidation value as of the Grant Date. The Company does not guarantee that this characterization will be respected by the Internal Revenue Service and will not indemnify the Participant for any adverse tax consequences. The Participant shall obtain independent tax advice before accepting this Award.</w:t>
      </w:r>
    </w:p>
    <w:p>
      <w:pPr>
        <w:pStyle w:val="Heading2"/>
        <w:spacing w:after="120" w:before="240"/>
      </w:pPr>
      <w:r>
        <w:rPr>
          <w:rFonts w:ascii="Calibri" w:cs="Calibri" w:eastAsia="Calibri" w:hAnsi="Calibri"/>
          <w:b/>
          <w:bCs/>
          <w:color w:val="1a1a2e"/>
          <w:sz w:val="24"/>
          <w:szCs w:val="24"/>
        </w:rPr>
        <w:t xml:space="preserve">3. Section 83(b) Election</w:t>
      </w:r>
    </w:p>
    <w:p>
      <w:pPr>
        <w:spacing w:after="160"/>
        <w:jc w:val="left"/>
      </w:pPr>
      <w:r>
        <w:rPr>
          <w:rFonts w:ascii="Calibri" w:cs="Calibri" w:eastAsia="Calibri" w:hAnsi="Calibri"/>
          <w:color w:val="333333"/>
          <w:sz w:val="22"/>
          <w:szCs w:val="22"/>
        </w:rPr>
        <w:t xml:space="preserve">The Participant is solely responsible for: (a) determining, in consultation with a tax adviser, whether to make a protective election under Section 83(b) of the Internal Revenue Code; (b) preparing the required filing; (c) filing it with the Internal Revenue Service within thirty (30) days of the Grant Date; (d) retaining proof of timely filing; and (e) providing a copy to the Company. The Company may provide a sample form but does not file any election on the Participant's behalf. The filing deadline is strict and cannot be extended.</w:t>
      </w:r>
    </w:p>
    <w:p>
      <w:pPr>
        <w:pStyle w:val="Heading2"/>
        <w:spacing w:after="120" w:before="240"/>
      </w:pPr>
      <w:r>
        <w:rPr>
          <w:rFonts w:ascii="Calibri" w:cs="Calibri" w:eastAsia="Calibri" w:hAnsi="Calibri"/>
          <w:b/>
          <w:bCs/>
          <w:color w:val="1a1a2e"/>
          <w:sz w:val="24"/>
          <w:szCs w:val="24"/>
        </w:rPr>
        <w:t xml:space="preserve">4. Vesting and Forfeiture</w:t>
      </w:r>
    </w:p>
    <w:p>
      <w:pPr>
        <w:spacing w:after="160"/>
        <w:jc w:val="left"/>
      </w:pPr>
      <w:r>
        <w:rPr>
          <w:rFonts w:ascii="Calibri" w:cs="Calibri" w:eastAsia="Calibri" w:hAnsi="Calibri"/>
          <w:color w:val="333333"/>
          <w:sz w:val="22"/>
          <w:szCs w:val="22"/>
        </w:rPr>
        <w:t xml:space="preserve">4.1 Vesting Schedule. The Incentive Units vest according to the schedule set forth in the Grant Notice, subject to the Participant's Continuous Service (as defined in the Plan) through each applicable vesting date. Fractional units vest only when they aggregate to a whole unit.</w:t>
      </w:r>
    </w:p>
    <w:p>
      <w:pPr>
        <w:spacing w:after="160"/>
        <w:jc w:val="left"/>
      </w:pPr>
      <w:r>
        <w:rPr>
          <w:rFonts w:ascii="Calibri" w:cs="Calibri" w:eastAsia="Calibri" w:hAnsi="Calibri"/>
          <w:color w:val="333333"/>
          <w:sz w:val="22"/>
          <w:szCs w:val="22"/>
        </w:rPr>
        <w:t xml:space="preserve">4.2 Termination. Upon the termination of the Participant's Continuous Service for any reason, all unvested Incentive Units are automatically and immediately forfeited for no consideration. The Participant shall have no claim, right, or interest in forfeited units.</w:t>
      </w:r>
    </w:p>
    <w:p>
      <w:pPr>
        <w:spacing w:after="160"/>
        <w:jc w:val="left"/>
      </w:pPr>
      <w:r>
        <w:rPr>
          <w:rFonts w:ascii="Calibri" w:cs="Calibri" w:eastAsia="Calibri" w:hAnsi="Calibri"/>
          <w:color w:val="333333"/>
          <w:sz w:val="22"/>
          <w:szCs w:val="22"/>
        </w:rPr>
        <w:t xml:space="preserve">4.3 Double-Trigger Acceleration [Optional]. If a Change in Control (as defined in the Plan) occurs and, within [12] months thereafter, either (a) the Company terminates the Participant's Continuous Service without Cause, or (b) the Participant resigns for Good Reason as defined in the Plan, then all then-unvested Incentive Units shall vest immediately prior to the effective date of such termination. [Delete this section if single-trigger or no acceleration is selected.]</w:t>
      </w:r>
    </w:p>
    <w:p>
      <w:r>
        <w:br w:type="page"/>
      </w:r>
    </w:p>
    <w:p>
      <w:pPr>
        <w:pStyle w:val="Heading2"/>
        <w:spacing w:after="120" w:before="240"/>
      </w:pPr>
      <w:r>
        <w:rPr>
          <w:rFonts w:ascii="Calibri" w:cs="Calibri" w:eastAsia="Calibri" w:hAnsi="Calibri"/>
          <w:b/>
          <w:bCs/>
          <w:color w:val="1a1a2e"/>
          <w:sz w:val="24"/>
          <w:szCs w:val="24"/>
        </w:rPr>
        <w:t xml:space="preserve">5. Distributions and Hurdle</w:t>
      </w:r>
    </w:p>
    <w:p>
      <w:pPr>
        <w:spacing w:after="160"/>
        <w:jc w:val="left"/>
      </w:pPr>
      <w:r>
        <w:rPr>
          <w:rFonts w:ascii="Calibri" w:cs="Calibri" w:eastAsia="Calibri" w:hAnsi="Calibri"/>
          <w:color w:val="333333"/>
          <w:sz w:val="22"/>
          <w:szCs w:val="22"/>
        </w:rPr>
        <w:t xml:space="preserve">The Participant is entitled only to distributions allocable to the Incentive Units under the distribution waterfall provisions of the LLC Agreement. The Incentive Units shall not participate in liquidation or distribution proceeds until all amounts required to be distributed to holders of interests senior to the Incentive Units — including the Profits Interest Hurdle stated in the Grant Notice — have been fully satisfied. Tax distributions and tax allocations are governed exclusively by the LLC Agreement.</w:t>
      </w:r>
    </w:p>
    <w:p>
      <w:pPr>
        <w:pStyle w:val="Heading2"/>
        <w:spacing w:after="120" w:before="240"/>
      </w:pPr>
      <w:r>
        <w:rPr>
          <w:rFonts w:ascii="Calibri" w:cs="Calibri" w:eastAsia="Calibri" w:hAnsi="Calibri"/>
          <w:b/>
          <w:bCs/>
          <w:color w:val="1a1a2e"/>
          <w:sz w:val="24"/>
          <w:szCs w:val="24"/>
        </w:rPr>
        <w:t xml:space="preserve">6. Transfer Restrictions and Company Call Right</w:t>
      </w:r>
    </w:p>
    <w:p>
      <w:pPr>
        <w:spacing w:after="160"/>
        <w:jc w:val="left"/>
      </w:pPr>
      <w:r>
        <w:rPr>
          <w:rFonts w:ascii="Calibri" w:cs="Calibri" w:eastAsia="Calibri" w:hAnsi="Calibri"/>
          <w:color w:val="333333"/>
          <w:sz w:val="22"/>
          <w:szCs w:val="22"/>
        </w:rPr>
        <w:t xml:space="preserve">6.1 Transfer Restrictions. The Participant shall not sell, assign, transfer, pledge, hypothecate, or otherwise encumber the Incentive Units except to a permitted transferee approved under the LLC Agreement. Each permitted transferee must execute a joinder to the LLC Agreement and shall remain bound by all vesting, call, transfer, and other restrictions applicable to the transferred units.</w:t>
      </w:r>
    </w:p>
    <w:p>
      <w:pPr>
        <w:spacing w:after="160"/>
        <w:jc w:val="left"/>
      </w:pPr>
      <w:r>
        <w:rPr>
          <w:rFonts w:ascii="Calibri" w:cs="Calibri" w:eastAsia="Calibri" w:hAnsi="Calibri"/>
          <w:color w:val="333333"/>
          <w:sz w:val="22"/>
          <w:szCs w:val="22"/>
        </w:rPr>
        <w:t xml:space="preserve">6.2 Company Call Right. For a period of [90] days following the termination of the Participant's Continuous Service, the Company (or its designee) may elect to purchase all or any portion of the Participant's Vested Units by delivering written notice. The purchase price shall be the Fair Market Value (as defined in the Plan) as of the date of termination, determined in good faith by the Administrator without any minority or lack-of-marketability discount unless this Agreement expressly provides otherwise.</w:t>
      </w:r>
    </w:p>
    <w:p>
      <w:pPr>
        <w:spacing w:after="160"/>
        <w:jc w:val="left"/>
      </w:pPr>
      <w:r>
        <w:rPr>
          <w:rFonts w:ascii="Calibri" w:cs="Calibri" w:eastAsia="Calibri" w:hAnsi="Calibri"/>
          <w:color w:val="333333"/>
          <w:sz w:val="22"/>
          <w:szCs w:val="22"/>
        </w:rPr>
        <w:t xml:space="preserve">6.3 Appraisal. If the parties cannot agree on Fair Market Value within [15] days after the Company's exercise of the call right, an independent appraiser jointly selected by the parties shall determine value. The cost of appraisal shall be shared equally, except that a party whose proposed value differs from the appraiser's determination by more than [20]% shall bear the full cost.</w:t>
      </w:r>
    </w:p>
    <w:p>
      <w:pPr>
        <w:spacing w:after="160"/>
        <w:jc w:val="left"/>
      </w:pPr>
      <w:r>
        <w:rPr>
          <w:rFonts w:ascii="Calibri" w:cs="Calibri" w:eastAsia="Calibri" w:hAnsi="Calibri"/>
          <w:color w:val="333333"/>
          <w:sz w:val="22"/>
          <w:szCs w:val="22"/>
        </w:rPr>
        <w:t xml:space="preserve">6.4 Closing. Closing of any repurchase shall occur within [30] days after the purchase price is finally determined. Payment shall be made in cash at closing, or in up to [NUMBER] equal installments bearing interest at [RATE]% per annum, as specified in the Grant Notice.</w:t>
      </w:r>
    </w:p>
    <w:p>
      <w:pPr>
        <w:pStyle w:val="Heading2"/>
        <w:spacing w:after="120" w:before="240"/>
      </w:pPr>
      <w:r>
        <w:rPr>
          <w:rFonts w:ascii="Calibri" w:cs="Calibri" w:eastAsia="Calibri" w:hAnsi="Calibri"/>
          <w:b/>
          <w:bCs/>
          <w:color w:val="1a1a2e"/>
          <w:sz w:val="24"/>
          <w:szCs w:val="24"/>
        </w:rPr>
        <w:t xml:space="preserve">7. Participant Representations</w:t>
      </w:r>
    </w:p>
    <w:p>
      <w:pPr>
        <w:spacing w:after="160"/>
        <w:jc w:val="left"/>
      </w:pPr>
      <w:r>
        <w:rPr>
          <w:rFonts w:ascii="Calibri" w:cs="Calibri" w:eastAsia="Calibri" w:hAnsi="Calibri"/>
          <w:color w:val="333333"/>
          <w:sz w:val="22"/>
          <w:szCs w:val="22"/>
        </w:rPr>
        <w:t xml:space="preserve">The Participant represents and warrants that: (a) the Participant has full authority to enter into this Agreement; (b) the Participant acquires the Incentive Units for investment purposes and not with a present intention to distribute them in violation of applicable securities laws; (c) the Participant understands the Units are unregistered, illiquid, subject to substantial restrictions on transfer, and may become worthless; (d) the Participant has received or has had access to all information reasonably requested concerning the Company; (e) the Participant has not relied on any representation of guaranteed return or specific tax treatment; and (f) the Participant will promptly notify the Company if any information provided becomes materially inaccurate.</w:t>
      </w:r>
    </w:p>
    <w:p>
      <w:pPr>
        <w:pStyle w:val="Heading2"/>
        <w:spacing w:after="120" w:before="240"/>
      </w:pPr>
      <w:r>
        <w:rPr>
          <w:rFonts w:ascii="Calibri" w:cs="Calibri" w:eastAsia="Calibri" w:hAnsi="Calibri"/>
          <w:b/>
          <w:bCs/>
          <w:color w:val="1a1a2e"/>
          <w:sz w:val="24"/>
          <w:szCs w:val="24"/>
        </w:rPr>
        <w:t xml:space="preserve">8. Joinder, Spousal Consent, and Records</w:t>
      </w:r>
    </w:p>
    <w:p>
      <w:pPr>
        <w:spacing w:after="160"/>
        <w:jc w:val="left"/>
      </w:pPr>
      <w:r>
        <w:rPr>
          <w:rFonts w:ascii="Calibri" w:cs="Calibri" w:eastAsia="Calibri" w:hAnsi="Calibri"/>
          <w:color w:val="333333"/>
          <w:sz w:val="22"/>
          <w:szCs w:val="22"/>
        </w:rPr>
        <w:t xml:space="preserve">Issuance of the Incentive Units is conditioned upon the Participant's execution of the LLC Agreement joinder attached as Exhibit C. If requested by the Administrator, the Participant shall deliver a spousal or domestic-partner consent acknowledging the terms of this Agreement and the restrictions on the Units. The Company may evidence the Incentive Units electronically and shall place appropriate securities-law and contractual restriction notations in its membership ledger.</w:t>
      </w:r>
    </w:p>
    <w:p>
      <w:pPr>
        <w:pStyle w:val="Heading2"/>
        <w:spacing w:after="120" w:before="240"/>
      </w:pPr>
      <w:r>
        <w:rPr>
          <w:rFonts w:ascii="Calibri" w:cs="Calibri" w:eastAsia="Calibri" w:hAnsi="Calibri"/>
          <w:b/>
          <w:bCs/>
          <w:color w:val="1a1a2e"/>
          <w:sz w:val="24"/>
          <w:szCs w:val="24"/>
        </w:rPr>
        <w:t xml:space="preserve">9. Withholding and Partner Status</w:t>
      </w:r>
    </w:p>
    <w:p>
      <w:pPr>
        <w:spacing w:after="160"/>
        <w:jc w:val="left"/>
      </w:pPr>
      <w:r>
        <w:rPr>
          <w:rFonts w:ascii="Calibri" w:cs="Calibri" w:eastAsia="Calibri" w:hAnsi="Calibri"/>
          <w:color w:val="333333"/>
          <w:sz w:val="22"/>
          <w:szCs w:val="22"/>
        </w:rPr>
        <w:t xml:space="preserve">The Participant shall satisfy any tax withholding obligations arising from this Award through an approved method under the Plan. The Participant acknowledges that receiving Incentive Units may cause the Participant to be treated as a partner of the Company rather than an employee for U.S. federal income-tax purposes, which may affect payroll tax treatment, eligibility for employee benefits, and the form and timing of tax reporting.</w:t>
      </w:r>
    </w:p>
    <w:p>
      <w:pPr>
        <w:pStyle w:val="Heading2"/>
        <w:spacing w:after="120" w:before="240"/>
      </w:pPr>
      <w:r>
        <w:rPr>
          <w:rFonts w:ascii="Calibri" w:cs="Calibri" w:eastAsia="Calibri" w:hAnsi="Calibri"/>
          <w:b/>
          <w:bCs/>
          <w:color w:val="1a1a2e"/>
          <w:sz w:val="24"/>
          <w:szCs w:val="24"/>
        </w:rPr>
        <w:t xml:space="preserve">10. No Right to Continued Service</w:t>
      </w:r>
    </w:p>
    <w:p>
      <w:pPr>
        <w:spacing w:after="160"/>
        <w:jc w:val="left"/>
      </w:pPr>
      <w:r>
        <w:rPr>
          <w:rFonts w:ascii="Calibri" w:cs="Calibri" w:eastAsia="Calibri" w:hAnsi="Calibri"/>
          <w:color w:val="333333"/>
          <w:sz w:val="22"/>
          <w:szCs w:val="22"/>
        </w:rPr>
        <w:t xml:space="preserve">This Award does not create any right to continued service, future awards, severance, or inclusion in any benefit calculation. The Participant's service relationship with the Company remains terminable at will unless a separate written agreement provides otherwise.</w:t>
      </w:r>
    </w:p>
    <w:p>
      <w:r>
        <w:br w:type="page"/>
      </w:r>
    </w:p>
    <w:p>
      <w:pPr>
        <w:pStyle w:val="Heading2"/>
        <w:spacing w:after="120" w:before="240"/>
      </w:pPr>
      <w:r>
        <w:rPr>
          <w:rFonts w:ascii="Calibri" w:cs="Calibri" w:eastAsia="Calibri" w:hAnsi="Calibri"/>
          <w:b/>
          <w:bCs/>
          <w:color w:val="1a1a2e"/>
          <w:sz w:val="24"/>
          <w:szCs w:val="24"/>
        </w:rPr>
        <w:t xml:space="preserve">11. General Provisions</w:t>
      </w:r>
    </w:p>
    <w:p>
      <w:pPr>
        <w:spacing w:after="160"/>
        <w:jc w:val="left"/>
      </w:pPr>
      <w:r>
        <w:rPr>
          <w:rFonts w:ascii="Calibri" w:cs="Calibri" w:eastAsia="Calibri" w:hAnsi="Calibri"/>
          <w:color w:val="333333"/>
          <w:sz w:val="22"/>
          <w:szCs w:val="22"/>
        </w:rPr>
        <w:t xml:space="preserve">11.1 Notices. All notices under this Agreement shall be in writing and delivered to the addresses maintained in the Company's records, by personal delivery, nationally recognized overnight courier, or email with confirmation.</w:t>
      </w:r>
    </w:p>
    <w:p>
      <w:pPr>
        <w:spacing w:after="160"/>
        <w:jc w:val="left"/>
      </w:pPr>
      <w:r>
        <w:rPr>
          <w:rFonts w:ascii="Calibri" w:cs="Calibri" w:eastAsia="Calibri" w:hAnsi="Calibri"/>
          <w:color w:val="333333"/>
          <w:sz w:val="22"/>
          <w:szCs w:val="22"/>
        </w:rPr>
        <w:t xml:space="preserve">11.2 Governing Law. This Agreement shall be governed by and construed in accordance with the laws of the State of [STATE], without regard to conflict-of-laws principles.</w:t>
      </w:r>
    </w:p>
    <w:p>
      <w:pPr>
        <w:spacing w:after="160"/>
        <w:jc w:val="left"/>
      </w:pPr>
      <w:r>
        <w:rPr>
          <w:rFonts w:ascii="Calibri" w:cs="Calibri" w:eastAsia="Calibri" w:hAnsi="Calibri"/>
          <w:color w:val="333333"/>
          <w:sz w:val="22"/>
          <w:szCs w:val="22"/>
        </w:rPr>
        <w:t xml:space="preserve">11.3 Entire Agreement. This Agreement, together with the Grant Notice, the Plan, and the LLC Agreement, constitutes the entire agreement between the parties with respect to this Award and supersedes all prior negotiations, representations, and agreements relating to the subject matter hereof.</w:t>
      </w:r>
    </w:p>
    <w:p>
      <w:pPr>
        <w:spacing w:after="160"/>
        <w:jc w:val="left"/>
      </w:pPr>
      <w:r>
        <w:rPr>
          <w:rFonts w:ascii="Calibri" w:cs="Calibri" w:eastAsia="Calibri" w:hAnsi="Calibri"/>
          <w:color w:val="333333"/>
          <w:sz w:val="22"/>
          <w:szCs w:val="22"/>
        </w:rPr>
        <w:t xml:space="preserve">11.4 Severability. If any provision of this Agreement is held invalid or unenforceable, such provision shall be modified to the minimum extent necessary, and the remaining provisions shall continue in full force and effect.</w:t>
      </w:r>
    </w:p>
    <w:p>
      <w:pPr>
        <w:spacing w:after="160"/>
        <w:jc w:val="left"/>
      </w:pPr>
      <w:r>
        <w:rPr>
          <w:rFonts w:ascii="Calibri" w:cs="Calibri" w:eastAsia="Calibri" w:hAnsi="Calibri"/>
          <w:color w:val="333333"/>
          <w:sz w:val="22"/>
          <w:szCs w:val="22"/>
        </w:rPr>
        <w:t xml:space="preserve">11.5 Electronic Signatures. This Agreement may be executed in counterparts, including by electronic signature, each of which shall constitute an original.</w:t>
      </w:r>
    </w:p>
    <w:p>
      <w:pPr>
        <w:spacing w:after="160"/>
        <w:jc w:val="left"/>
      </w:pPr>
      <w:r>
        <w:rPr>
          <w:rFonts w:ascii="Calibri" w:cs="Calibri" w:eastAsia="Calibri" w:hAnsi="Calibri"/>
          <w:color w:val="333333"/>
          <w:sz w:val="22"/>
          <w:szCs w:val="22"/>
        </w:rPr>
        <w:t xml:space="preserve">11.6 Successors. The Company's successors may assume this Agreement. The Participant may not assign this Agreement except as expressly permitted.</w:t>
      </w:r>
    </w:p>
    <w:p>
      <w:pPr>
        <w:spacing w:before="480"/>
      </w:pPr>
    </w:p>
    <w:p>
      <w:pPr>
        <w:pStyle w:val="Heading2"/>
        <w:spacing w:after="120" w:before="240"/>
      </w:pPr>
      <w:r>
        <w:rPr>
          <w:rFonts w:ascii="Calibri" w:cs="Calibri" w:eastAsia="Calibri" w:hAnsi="Calibri"/>
          <w:b/>
          <w:bCs/>
          <w:color w:val="1a1a2e"/>
          <w:sz w:val="24"/>
          <w:szCs w:val="24"/>
        </w:rPr>
        <w:t xml:space="preserve">Signatures</w:t>
      </w:r>
    </w:p>
    <w:p>
      <w:pPr>
        <w:spacing w:before="240"/>
      </w:pPr>
    </w:p>
    <w:p>
      <w:pPr>
        <w:spacing w:after="160"/>
        <w:jc w:val="left"/>
      </w:pPr>
      <w:r>
        <w:rPr>
          <w:rFonts w:ascii="Calibri" w:cs="Calibri" w:eastAsia="Calibri" w:hAnsi="Calibri"/>
          <w:b/>
          <w:bCs/>
          <w:color w:val="333333"/>
          <w:sz w:val="22"/>
          <w:szCs w:val="22"/>
        </w:rPr>
        <w:t xml:space="preserve">[COMPANY], LLC</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w:t>
      </w:r>
    </w:p>
    <w:p>
      <w:pPr>
        <w:spacing w:after="160"/>
        <w:jc w:val="left"/>
      </w:pPr>
      <w:r>
        <w:rPr>
          <w:rFonts w:ascii="Calibri" w:cs="Calibri" w:eastAsia="Calibri" w:hAnsi="Calibri"/>
          <w:i/>
          <w:iCs/>
          <w:color w:val="555555"/>
          <w:sz w:val="22"/>
          <w:szCs w:val="22"/>
        </w:rPr>
        <w:t xml:space="preserve">Title: [TITLE]</w:t>
      </w:r>
    </w:p>
    <w:p>
      <w:pPr>
        <w:spacing w:after="160"/>
        <w:jc w:val="left"/>
      </w:pPr>
      <w:r>
        <w:rPr>
          <w:rFonts w:ascii="Calibri" w:cs="Calibri" w:eastAsia="Calibri" w:hAnsi="Calibri"/>
          <w:i/>
          <w:iCs/>
          <w:color w:val="555555"/>
          <w:sz w:val="22"/>
          <w:szCs w:val="22"/>
        </w:rPr>
        <w:t xml:space="preserve">Date: [DATE]</w:t>
      </w:r>
    </w:p>
    <w:p>
      <w:pPr>
        <w:spacing w:before="360"/>
      </w:pPr>
    </w:p>
    <w:p>
      <w:pPr>
        <w:spacing w:after="160"/>
        <w:jc w:val="left"/>
      </w:pPr>
      <w:r>
        <w:rPr>
          <w:rFonts w:ascii="Calibri" w:cs="Calibri" w:eastAsia="Calibri" w:hAnsi="Calibri"/>
          <w:b/>
          <w:bCs/>
          <w:color w:val="333333"/>
          <w:sz w:val="22"/>
          <w:szCs w:val="22"/>
        </w:rPr>
        <w:t xml:space="preserve">PARTICIPANT</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[PARTICIPANT NAME]</w:t>
      </w:r>
    </w:p>
    <w:p>
      <w:pPr>
        <w:spacing w:after="160"/>
        <w:jc w:val="left"/>
      </w:pPr>
      <w:r>
        <w:rPr>
          <w:rFonts w:ascii="Calibri" w:cs="Calibri" w:eastAsia="Calibri" w:hAnsi="Calibri"/>
          <w:i/>
          <w:iCs/>
          <w:color w:val="555555"/>
          <w:sz w:val="22"/>
          <w:szCs w:val="22"/>
        </w:rPr>
        <w:t xml:space="preserve">Date: [DATE]</w:t>
      </w:r>
    </w:p>
    <w:p>
      <w:pPr>
        <w:spacing w:before="240"/>
      </w:pPr>
      <w:r>
        <w:rPr>
          <w:rFonts w:ascii="Calibri" w:cs="Calibri" w:eastAsia="Calibri" w:hAnsi="Calibri"/>
          <w:color w:val="333333"/>
          <w:sz w:val="20"/>
          <w:szCs w:val="20"/>
        </w:rPr>
        <w:t xml:space="preserve">____ I acknowledge the Section 83(b) filing deadline and my sole responsibility.</w:t>
      </w:r>
    </w:p>
    <w:p>
      <w:r>
        <w:br w:type="page"/>
      </w:r>
    </w:p>
    <w:p>
      <w:pPr>
        <w:pStyle w:val="Heading2"/>
        <w:spacing w:after="120" w:before="240"/>
      </w:pPr>
      <w:r>
        <w:rPr>
          <w:rFonts w:ascii="Calibri" w:cs="Calibri" w:eastAsia="Calibri" w:hAnsi="Calibri"/>
          <w:b/>
          <w:bCs/>
          <w:color w:val="1a1a2e"/>
          <w:sz w:val="24"/>
          <w:szCs w:val="24"/>
        </w:rPr>
        <w:t xml:space="preserve">Exhibit A — Vesting Schedule</w:t>
      </w:r>
    </w:p>
    <w:p>
      <w:pPr>
        <w:spacing w:after="160"/>
        <w:jc w:val="left"/>
      </w:pPr>
      <w:r>
        <w:rPr>
          <w:rFonts w:ascii="Calibri" w:cs="Calibri" w:eastAsia="Calibri" w:hAnsi="Calibri"/>
          <w:color w:val="333333"/>
          <w:sz w:val="22"/>
          <w:szCs w:val="22"/>
        </w:rPr>
        <w:t xml:space="preserve">[Insert detailed vesting schedule with dates, milestones, and any performance conditions.]</w:t>
      </w:r>
    </w:p>
    <w:p>
      <w:pPr>
        <w:spacing w:before="360"/>
      </w:pPr>
    </w:p>
    <w:p>
      <w:pPr>
        <w:pStyle w:val="Heading2"/>
        <w:spacing w:after="120" w:before="240"/>
      </w:pPr>
      <w:r>
        <w:rPr>
          <w:rFonts w:ascii="Calibri" w:cs="Calibri" w:eastAsia="Calibri" w:hAnsi="Calibri"/>
          <w:b/>
          <w:bCs/>
          <w:color w:val="1a1a2e"/>
          <w:sz w:val="24"/>
          <w:szCs w:val="24"/>
        </w:rPr>
        <w:t xml:space="preserve">Exhibit B — Hurdle Calculation and Liquidation Illustration</w:t>
      </w:r>
    </w:p>
    <w:p>
      <w:pPr>
        <w:spacing w:after="160"/>
        <w:jc w:val="left"/>
      </w:pPr>
      <w:r>
        <w:rPr>
          <w:rFonts w:ascii="Calibri" w:cs="Calibri" w:eastAsia="Calibri" w:hAnsi="Calibri"/>
          <w:color w:val="333333"/>
          <w:sz w:val="22"/>
          <w:szCs w:val="22"/>
        </w:rPr>
        <w:t xml:space="preserve">[Insert the liquidation-value analysis as of the Grant Date, showing that the Incentive Units have zero liquidation value at grant. Include at least three scenarios: (1) liquidation at current value; (2) liquidation at 2x current value; and (3) liquidation at 5x current value.]</w:t>
      </w:r>
    </w:p>
    <w:p>
      <w:pPr>
        <w:spacing w:before="360"/>
      </w:pPr>
    </w:p>
    <w:p>
      <w:pPr>
        <w:pStyle w:val="Heading2"/>
        <w:spacing w:after="120" w:before="240"/>
      </w:pPr>
      <w:r>
        <w:rPr>
          <w:rFonts w:ascii="Calibri" w:cs="Calibri" w:eastAsia="Calibri" w:hAnsi="Calibri"/>
          <w:b/>
          <w:bCs/>
          <w:color w:val="1a1a2e"/>
          <w:sz w:val="24"/>
          <w:szCs w:val="24"/>
        </w:rPr>
        <w:t xml:space="preserve">Exhibit C — LLC Agreement Joinder and Spousal Consent</w:t>
      </w:r>
    </w:p>
    <w:p>
      <w:pPr>
        <w:spacing w:after="160"/>
        <w:jc w:val="left"/>
      </w:pPr>
      <w:r>
        <w:rPr>
          <w:rFonts w:ascii="Calibri" w:cs="Calibri" w:eastAsia="Calibri" w:hAnsi="Calibri"/>
          <w:color w:val="333333"/>
          <w:sz w:val="22"/>
          <w:szCs w:val="22"/>
        </w:rPr>
        <w:t xml:space="preserve">[Attach the joinder agreement and, if applicable, spousal consent form.]</w:t>
      </w:r>
    </w:p>
    <w:p>
      <w:pPr>
        <w:spacing w:before="360"/>
      </w:pPr>
    </w:p>
    <w:p>
      <w:pPr>
        <w:pStyle w:val="Heading2"/>
        <w:spacing w:after="120" w:before="240"/>
      </w:pPr>
      <w:r>
        <w:rPr>
          <w:rFonts w:ascii="Calibri" w:cs="Calibri" w:eastAsia="Calibri" w:hAnsi="Calibri"/>
          <w:b/>
          <w:bCs/>
          <w:color w:val="1a1a2e"/>
          <w:sz w:val="24"/>
          <w:szCs w:val="24"/>
        </w:rPr>
        <w:t xml:space="preserve">Exhibit D — Tax Election Checklist</w:t>
      </w:r>
    </w:p>
    <w:p>
      <w:pPr>
        <w:spacing w:after="160"/>
        <w:jc w:val="left"/>
      </w:pPr>
      <w:r>
        <w:rPr>
          <w:rFonts w:ascii="Calibri" w:cs="Calibri" w:eastAsia="Calibri" w:hAnsi="Calibri"/>
          <w:color w:val="333333"/>
          <w:sz w:val="22"/>
          <w:szCs w:val="22"/>
        </w:rPr>
        <w:t xml:space="preserve">[Attach the Section 83(b) election form template, filing instructions, IRS mailing address, and receipt/tracking log.]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Profits Interest Award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2026-08-22T16:53:46.074Z</dcterms:created>
  <dcterms:modified xsi:type="dcterms:W3CDTF">2026-08-22T16:53:46.074Z</dcterms:modified>
</cp:coreProperties>
</file>

<file path=docProps/custom.xml><?xml version="1.0" encoding="utf-8"?>
<Properties xmlns="http://schemas.openxmlformats.org/officeDocument/2006/custom-properties" xmlns:vt="http://schemas.openxmlformats.org/officeDocument/2006/docPropsVTypes"/>
</file>