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2400"/>
      </w:pPr>
    </w:p>
    <w:p>
      <w:pPr>
        <w:spacing w:after="200"/>
        <w:jc w:val="center"/>
      </w:pPr>
      <w:r>
        <w:rPr>
          <w:rFonts w:ascii="Times New Roman" w:cs="Times New Roman" w:eastAsia="Times New Roman" w:hAnsi="Times New Roman"/>
          <w:b/>
          <w:bCs/>
          <w:sz w:val="36"/>
          <w:szCs w:val="36"/>
        </w:rPr>
        <w:t xml:space="preserve">SIMPLE AGREEMENT FOR FUTURE EQUITY</w:t>
      </w:r>
    </w:p>
    <w:p>
      <w:pPr>
        <w:spacing w:after="200"/>
        <w:jc w:val="center"/>
      </w:pPr>
      <w:r>
        <w:rPr>
          <w:rFonts w:ascii="Times New Roman" w:cs="Times New Roman" w:eastAsia="Times New Roman" w:hAnsi="Times New Roman"/>
          <w:b/>
          <w:bCs/>
          <w:sz w:val="28"/>
          <w:szCs w:val="28"/>
        </w:rPr>
        <w:t xml:space="preserve">(Pre-Money — Discount)</w:t>
      </w:r>
    </w:p>
    <w:p>
      <w:pPr>
        <w:spacing w:after="600"/>
      </w:pPr>
    </w:p>
    <w:p>
      <w:pPr>
        <w:spacing w:after="200"/>
        <w:jc w:val="center"/>
      </w:pPr>
      <w:r>
        <w:rPr>
          <w:rFonts w:ascii="Times New Roman" w:cs="Times New Roman" w:eastAsia="Times New Roman" w:hAnsi="Times New Roman"/>
          <w:b/>
          <w:bCs/>
          <w:sz w:val="28"/>
          <w:szCs w:val="28"/>
        </w:rPr>
        <w:t xml:space="preserve">[COMPANY NAME]</w:t>
      </w:r>
    </w:p>
    <w:p>
      <w:pPr>
        <w:spacing w:after="200"/>
        <w:jc w:val="center"/>
      </w:pPr>
      <w:r>
        <w:rPr>
          <w:rFonts w:ascii="Times New Roman" w:cs="Times New Roman" w:eastAsia="Times New Roman" w:hAnsi="Times New Roman"/>
          <w:i/>
          <w:iCs/>
          <w:sz w:val="24"/>
          <w:szCs w:val="24"/>
        </w:rPr>
        <w:t xml:space="preserve">a [State] corporation</w:t>
      </w:r>
    </w:p>
    <w:p>
      <w:pPr>
        <w:spacing w:after="600"/>
      </w:pPr>
    </w:p>
    <w:p>
      <w:pPr>
        <w:spacing w:after="120"/>
        <w:jc w:val="center"/>
      </w:pPr>
      <w:r>
        <w:rPr>
          <w:rFonts w:ascii="Times New Roman" w:cs="Times New Roman" w:eastAsia="Times New Roman" w:hAnsi="Times New Roman"/>
          <w:sz w:val="24"/>
          <w:szCs w:val="24"/>
        </w:rPr>
        <w:t xml:space="preserve">Dated as of [Date]</w:t>
      </w:r>
    </w:p>
    <w:p>
      <w:pPr>
        <w:spacing w:after="2400"/>
      </w:pPr>
    </w:p>
    <w:p>
      <w:pPr>
        <w:pBdr>
          <w:top w:val="single" w:color="999999" w:sz="1"/>
        </w:pBdr>
        <w:spacing w:before="200"/>
        <w:jc w:val="center"/>
      </w:pPr>
      <w:r>
        <w:rPr>
          <w:rFonts w:ascii="Times New Roman" w:cs="Times New Roman" w:eastAsia="Times New Roman" w:hAnsi="Times New Roman"/>
          <w:i/>
          <w:iCs/>
          <w:sz w:val="16"/>
          <w:szCs w:val="16"/>
        </w:rPr>
        <w:t xml:space="preserve">THIS INSTRUMENT AND THE SECURITIES ISSUABLE UPON THE CONVERSION HEREOF HAVE NOT BEEN REGISTERED UNDER THE SECURITIES ACT OF 1933, AS AMENDED (THE "ACT"), OR UNDER THE SECURITIES LAWS OF CERTAIN STATES. THESE SECURITIES MAY NOT BE OFFERED, SOLD OR OTHERWISE TRANSFERRED, PLEDGED OR HYPOTHECATED EXCEPT AS PERMITTED UNDER THE ACT AND APPLICABLE STATE SECURITIES LAWS PURSUANT TO AN EFFECTIVE REGISTRATION STATEMENT OR AN EXEMPTION THEREFROM.</w:t>
      </w:r>
    </w:p>
    <w:p>
      <w:r>
        <w:br w:type="page"/>
      </w:r>
    </w:p>
    <w:p>
      <w:pPr>
        <w:pStyle w:val="Heading1"/>
        <w:spacing w:after="300"/>
        <w:jc w:val="center"/>
      </w:pPr>
      <w:r>
        <w:rPr>
          <w:rFonts w:ascii="Times New Roman" w:cs="Times New Roman" w:eastAsia="Times New Roman" w:hAnsi="Times New Roman"/>
          <w:b/>
          <w:bCs/>
          <w:sz w:val="28"/>
          <w:szCs w:val="28"/>
        </w:rPr>
        <w:t xml:space="preserve">SIMPLE AGREEMENT FOR FUTURE EQUITY</w:t>
      </w:r>
    </w:p>
    <w:p>
      <w:pPr>
        <w:pStyle w:val="Heading2"/>
        <w:spacing w:after="400"/>
        <w:jc w:val="center"/>
      </w:pPr>
      <w:r>
        <w:rPr>
          <w:rFonts w:ascii="Times New Roman" w:cs="Times New Roman" w:eastAsia="Times New Roman" w:hAnsi="Times New Roman"/>
          <w:b/>
          <w:bCs/>
          <w:sz w:val="24"/>
          <w:szCs w:val="24"/>
        </w:rPr>
        <w:t xml:space="preserve">(Pre-Money — Discount)</w:t>
      </w:r>
    </w:p>
    <w:p>
      <w:pPr>
        <w:spacing w:after="200"/>
      </w:pPr>
      <w:r>
        <w:rPr>
          <w:rFonts w:ascii="Times New Roman" w:cs="Times New Roman" w:eastAsia="Times New Roman" w:hAnsi="Times New Roman"/>
          <w:sz w:val="24"/>
          <w:szCs w:val="24"/>
        </w:rPr>
        <w:t xml:space="preserve">THIS CERTIFIES THAT in exchange for the payment by </w:t>
      </w:r>
      <w:r>
        <w:rPr>
          <w:rFonts w:ascii="Times New Roman" w:cs="Times New Roman" w:eastAsia="Times New Roman" w:hAnsi="Times New Roman"/>
          <w:b/>
          <w:bCs/>
          <w:sz w:val="24"/>
          <w:szCs w:val="24"/>
        </w:rPr>
        <w:t xml:space="preserve">[Investor Name]</w:t>
      </w:r>
      <w:r>
        <w:rPr>
          <w:rFonts w:ascii="Times New Roman" w:cs="Times New Roman" w:eastAsia="Times New Roman" w:hAnsi="Times New Roman"/>
          <w:sz w:val="24"/>
          <w:szCs w:val="24"/>
        </w:rPr>
        <w:t xml:space="preserve"> (the "</w:t>
      </w:r>
      <w:r>
        <w:rPr>
          <w:rFonts w:ascii="Times New Roman" w:cs="Times New Roman" w:eastAsia="Times New Roman" w:hAnsi="Times New Roman"/>
          <w:b/>
          <w:bCs/>
          <w:sz w:val="24"/>
          <w:szCs w:val="24"/>
        </w:rPr>
        <w:t xml:space="preserve">Investor</w:t>
      </w:r>
      <w:r>
        <w:rPr>
          <w:rFonts w:ascii="Times New Roman" w:cs="Times New Roman" w:eastAsia="Times New Roman" w:hAnsi="Times New Roman"/>
          <w:sz w:val="24"/>
          <w:szCs w:val="24"/>
        </w:rPr>
        <w:t xml:space="preserve">") of the Purchase Amount (as defined below) on or about [Date of Investment], </w:t>
      </w:r>
      <w:r>
        <w:rPr>
          <w:rFonts w:ascii="Times New Roman" w:cs="Times New Roman" w:eastAsia="Times New Roman" w:hAnsi="Times New Roman"/>
          <w:b/>
          <w:bCs/>
          <w:sz w:val="24"/>
          <w:szCs w:val="24"/>
        </w:rPr>
        <w:t xml:space="preserve">[Company Name]</w:t>
      </w:r>
      <w:r>
        <w:rPr>
          <w:rFonts w:ascii="Times New Roman" w:cs="Times New Roman" w:eastAsia="Times New Roman" w:hAnsi="Times New Roman"/>
          <w:sz w:val="24"/>
          <w:szCs w:val="24"/>
        </w:rPr>
        <w:t xml:space="preserve">, a [State] corporation (the "</w:t>
      </w:r>
      <w:r>
        <w:rPr>
          <w:rFonts w:ascii="Times New Roman" w:cs="Times New Roman" w:eastAsia="Times New Roman" w:hAnsi="Times New Roman"/>
          <w:b/>
          <w:bCs/>
          <w:sz w:val="24"/>
          <w:szCs w:val="24"/>
        </w:rPr>
        <w:t xml:space="preserve">Company</w:t>
      </w:r>
      <w:r>
        <w:rPr>
          <w:rFonts w:ascii="Times New Roman" w:cs="Times New Roman" w:eastAsia="Times New Roman" w:hAnsi="Times New Roman"/>
          <w:sz w:val="24"/>
          <w:szCs w:val="24"/>
        </w:rPr>
        <w:t xml:space="preserve">"), hereby issues to the Investor the right to certain shares of the Company's capital stock, subject to the terms set forth below.</w:t>
      </w:r>
    </w:p>
    <w:p>
      <w:pPr>
        <w:spacing w:after="200"/>
      </w:pPr>
      <w:r>
        <w:rPr>
          <w:rFonts w:ascii="Times New Roman" w:cs="Times New Roman" w:eastAsia="Times New Roman" w:hAnsi="Times New Roman"/>
          <w:sz w:val="24"/>
          <w:szCs w:val="24"/>
        </w:rPr>
        <w:t xml:space="preserve">The "</w:t>
      </w:r>
      <w:r>
        <w:rPr>
          <w:rFonts w:ascii="Times New Roman" w:cs="Times New Roman" w:eastAsia="Times New Roman" w:hAnsi="Times New Roman"/>
          <w:b/>
          <w:bCs/>
          <w:sz w:val="24"/>
          <w:szCs w:val="24"/>
        </w:rPr>
        <w:t xml:space="preserve">Purchase Amount</w:t>
      </w:r>
      <w:r>
        <w:rPr>
          <w:rFonts w:ascii="Times New Roman" w:cs="Times New Roman" w:eastAsia="Times New Roman" w:hAnsi="Times New Roman"/>
          <w:sz w:val="24"/>
          <w:szCs w:val="24"/>
        </w:rPr>
        <w:t xml:space="preserve">" means [Purchase Amount] (US$[Amount in Figures]).</w:t>
      </w:r>
    </w:p>
    <w:p>
      <w:pPr>
        <w:spacing w:after="200"/>
      </w:pPr>
      <w:r>
        <w:rPr>
          <w:rFonts w:ascii="Times New Roman" w:cs="Times New Roman" w:eastAsia="Times New Roman" w:hAnsi="Times New Roman"/>
          <w:sz w:val="24"/>
          <w:szCs w:val="24"/>
        </w:rPr>
        <w:t xml:space="preserve">The "</w:t>
      </w:r>
      <w:r>
        <w:rPr>
          <w:rFonts w:ascii="Times New Roman" w:cs="Times New Roman" w:eastAsia="Times New Roman" w:hAnsi="Times New Roman"/>
          <w:b/>
          <w:bCs/>
          <w:sz w:val="24"/>
          <w:szCs w:val="24"/>
        </w:rPr>
        <w:t xml:space="preserve">Discount Rate</w:t>
      </w:r>
      <w:r>
        <w:rPr>
          <w:rFonts w:ascii="Times New Roman" w:cs="Times New Roman" w:eastAsia="Times New Roman" w:hAnsi="Times New Roman"/>
          <w:sz w:val="24"/>
          <w:szCs w:val="24"/>
        </w:rPr>
        <w:t xml:space="preserve">" means [●]%. </w:t>
      </w:r>
      <w:r>
        <w:rPr>
          <w:rFonts w:ascii="Times New Roman" w:cs="Times New Roman" w:eastAsia="Times New Roman" w:hAnsi="Times New Roman"/>
          <w:b/>
          <w:bCs/>
          <w:i/>
          <w:iCs/>
          <w:color w:val="444444"/>
          <w:sz w:val="24"/>
          <w:szCs w:val="24"/>
        </w:rPr>
        <w:t xml:space="preserve">Negotiation point: </w:t>
      </w:r>
      <w:r>
        <w:rPr>
          <w:rFonts w:ascii="Times New Roman" w:cs="Times New Roman" w:eastAsia="Times New Roman" w:hAnsi="Times New Roman"/>
          <w:i/>
          <w:iCs/>
          <w:color w:val="666666"/>
          <w:sz w:val="20"/>
          <w:szCs w:val="20"/>
        </w:rPr>
        <w:t xml:space="preserve">Typical discount rates range from 15% to 25%, with 20% being the most common market rate in 2025-2026. The discount compensates the investor for the risk of investing before the company has a priced round.</w:t>
      </w:r>
    </w:p>
    <w:p>
      <w:r>
        <w:br w:type="page"/>
      </w:r>
    </w:p>
    <w:p>
      <w:pPr>
        <w:pStyle w:val="Heading1"/>
        <w:spacing w:after="300"/>
      </w:pPr>
      <w:r>
        <w:rPr>
          <w:rFonts w:ascii="Times New Roman" w:cs="Times New Roman" w:eastAsia="Times New Roman" w:hAnsi="Times New Roman"/>
          <w:b/>
          <w:bCs/>
          <w:sz w:val="26"/>
          <w:szCs w:val="26"/>
        </w:rPr>
        <w:t xml:space="preserve">Section 1. Events</w:t>
      </w:r>
    </w:p>
    <w:p>
      <w:pPr>
        <w:spacing w:after="200"/>
      </w:pPr>
      <w:r>
        <w:rPr>
          <w:rFonts w:ascii="Times New Roman" w:cs="Times New Roman" w:eastAsia="Times New Roman" w:hAnsi="Times New Roman"/>
          <w:b/>
          <w:bCs/>
          <w:sz w:val="24"/>
          <w:szCs w:val="24"/>
        </w:rPr>
        <w:t xml:space="preserve">(a) </w:t>
      </w:r>
      <w:r>
        <w:rPr>
          <w:rFonts w:ascii="Times New Roman" w:cs="Times New Roman" w:eastAsia="Times New Roman" w:hAnsi="Times New Roman"/>
          <w:b/>
          <w:bCs/>
          <w:sz w:val="24"/>
          <w:szCs w:val="24"/>
          <w:u w:val="single"/>
        </w:rPr>
        <w:t xml:space="preserve">Equity Financing</w:t>
      </w:r>
      <w:r>
        <w:rPr>
          <w:rFonts w:ascii="Times New Roman" w:cs="Times New Roman" w:eastAsia="Times New Roman" w:hAnsi="Times New Roman"/>
          <w:sz w:val="24"/>
          <w:szCs w:val="24"/>
        </w:rPr>
        <w:t xml:space="preserve">. If there is an Equity Financing before the termination of this SAFE, on the initial closing of such Equity Financing, this SAFE will automatically convert into the number of shares of Safe Preferred Stock equal to the Purchase Amount divided by the Discount Price.</w:t>
      </w:r>
    </w:p>
    <w:p>
      <w:pPr>
        <w:spacing w:after="200"/>
        <w:ind w:left="720"/>
      </w:pPr>
      <w:r>
        <w:rPr>
          <w:rFonts w:ascii="Times New Roman" w:cs="Times New Roman" w:eastAsia="Times New Roman" w:hAnsi="Times New Roman"/>
          <w:sz w:val="24"/>
          <w:szCs w:val="24"/>
        </w:rPr>
        <w:t xml:space="preserve">In connection with the automatic conversion of this SAFE into shares of Safe Preferred Stock, the Investor will execute and deliver to the Company all of the transaction documents related to the Equity Financing; </w:t>
      </w:r>
      <w:r>
        <w:rPr>
          <w:rFonts w:ascii="Times New Roman" w:cs="Times New Roman" w:eastAsia="Times New Roman" w:hAnsi="Times New Roman"/>
          <w:i/>
          <w:iCs/>
          <w:sz w:val="24"/>
          <w:szCs w:val="24"/>
        </w:rPr>
        <w:t xml:space="preserve">provided</w:t>
      </w:r>
      <w:r>
        <w:rPr>
          <w:rFonts w:ascii="Times New Roman" w:cs="Times New Roman" w:eastAsia="Times New Roman" w:hAnsi="Times New Roman"/>
          <w:sz w:val="24"/>
          <w:szCs w:val="24"/>
        </w:rPr>
        <w:t xml:space="preserve">, that such documents (i) are the same documents to be entered into with the purchasers of Standard Preferred Stock, with appropriate variations for the Safe Preferred Stock if applicable, and (ii) have customary exceptions to any drag-along applicable to the Investor, including (without limitation) for compliance with applicable securities laws.</w:t>
      </w:r>
    </w:p>
    <w:p>
      <w:pPr>
        <w:spacing w:after="200"/>
      </w:pPr>
      <w:r>
        <w:rPr>
          <w:rFonts w:ascii="Times New Roman" w:cs="Times New Roman" w:eastAsia="Times New Roman" w:hAnsi="Times New Roman"/>
          <w:b/>
          <w:bCs/>
          <w:sz w:val="24"/>
          <w:szCs w:val="24"/>
        </w:rPr>
        <w:t xml:space="preserve">(b) </w:t>
      </w:r>
      <w:r>
        <w:rPr>
          <w:rFonts w:ascii="Times New Roman" w:cs="Times New Roman" w:eastAsia="Times New Roman" w:hAnsi="Times New Roman"/>
          <w:b/>
          <w:bCs/>
          <w:sz w:val="24"/>
          <w:szCs w:val="24"/>
          <w:u w:val="single"/>
        </w:rPr>
        <w:t xml:space="preserve">Liquidity Event</w:t>
      </w:r>
      <w:r>
        <w:rPr>
          <w:rFonts w:ascii="Times New Roman" w:cs="Times New Roman" w:eastAsia="Times New Roman" w:hAnsi="Times New Roman"/>
          <w:sz w:val="24"/>
          <w:szCs w:val="24"/>
        </w:rPr>
        <w:t xml:space="preserve">. If there is a Liquidity Event before the termination of this SAFE, the Investor will, at its option, either (i) receive a cash payment equal to the Purchase Amount (the "</w:t>
      </w:r>
      <w:r>
        <w:rPr>
          <w:rFonts w:ascii="Times New Roman" w:cs="Times New Roman" w:eastAsia="Times New Roman" w:hAnsi="Times New Roman"/>
          <w:b/>
          <w:bCs/>
          <w:sz w:val="24"/>
          <w:szCs w:val="24"/>
        </w:rPr>
        <w:t xml:space="preserve">Cash-Out Amount</w:t>
      </w:r>
      <w:r>
        <w:rPr>
          <w:rFonts w:ascii="Times New Roman" w:cs="Times New Roman" w:eastAsia="Times New Roman" w:hAnsi="Times New Roman"/>
          <w:sz w:val="24"/>
          <w:szCs w:val="24"/>
        </w:rPr>
        <w:t xml:space="preserve">") or (ii) automatically receive from the Company a number of shares of Common Stock equal to the Purchase Amount divided by the Liquidity Price (the "</w:t>
      </w:r>
      <w:r>
        <w:rPr>
          <w:rFonts w:ascii="Times New Roman" w:cs="Times New Roman" w:eastAsia="Times New Roman" w:hAnsi="Times New Roman"/>
          <w:b/>
          <w:bCs/>
          <w:sz w:val="24"/>
          <w:szCs w:val="24"/>
        </w:rPr>
        <w:t xml:space="preserve">Conversion Amount</w:t>
      </w:r>
      <w:r>
        <w:rPr>
          <w:rFonts w:ascii="Times New Roman" w:cs="Times New Roman" w:eastAsia="Times New Roman" w:hAnsi="Times New Roman"/>
          <w:sz w:val="24"/>
          <w:szCs w:val="24"/>
        </w:rPr>
        <w:t xml:space="preserve">").</w:t>
      </w:r>
    </w:p>
    <w:p>
      <w:pPr>
        <w:spacing w:after="200"/>
        <w:ind w:left="720"/>
      </w:pPr>
      <w:r>
        <w:rPr>
          <w:rFonts w:ascii="Times New Roman" w:cs="Times New Roman" w:eastAsia="Times New Roman" w:hAnsi="Times New Roman"/>
          <w:sz w:val="24"/>
          <w:szCs w:val="24"/>
        </w:rPr>
        <w:t xml:space="preserve">If the Investor fails to select the Cash-Out Amount or the Conversion Amount, the Company will assume the Investor has elected the Conversion Amount.</w:t>
      </w:r>
    </w:p>
    <w:p>
      <w:pPr>
        <w:spacing w:after="200"/>
        <w:ind w:left="720"/>
      </w:pPr>
      <w:r>
        <w:rPr>
          <w:rFonts w:ascii="Times New Roman" w:cs="Times New Roman" w:eastAsia="Times New Roman" w:hAnsi="Times New Roman"/>
          <w:sz w:val="24"/>
          <w:szCs w:val="24"/>
        </w:rPr>
        <w:t xml:space="preserve">If the Company's obligations under this Section 1(b) remain in effect following a Liquidity Event, the Investor shall be entitled to a pro rata share of the proceeds from such Liquidity Event in proportion to the Investor's Purchase Amount relative to the total outstanding SAFEs with similar terms.</w:t>
      </w:r>
    </w:p>
    <w:p>
      <w:pPr>
        <w:spacing w:after="200"/>
      </w:pPr>
      <w:r>
        <w:rPr>
          <w:rFonts w:ascii="Times New Roman" w:cs="Times New Roman" w:eastAsia="Times New Roman" w:hAnsi="Times New Roman"/>
          <w:b/>
          <w:bCs/>
          <w:sz w:val="24"/>
          <w:szCs w:val="24"/>
        </w:rPr>
        <w:t xml:space="preserve">(c) </w:t>
      </w:r>
      <w:r>
        <w:rPr>
          <w:rFonts w:ascii="Times New Roman" w:cs="Times New Roman" w:eastAsia="Times New Roman" w:hAnsi="Times New Roman"/>
          <w:b/>
          <w:bCs/>
          <w:sz w:val="24"/>
          <w:szCs w:val="24"/>
          <w:u w:val="single"/>
        </w:rPr>
        <w:t xml:space="preserve">Dissolution Event</w:t>
      </w:r>
      <w:r>
        <w:rPr>
          <w:rFonts w:ascii="Times New Roman" w:cs="Times New Roman" w:eastAsia="Times New Roman" w:hAnsi="Times New Roman"/>
          <w:sz w:val="24"/>
          <w:szCs w:val="24"/>
        </w:rPr>
        <w:t xml:space="preserve">. If there is a Dissolution Event before the termination of this SAFE, the Company will pay an amount equal to the Purchase Amount, due and payable to the Investor immediately prior to, or concurrent with, the consummation of the Dissolution Event. The Purchase Amount will be paid out of the remaining assets of the Company available for distribution to the Company's stockholders, and will be paid </w:t>
      </w:r>
      <w:r>
        <w:rPr>
          <w:rFonts w:ascii="Times New Roman" w:cs="Times New Roman" w:eastAsia="Times New Roman" w:hAnsi="Times New Roman"/>
          <w:i/>
          <w:iCs/>
          <w:sz w:val="24"/>
          <w:szCs w:val="24"/>
        </w:rPr>
        <w:t xml:space="preserve">prior and in preference to any distribution of any of the assets of the Company</w:t>
      </w:r>
      <w:r>
        <w:rPr>
          <w:rFonts w:ascii="Times New Roman" w:cs="Times New Roman" w:eastAsia="Times New Roman" w:hAnsi="Times New Roman"/>
          <w:sz w:val="24"/>
          <w:szCs w:val="24"/>
        </w:rPr>
        <w:t xml:space="preserve"> to holders of the Company's outstanding Capital Stock by reason of their ownership thereof. If immediately prior to the consummation or completion of the Dissolution Event, the assets of the Company legally available for distribution to the holders of the SAFEs, are insufficient to permit the payment to the Investors of their respective Purchase Amounts, then the entire assets of the Company legally available for distribution will be distributed with equal priority and </w:t>
      </w:r>
      <w:r>
        <w:rPr>
          <w:rFonts w:ascii="Times New Roman" w:cs="Times New Roman" w:eastAsia="Times New Roman" w:hAnsi="Times New Roman"/>
          <w:i/>
          <w:iCs/>
          <w:sz w:val="24"/>
          <w:szCs w:val="24"/>
        </w:rPr>
        <w:t xml:space="preserve">pro rata</w:t>
      </w:r>
      <w:r>
        <w:rPr>
          <w:rFonts w:ascii="Times New Roman" w:cs="Times New Roman" w:eastAsia="Times New Roman" w:hAnsi="Times New Roman"/>
          <w:sz w:val="24"/>
          <w:szCs w:val="24"/>
        </w:rPr>
        <w:t xml:space="preserve"> among the Investors in proportion to the Purchase Amounts they would otherwise be entitled to receive.</w:t>
      </w:r>
    </w:p>
    <w:p>
      <w:pPr>
        <w:spacing w:after="200"/>
      </w:pPr>
      <w:r>
        <w:rPr>
          <w:rFonts w:ascii="Times New Roman" w:cs="Times New Roman" w:eastAsia="Times New Roman" w:hAnsi="Times New Roman"/>
          <w:b/>
          <w:bCs/>
          <w:sz w:val="24"/>
          <w:szCs w:val="24"/>
        </w:rPr>
        <w:t xml:space="preserve">(d) </w:t>
      </w:r>
      <w:r>
        <w:rPr>
          <w:rFonts w:ascii="Times New Roman" w:cs="Times New Roman" w:eastAsia="Times New Roman" w:hAnsi="Times New Roman"/>
          <w:b/>
          <w:bCs/>
          <w:sz w:val="24"/>
          <w:szCs w:val="24"/>
          <w:u w:val="single"/>
        </w:rPr>
        <w:t xml:space="preserve">Termination</w:t>
      </w:r>
      <w:r>
        <w:rPr>
          <w:rFonts w:ascii="Times New Roman" w:cs="Times New Roman" w:eastAsia="Times New Roman" w:hAnsi="Times New Roman"/>
          <w:sz w:val="24"/>
          <w:szCs w:val="24"/>
        </w:rPr>
        <w:t xml:space="preserve">. This SAFE will automatically terminate (without relieving the Company of any obligations arising from a prior breach of or non-compliance with this SAFE) immediately following the earliest to occur of: (i) the issuance of Capital Stock to the Investor pursuant to the automatic conversion of this SAFE under Section 1(a); or (ii) the payment, or setting aside for payment, of amounts due the Investor pursuant to Section 1(b) or Section 1(c).</w:t>
      </w:r>
    </w:p>
    <w:p>
      <w:r>
        <w:br w:type="page"/>
      </w:r>
    </w:p>
    <w:p>
      <w:pPr>
        <w:pStyle w:val="Heading1"/>
        <w:spacing w:after="300"/>
      </w:pPr>
      <w:r>
        <w:rPr>
          <w:rFonts w:ascii="Times New Roman" w:cs="Times New Roman" w:eastAsia="Times New Roman" w:hAnsi="Times New Roman"/>
          <w:b/>
          <w:bCs/>
          <w:sz w:val="26"/>
          <w:szCs w:val="26"/>
        </w:rPr>
        <w:t xml:space="preserve">Section 2. Definitions</w:t>
      </w:r>
    </w:p>
    <w:p>
      <w:pPr>
        <w:spacing w:after="200"/>
      </w:pPr>
      <w:r>
        <w:rPr>
          <w:rFonts w:ascii="Times New Roman" w:cs="Times New Roman" w:eastAsia="Times New Roman" w:hAnsi="Times New Roman"/>
          <w:b/>
          <w:bCs/>
          <w:sz w:val="24"/>
          <w:szCs w:val="24"/>
        </w:rPr>
        <w:t xml:space="preserve">"Capital Stock"</w:t>
      </w:r>
      <w:r>
        <w:rPr>
          <w:rFonts w:ascii="Times New Roman" w:cs="Times New Roman" w:eastAsia="Times New Roman" w:hAnsi="Times New Roman"/>
          <w:sz w:val="24"/>
          <w:szCs w:val="24"/>
        </w:rPr>
        <w:t xml:space="preserve"> means the capital stock of the Company, including, without limitation, the Common Stock and the Preferred Stock.</w:t>
      </w:r>
    </w:p>
    <w:p>
      <w:pPr>
        <w:spacing w:after="200"/>
      </w:pPr>
      <w:r>
        <w:rPr>
          <w:rFonts w:ascii="Times New Roman" w:cs="Times New Roman" w:eastAsia="Times New Roman" w:hAnsi="Times New Roman"/>
          <w:b/>
          <w:bCs/>
          <w:sz w:val="24"/>
          <w:szCs w:val="24"/>
        </w:rPr>
        <w:t xml:space="preserve">"Change of Control"</w:t>
      </w:r>
      <w:r>
        <w:rPr>
          <w:rFonts w:ascii="Times New Roman" w:cs="Times New Roman" w:eastAsia="Times New Roman" w:hAnsi="Times New Roman"/>
          <w:sz w:val="24"/>
          <w:szCs w:val="24"/>
        </w:rPr>
        <w:t xml:space="preserve"> means (i) a transaction or series of related transactions in which any "person" or "group" (within the meaning of Sections 13(d) and 14(d) of the Securities Exchange Act of 1934, as amended), becomes the "beneficial owner" (as defined in Rule 13d-3 under the Securities Exchange Act of 1934, as amended), directly or indirectly, of more than 50% of the outstanding voting securities of the Company having the right to vote for the election of members of the Company's board of directors, (ii) any reorganization, merger or consolidation of the Company, other than a transaction or series of related transactions in which the holders of the voting securities of the Company outstanding immediately prior to such transaction or series of related transactions retain, immediately after such transaction or series of related transactions, at least a majority of the total voting power represented by the outstanding voting securities of the Company or such other surviving or resulting entity, or (iii) a sale, lease or other disposition of all or substantially all of the assets of the Company.</w:t>
      </w:r>
    </w:p>
    <w:p>
      <w:pPr>
        <w:spacing w:after="200"/>
      </w:pPr>
      <w:r>
        <w:rPr>
          <w:rFonts w:ascii="Times New Roman" w:cs="Times New Roman" w:eastAsia="Times New Roman" w:hAnsi="Times New Roman"/>
          <w:b/>
          <w:bCs/>
          <w:sz w:val="24"/>
          <w:szCs w:val="24"/>
        </w:rPr>
        <w:t xml:space="preserve">"Common Stock"</w:t>
      </w:r>
      <w:r>
        <w:rPr>
          <w:rFonts w:ascii="Times New Roman" w:cs="Times New Roman" w:eastAsia="Times New Roman" w:hAnsi="Times New Roman"/>
          <w:sz w:val="24"/>
          <w:szCs w:val="24"/>
        </w:rPr>
        <w:t xml:space="preserve"> means the common stock of the Company.</w:t>
      </w:r>
    </w:p>
    <w:p>
      <w:pPr>
        <w:spacing w:after="200"/>
      </w:pPr>
      <w:r>
        <w:rPr>
          <w:rFonts w:ascii="Times New Roman" w:cs="Times New Roman" w:eastAsia="Times New Roman" w:hAnsi="Times New Roman"/>
          <w:b/>
          <w:bCs/>
          <w:sz w:val="24"/>
          <w:szCs w:val="24"/>
        </w:rPr>
        <w:t xml:space="preserve">"Company Capitalization"</w:t>
      </w:r>
      <w:r>
        <w:rPr>
          <w:rFonts w:ascii="Times New Roman" w:cs="Times New Roman" w:eastAsia="Times New Roman" w:hAnsi="Times New Roman"/>
          <w:sz w:val="24"/>
          <w:szCs w:val="24"/>
        </w:rPr>
        <w:t xml:space="preserve"> is calculated as of immediately prior to the Equity Financing and (without double-counting, in each case calculated on an as-converted to Common Stock basis):</w:t>
      </w:r>
    </w:p>
    <w:p>
      <w:pPr>
        <w:spacing w:after="120"/>
        <w:ind w:left="720"/>
      </w:pPr>
      <w:r>
        <w:rPr>
          <w:rFonts w:ascii="Times New Roman" w:cs="Times New Roman" w:eastAsia="Times New Roman" w:hAnsi="Times New Roman"/>
          <w:sz w:val="24"/>
          <w:szCs w:val="24"/>
        </w:rPr>
        <w:t xml:space="preserve">(i) all shares of Capital Stock issued and outstanding;</w:t>
      </w:r>
    </w:p>
    <w:p>
      <w:pPr>
        <w:spacing w:after="120"/>
        <w:ind w:left="720"/>
      </w:pPr>
      <w:r>
        <w:rPr>
          <w:rFonts w:ascii="Times New Roman" w:cs="Times New Roman" w:eastAsia="Times New Roman" w:hAnsi="Times New Roman"/>
          <w:sz w:val="24"/>
          <w:szCs w:val="24"/>
        </w:rPr>
        <w:t xml:space="preserve">(ii) all outstanding stock options or similar rights to purchase shares of Capital Stock, and/or all shares of Capital Stock reserved and available for future grant under any equity incentive or similar plan of the Company, including any increase in the shares reserved or available for future grant under such plan in connection with the Equity Financing;</w:t>
      </w:r>
    </w:p>
    <w:p>
      <w:pPr>
        <w:spacing w:after="120"/>
        <w:ind w:left="720"/>
      </w:pPr>
      <w:r>
        <w:rPr>
          <w:rFonts w:ascii="Times New Roman" w:cs="Times New Roman" w:eastAsia="Times New Roman" w:hAnsi="Times New Roman"/>
          <w:sz w:val="24"/>
          <w:szCs w:val="24"/>
        </w:rPr>
        <w:t xml:space="preserve">(iii) all shares of Capital Stock issuable upon the conversion, exercise or exchange of any outstanding convertible securities, warrants, or other rights to acquire shares of Capital Stock (other than SAFEs and other convertible securities that convert into shares in connection with the Equity Financing); and</w:t>
      </w:r>
    </w:p>
    <w:p>
      <w:pPr>
        <w:spacing w:after="200"/>
        <w:ind w:left="720"/>
      </w:pPr>
      <w:r>
        <w:rPr>
          <w:rFonts w:ascii="Times New Roman" w:cs="Times New Roman" w:eastAsia="Times New Roman" w:hAnsi="Times New Roman"/>
          <w:sz w:val="24"/>
          <w:szCs w:val="24"/>
        </w:rPr>
        <w:t xml:space="preserve">(iv) outstanding SAFEs and convertible securities that are converting into shares in connection with the Equity Financing.</w:t>
      </w:r>
    </w:p>
    <w:p>
      <w:pPr>
        <w:spacing w:after="200"/>
      </w:pPr>
      <w:r>
        <w:rPr>
          <w:rFonts w:ascii="Times New Roman" w:cs="Times New Roman" w:eastAsia="Times New Roman" w:hAnsi="Times New Roman"/>
          <w:b/>
          <w:bCs/>
          <w:sz w:val="24"/>
          <w:szCs w:val="24"/>
        </w:rPr>
        <w:t xml:space="preserve">"Discount Price"</w:t>
      </w:r>
      <w:r>
        <w:rPr>
          <w:rFonts w:ascii="Times New Roman" w:cs="Times New Roman" w:eastAsia="Times New Roman" w:hAnsi="Times New Roman"/>
          <w:sz w:val="24"/>
          <w:szCs w:val="24"/>
        </w:rPr>
        <w:t xml:space="preserve"> means the price per share of the Standard Preferred Stock sold in the Equity Financing multiplied by the Discount Rate. </w:t>
      </w:r>
      <w:r>
        <w:rPr>
          <w:rFonts w:ascii="Times New Roman" w:cs="Times New Roman" w:eastAsia="Times New Roman" w:hAnsi="Times New Roman"/>
          <w:i/>
          <w:iCs/>
          <w:color w:val="666666"/>
          <w:sz w:val="20"/>
          <w:szCs w:val="20"/>
        </w:rPr>
        <w:t xml:space="preserve">This is the key economic term of this SAFE: the Investor receives shares at a lower price per share than the Series A investors, reflecting the earlier timing and higher risk of the SAFE investment.</w:t>
      </w:r>
    </w:p>
    <w:p>
      <w:pPr>
        <w:spacing w:after="200"/>
      </w:pPr>
      <w:r>
        <w:rPr>
          <w:rFonts w:ascii="Times New Roman" w:cs="Times New Roman" w:eastAsia="Times New Roman" w:hAnsi="Times New Roman"/>
          <w:b/>
          <w:bCs/>
          <w:sz w:val="24"/>
          <w:szCs w:val="24"/>
        </w:rPr>
        <w:t xml:space="preserve">"Dissolution Event"</w:t>
      </w:r>
      <w:r>
        <w:rPr>
          <w:rFonts w:ascii="Times New Roman" w:cs="Times New Roman" w:eastAsia="Times New Roman" w:hAnsi="Times New Roman"/>
          <w:sz w:val="24"/>
          <w:szCs w:val="24"/>
        </w:rPr>
        <w:t xml:space="preserve"> means (i) a voluntary termination of operations, (ii) a general assignment for the benefit of the Company's creditors or (iii) any other liquidation, dissolution or winding up of the Company (</w:t>
      </w:r>
      <w:r>
        <w:rPr>
          <w:rFonts w:ascii="Times New Roman" w:cs="Times New Roman" w:eastAsia="Times New Roman" w:hAnsi="Times New Roman"/>
          <w:i/>
          <w:iCs/>
          <w:sz w:val="24"/>
          <w:szCs w:val="24"/>
        </w:rPr>
        <w:t xml:space="preserve">excluding</w:t>
      </w:r>
      <w:r>
        <w:rPr>
          <w:rFonts w:ascii="Times New Roman" w:cs="Times New Roman" w:eastAsia="Times New Roman" w:hAnsi="Times New Roman"/>
          <w:sz w:val="24"/>
          <w:szCs w:val="24"/>
        </w:rPr>
        <w:t xml:space="preserve"> a Liquidity Event), whether voluntary or involuntary.</w:t>
      </w:r>
    </w:p>
    <w:p>
      <w:pPr>
        <w:spacing w:after="200"/>
      </w:pPr>
      <w:r>
        <w:rPr>
          <w:rFonts w:ascii="Times New Roman" w:cs="Times New Roman" w:eastAsia="Times New Roman" w:hAnsi="Times New Roman"/>
          <w:b/>
          <w:bCs/>
          <w:sz w:val="24"/>
          <w:szCs w:val="24"/>
        </w:rPr>
        <w:t xml:space="preserve">"Equity Financing"</w:t>
      </w:r>
      <w:r>
        <w:rPr>
          <w:rFonts w:ascii="Times New Roman" w:cs="Times New Roman" w:eastAsia="Times New Roman" w:hAnsi="Times New Roman"/>
          <w:sz w:val="24"/>
          <w:szCs w:val="24"/>
        </w:rPr>
        <w:t xml:space="preserve"> means a bona fide transaction or series of transactions with the principal purpose of raising capital, pursuant to which the Company issues and sells Preferred Stock at a fixed pre-money valuation.</w:t>
      </w:r>
    </w:p>
    <w:p>
      <w:pPr>
        <w:spacing w:after="200"/>
      </w:pPr>
      <w:r>
        <w:rPr>
          <w:rFonts w:ascii="Times New Roman" w:cs="Times New Roman" w:eastAsia="Times New Roman" w:hAnsi="Times New Roman"/>
          <w:b/>
          <w:bCs/>
          <w:sz w:val="24"/>
          <w:szCs w:val="24"/>
        </w:rPr>
        <w:t xml:space="preserve">"Initial Public Offering"</w:t>
      </w:r>
      <w:r>
        <w:rPr>
          <w:rFonts w:ascii="Times New Roman" w:cs="Times New Roman" w:eastAsia="Times New Roman" w:hAnsi="Times New Roman"/>
          <w:sz w:val="24"/>
          <w:szCs w:val="24"/>
        </w:rPr>
        <w:t xml:space="preserve"> means the closing of the Company's first firm commitment underwritten initial public offering of Common Stock pursuant to a registration statement filed under the Securities Act.</w:t>
      </w:r>
    </w:p>
    <w:p>
      <w:pPr>
        <w:spacing w:after="200"/>
      </w:pPr>
      <w:r>
        <w:rPr>
          <w:rFonts w:ascii="Times New Roman" w:cs="Times New Roman" w:eastAsia="Times New Roman" w:hAnsi="Times New Roman"/>
          <w:b/>
          <w:bCs/>
          <w:sz w:val="24"/>
          <w:szCs w:val="24"/>
        </w:rPr>
        <w:t xml:space="preserve">"Liquidity Event"</w:t>
      </w:r>
      <w:r>
        <w:rPr>
          <w:rFonts w:ascii="Times New Roman" w:cs="Times New Roman" w:eastAsia="Times New Roman" w:hAnsi="Times New Roman"/>
          <w:sz w:val="24"/>
          <w:szCs w:val="24"/>
        </w:rPr>
        <w:t xml:space="preserve"> means a Change of Control or an Initial Public Offering.</w:t>
      </w:r>
    </w:p>
    <w:p>
      <w:pPr>
        <w:spacing w:after="200"/>
      </w:pPr>
      <w:r>
        <w:rPr>
          <w:rFonts w:ascii="Times New Roman" w:cs="Times New Roman" w:eastAsia="Times New Roman" w:hAnsi="Times New Roman"/>
          <w:b/>
          <w:bCs/>
          <w:sz w:val="24"/>
          <w:szCs w:val="24"/>
        </w:rPr>
        <w:t xml:space="preserve">"Liquidity Price"</w:t>
      </w:r>
      <w:r>
        <w:rPr>
          <w:rFonts w:ascii="Times New Roman" w:cs="Times New Roman" w:eastAsia="Times New Roman" w:hAnsi="Times New Roman"/>
          <w:sz w:val="24"/>
          <w:szCs w:val="24"/>
        </w:rPr>
        <w:t xml:space="preserve"> means the price per share equal to the fair market value of the Common Stock at the time of the Liquidity Event, as determined by reference to the purchase price payable in connection with such Liquidity Event, multiplied by the Discount Rate. For the avoidance of doubt, a direct listing shall not be considered an Initial Public Offering and the Liquidity Price for any direct listing shall be determined using the volume-weighted average trading price of the Common Stock over the first five (5) trading days following the effective date of the registration statement.</w:t>
      </w:r>
    </w:p>
    <w:p>
      <w:r>
        <w:br w:type="page"/>
      </w:r>
    </w:p>
    <w:p>
      <w:pPr>
        <w:spacing w:after="200"/>
      </w:pPr>
      <w:r>
        <w:rPr>
          <w:rFonts w:ascii="Times New Roman" w:cs="Times New Roman" w:eastAsia="Times New Roman" w:hAnsi="Times New Roman"/>
          <w:b/>
          <w:bCs/>
          <w:sz w:val="24"/>
          <w:szCs w:val="24"/>
        </w:rPr>
        <w:t xml:space="preserve">"Liquidity Capitalization"</w:t>
      </w:r>
      <w:r>
        <w:rPr>
          <w:rFonts w:ascii="Times New Roman" w:cs="Times New Roman" w:eastAsia="Times New Roman" w:hAnsi="Times New Roman"/>
          <w:sz w:val="24"/>
          <w:szCs w:val="24"/>
        </w:rPr>
        <w:t xml:space="preserve"> is calculated as of immediately prior to the Liquidity Event and (without double-counting, in each case calculated on an as-converted to Common Stock basis):</w:t>
      </w:r>
    </w:p>
    <w:p>
      <w:pPr>
        <w:spacing w:after="120"/>
        <w:ind w:left="720"/>
      </w:pPr>
      <w:r>
        <w:rPr>
          <w:rFonts w:ascii="Times New Roman" w:cs="Times New Roman" w:eastAsia="Times New Roman" w:hAnsi="Times New Roman"/>
          <w:sz w:val="24"/>
          <w:szCs w:val="24"/>
        </w:rPr>
        <w:t xml:space="preserve">(i) all shares of Capital Stock issued and outstanding;</w:t>
      </w:r>
    </w:p>
    <w:p>
      <w:pPr>
        <w:spacing w:after="120"/>
        <w:ind w:left="720"/>
      </w:pPr>
      <w:r>
        <w:rPr>
          <w:rFonts w:ascii="Times New Roman" w:cs="Times New Roman" w:eastAsia="Times New Roman" w:hAnsi="Times New Roman"/>
          <w:sz w:val="24"/>
          <w:szCs w:val="24"/>
        </w:rPr>
        <w:t xml:space="preserve">(ii) all outstanding stock options or similar rights to purchase shares of Capital Stock, and/or all shares of Capital Stock reserved and available for future grant under any equity incentive or similar plan of the Company; and</w:t>
      </w:r>
    </w:p>
    <w:p>
      <w:pPr>
        <w:spacing w:after="200"/>
        <w:ind w:left="720"/>
      </w:pPr>
      <w:r>
        <w:rPr>
          <w:rFonts w:ascii="Times New Roman" w:cs="Times New Roman" w:eastAsia="Times New Roman" w:hAnsi="Times New Roman"/>
          <w:sz w:val="24"/>
          <w:szCs w:val="24"/>
        </w:rPr>
        <w:t xml:space="preserve">(iii) all shares of Capital Stock issuable upon the conversion, exercise, or exchange of all outstanding convertible securities, warrants, or other rights to acquire shares of Capital Stock, including outstanding SAFEs.</w:t>
      </w:r>
    </w:p>
    <w:p>
      <w:pPr>
        <w:spacing w:after="200"/>
      </w:pPr>
      <w:r>
        <w:rPr>
          <w:rFonts w:ascii="Times New Roman" w:cs="Times New Roman" w:eastAsia="Times New Roman" w:hAnsi="Times New Roman"/>
          <w:b/>
          <w:bCs/>
          <w:sz w:val="24"/>
          <w:szCs w:val="24"/>
        </w:rPr>
        <w:t xml:space="preserve">"Preferred Stock"</w:t>
      </w:r>
      <w:r>
        <w:rPr>
          <w:rFonts w:ascii="Times New Roman" w:cs="Times New Roman" w:eastAsia="Times New Roman" w:hAnsi="Times New Roman"/>
          <w:sz w:val="24"/>
          <w:szCs w:val="24"/>
        </w:rPr>
        <w:t xml:space="preserve"> means the preferred stock of the Company.</w:t>
      </w:r>
    </w:p>
    <w:p>
      <w:pPr>
        <w:spacing w:after="200"/>
      </w:pPr>
      <w:r>
        <w:rPr>
          <w:rFonts w:ascii="Times New Roman" w:cs="Times New Roman" w:eastAsia="Times New Roman" w:hAnsi="Times New Roman"/>
          <w:b/>
          <w:bCs/>
          <w:sz w:val="24"/>
          <w:szCs w:val="24"/>
        </w:rPr>
        <w:t xml:space="preserve">"Pro Rata Rights Agreement"</w:t>
      </w:r>
      <w:r>
        <w:rPr>
          <w:rFonts w:ascii="Times New Roman" w:cs="Times New Roman" w:eastAsia="Times New Roman" w:hAnsi="Times New Roman"/>
          <w:sz w:val="24"/>
          <w:szCs w:val="24"/>
        </w:rPr>
        <w:t xml:space="preserve"> means a written agreement between the Company and the Investor (and/or its affiliates) in a form reasonably acceptable to the Company, granting the Investor a right to purchase its pro rata share of private placements of securities by the Company occurring after the Equity Financing, subject to customary exceptions. Pro rata for purposes of this Pro Rata Rights Agreement shall be calculated on the basis of the ratio of (1) the number of shares of Capital Stock owned by the Investor immediately prior to the issuance of the securities to (2) the total number of shares of outstanding Capital Stock on a fully diluted basis, calculated as of immediately prior to the issuance of the securities.</w:t>
      </w:r>
    </w:p>
    <w:p>
      <w:pPr>
        <w:spacing w:after="200"/>
      </w:pPr>
      <w:r>
        <w:rPr>
          <w:rFonts w:ascii="Times New Roman" w:cs="Times New Roman" w:eastAsia="Times New Roman" w:hAnsi="Times New Roman"/>
          <w:b/>
          <w:bCs/>
          <w:sz w:val="24"/>
          <w:szCs w:val="24"/>
        </w:rPr>
        <w:t xml:space="preserve">"SAFE"</w:t>
      </w:r>
      <w:r>
        <w:rPr>
          <w:rFonts w:ascii="Times New Roman" w:cs="Times New Roman" w:eastAsia="Times New Roman" w:hAnsi="Times New Roman"/>
          <w:sz w:val="24"/>
          <w:szCs w:val="24"/>
        </w:rPr>
        <w:t xml:space="preserve"> means an instrument containing a future right to shares of Capital Stock, similar in form and content to this instrument, purchased by investors for a fixed amount of money.</w:t>
      </w:r>
    </w:p>
    <w:p>
      <w:pPr>
        <w:spacing w:after="200"/>
      </w:pPr>
      <w:r>
        <w:rPr>
          <w:rFonts w:ascii="Times New Roman" w:cs="Times New Roman" w:eastAsia="Times New Roman" w:hAnsi="Times New Roman"/>
          <w:b/>
          <w:bCs/>
          <w:sz w:val="24"/>
          <w:szCs w:val="24"/>
        </w:rPr>
        <w:t xml:space="preserve">"Safe Preferred Stock"</w:t>
      </w:r>
      <w:r>
        <w:rPr>
          <w:rFonts w:ascii="Times New Roman" w:cs="Times New Roman" w:eastAsia="Times New Roman" w:hAnsi="Times New Roman"/>
          <w:sz w:val="24"/>
          <w:szCs w:val="24"/>
        </w:rPr>
        <w:t xml:space="preserve"> means the shares of the series of Preferred Stock issued to the Investor in an Equity Financing, having the identical rights, privileges, preferences and restrictions as the shares of Standard Preferred Stock, other than with respect to: (i) the per share liquidation preference and the initial conversion price for purposes of price-based anti-dilution protection, which will equal the Discount Price; and (ii) the basis for any dividend rights, which will be based on the Discount Price.</w:t>
      </w:r>
    </w:p>
    <w:p>
      <w:pPr>
        <w:spacing w:after="200"/>
      </w:pPr>
      <w:r>
        <w:rPr>
          <w:rFonts w:ascii="Times New Roman" w:cs="Times New Roman" w:eastAsia="Times New Roman" w:hAnsi="Times New Roman"/>
          <w:b/>
          <w:bCs/>
          <w:sz w:val="24"/>
          <w:szCs w:val="24"/>
        </w:rPr>
        <w:t xml:space="preserve">"Standard Preferred Stock"</w:t>
      </w:r>
      <w:r>
        <w:rPr>
          <w:rFonts w:ascii="Times New Roman" w:cs="Times New Roman" w:eastAsia="Times New Roman" w:hAnsi="Times New Roman"/>
          <w:sz w:val="24"/>
          <w:szCs w:val="24"/>
        </w:rPr>
        <w:t xml:space="preserve"> means the shares of the series of Preferred Stock issued to the investors investing new money in the Company in connection with the initial closing of the Equity Financing.</w:t>
      </w:r>
    </w:p>
    <w:p>
      <w:r>
        <w:br w:type="page"/>
      </w:r>
    </w:p>
    <w:p>
      <w:pPr>
        <w:pStyle w:val="Heading1"/>
        <w:spacing w:after="300"/>
      </w:pPr>
      <w:r>
        <w:rPr>
          <w:rFonts w:ascii="Times New Roman" w:cs="Times New Roman" w:eastAsia="Times New Roman" w:hAnsi="Times New Roman"/>
          <w:b/>
          <w:bCs/>
          <w:sz w:val="26"/>
          <w:szCs w:val="26"/>
        </w:rPr>
        <w:t xml:space="preserve">Section 3. Company Representations</w:t>
      </w:r>
    </w:p>
    <w:p>
      <w:pPr>
        <w:spacing w:after="200"/>
      </w:pPr>
      <w:r>
        <w:rPr>
          <w:rFonts w:ascii="Times New Roman" w:cs="Times New Roman" w:eastAsia="Times New Roman" w:hAnsi="Times New Roman"/>
          <w:b/>
          <w:bCs/>
          <w:sz w:val="24"/>
          <w:szCs w:val="24"/>
        </w:rPr>
        <w:t xml:space="preserve">(a) </w:t>
      </w:r>
      <w:r>
        <w:rPr>
          <w:rFonts w:ascii="Times New Roman" w:cs="Times New Roman" w:eastAsia="Times New Roman" w:hAnsi="Times New Roman"/>
          <w:sz w:val="24"/>
          <w:szCs w:val="24"/>
        </w:rPr>
        <w:t xml:space="preserve">The Company is a corporation duly organized, validly existing and in good standing under the laws of its state of incorporation, and has the power and authority to own, lease and operate its properties and carry on its business as now conducted.</w:t>
      </w:r>
    </w:p>
    <w:p>
      <w:pPr>
        <w:spacing w:after="200"/>
      </w:pPr>
      <w:r>
        <w:rPr>
          <w:rFonts w:ascii="Times New Roman" w:cs="Times New Roman" w:eastAsia="Times New Roman" w:hAnsi="Times New Roman"/>
          <w:b/>
          <w:bCs/>
          <w:sz w:val="24"/>
          <w:szCs w:val="24"/>
        </w:rPr>
        <w:t xml:space="preserve">(b) </w:t>
      </w:r>
      <w:r>
        <w:rPr>
          <w:rFonts w:ascii="Times New Roman" w:cs="Times New Roman" w:eastAsia="Times New Roman" w:hAnsi="Times New Roman"/>
          <w:sz w:val="24"/>
          <w:szCs w:val="24"/>
        </w:rPr>
        <w:t xml:space="preserve">The execution, delivery and performance by the Company of this SAFE is within the power of the Company and has been duly authorized by all necessary actions on the part of the Company (subject to Section 3(d)). This SAFE constitutes a legal, valid and binding obligation of the Company, enforceable against the Company in accordance with its terms, except as limited by bankruptcy, insolvency or other laws of general application relating to or affecting the enforcement of creditors' rights generally and general principles of equity.</w:t>
      </w:r>
    </w:p>
    <w:p>
      <w:pPr>
        <w:spacing w:after="200"/>
      </w:pPr>
      <w:r>
        <w:rPr>
          <w:rFonts w:ascii="Times New Roman" w:cs="Times New Roman" w:eastAsia="Times New Roman" w:hAnsi="Times New Roman"/>
          <w:b/>
          <w:bCs/>
          <w:sz w:val="24"/>
          <w:szCs w:val="24"/>
        </w:rPr>
        <w:t xml:space="preserve">(c) </w:t>
      </w:r>
      <w:r>
        <w:rPr>
          <w:rFonts w:ascii="Times New Roman" w:cs="Times New Roman" w:eastAsia="Times New Roman" w:hAnsi="Times New Roman"/>
          <w:sz w:val="24"/>
          <w:szCs w:val="24"/>
        </w:rPr>
        <w:t xml:space="preserve">The performance and consummation of the transactions contemplated by this SAFE do not and will not: (i) violate any material judgment, statute, rule or regulation applicable to the Company; (ii) result in the acceleration of any material indebtedness owed by the Company; or (iii) result in the creation or imposition of any lien on any property, asset or revenue of the Company or the suspension, forfeiture, or nonrenewal of any material permit, license or authorization applicable to the Company, its business or operations.</w:t>
      </w:r>
    </w:p>
    <w:p>
      <w:pPr>
        <w:spacing w:after="200"/>
      </w:pPr>
      <w:r>
        <w:rPr>
          <w:rFonts w:ascii="Times New Roman" w:cs="Times New Roman" w:eastAsia="Times New Roman" w:hAnsi="Times New Roman"/>
          <w:b/>
          <w:bCs/>
          <w:sz w:val="24"/>
          <w:szCs w:val="24"/>
        </w:rPr>
        <w:t xml:space="preserve">(d) </w:t>
      </w:r>
      <w:r>
        <w:rPr>
          <w:rFonts w:ascii="Times New Roman" w:cs="Times New Roman" w:eastAsia="Times New Roman" w:hAnsi="Times New Roman"/>
          <w:sz w:val="24"/>
          <w:szCs w:val="24"/>
        </w:rPr>
        <w:t xml:space="preserve">No consents or approvals are required in connection with the performance of this SAFE, other than: (i) the Company's corporate approvals; (ii) any qualifications or filings under applicable securities laws; and (iii) necessary corporate approvals for the authorization of Capital Stock issuable pursuant to Section 1.</w:t>
      </w:r>
    </w:p>
    <w:p>
      <w:pPr>
        <w:spacing w:after="200"/>
      </w:pPr>
      <w:r>
        <w:rPr>
          <w:rFonts w:ascii="Times New Roman" w:cs="Times New Roman" w:eastAsia="Times New Roman" w:hAnsi="Times New Roman"/>
          <w:b/>
          <w:bCs/>
          <w:sz w:val="24"/>
          <w:szCs w:val="24"/>
        </w:rPr>
        <w:t xml:space="preserve">(e) </w:t>
      </w:r>
      <w:r>
        <w:rPr>
          <w:rFonts w:ascii="Times New Roman" w:cs="Times New Roman" w:eastAsia="Times New Roman" w:hAnsi="Times New Roman"/>
          <w:sz w:val="24"/>
          <w:szCs w:val="24"/>
        </w:rPr>
        <w:t xml:space="preserve">To its knowledge, the Company owns or possesses (or believes it can obtain on commercially reasonable terms) sufficient legal rights to all patents, trademarks, service marks, trade names, copyrights, trade secrets, licenses, information, processes and other intellectual property rights necessary for its present and planned business, without any known conflict with, or infringement of the rights of, others.</w:t>
      </w:r>
    </w:p>
    <w:p>
      <w:pPr>
        <w:pBdr>
          <w:left w:val="single" w:color="E67E22" w:sz="6" w:space="10"/>
        </w:pBdr>
        <w:shd w:fill="FFF8F0" w:val="clear"/>
        <w:spacing w:after="200" w:before="300"/>
        <w:ind w:left="200"/>
      </w:pPr>
      <w:r>
        <w:rPr>
          <w:rFonts w:ascii="Times New Roman" w:cs="Times New Roman" w:eastAsia="Times New Roman" w:hAnsi="Times New Roman"/>
          <w:b/>
          <w:bCs/>
          <w:color w:val="E67E22"/>
          <w:sz w:val="22"/>
          <w:szCs w:val="22"/>
        </w:rPr>
        <w:t xml:space="preserve">Emerging Provision — Outstanding Investor Side Protection (OISP): </w:t>
      </w:r>
      <w:r>
        <w:rPr>
          <w:rFonts w:ascii="Times New Roman" w:cs="Times New Roman" w:eastAsia="Times New Roman" w:hAnsi="Times New Roman"/>
          <w:sz w:val="22"/>
          <w:szCs w:val="22"/>
        </w:rPr>
        <w:t xml:space="preserve">Per the October 2025 NVCA Model Documents, founders should consider whether to include OISP, which confirms that the SAFE will be treated as outstanding (counting toward the pre-money valuation) in future financing rounds. OISP protects early SAFE investors from dilution when additional SAFEs are issued at higher caps. Parties may check the applicable provision below:</w:t>
      </w:r>
    </w:p>
    <w:p>
      <w:pPr>
        <w:spacing w:after="120"/>
        <w:ind w:left="720"/>
      </w:pP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OISP applies.</w:t>
      </w:r>
      <w:r>
        <w:rPr>
          <w:rFonts w:ascii="Times New Roman" w:cs="Times New Roman" w:eastAsia="Times New Roman" w:hAnsi="Times New Roman"/>
          <w:sz w:val="24"/>
          <w:szCs w:val="24"/>
        </w:rPr>
        <w:t xml:space="preserve"> The Company represents that the pre-money valuation for any future Equity Financing shall include all outstanding SAFEs (including this SAFE) in the Company Capitalization calculation.</w:t>
      </w:r>
    </w:p>
    <w:p>
      <w:pPr>
        <w:spacing w:after="200"/>
        <w:ind w:left="720"/>
      </w:pP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DSP applies.</w:t>
      </w:r>
      <w:r>
        <w:rPr>
          <w:rFonts w:ascii="Times New Roman" w:cs="Times New Roman" w:eastAsia="Times New Roman" w:hAnsi="Times New Roman"/>
          <w:sz w:val="24"/>
          <w:szCs w:val="24"/>
        </w:rPr>
        <w:t xml:space="preserve"> The Company represents that the pre-money valuation for any future Equity Financing shall be determined without counting outstanding SAFEs (including this SAFE), preserving the economic allocation implied by the Discount Rate as of the date of this SAFE.</w:t>
      </w:r>
    </w:p>
    <w:p>
      <w:r>
        <w:br w:type="page"/>
      </w:r>
    </w:p>
    <w:p>
      <w:pPr>
        <w:pStyle w:val="Heading1"/>
        <w:spacing w:after="300"/>
      </w:pPr>
      <w:r>
        <w:rPr>
          <w:rFonts w:ascii="Times New Roman" w:cs="Times New Roman" w:eastAsia="Times New Roman" w:hAnsi="Times New Roman"/>
          <w:b/>
          <w:bCs/>
          <w:sz w:val="26"/>
          <w:szCs w:val="26"/>
        </w:rPr>
        <w:t xml:space="preserve">Section 4. Investor Representations</w:t>
      </w:r>
    </w:p>
    <w:p>
      <w:pPr>
        <w:spacing w:after="200"/>
      </w:pPr>
      <w:r>
        <w:rPr>
          <w:rFonts w:ascii="Times New Roman" w:cs="Times New Roman" w:eastAsia="Times New Roman" w:hAnsi="Times New Roman"/>
          <w:b/>
          <w:bCs/>
          <w:sz w:val="24"/>
          <w:szCs w:val="24"/>
        </w:rPr>
        <w:t xml:space="preserve">(a) </w:t>
      </w:r>
      <w:r>
        <w:rPr>
          <w:rFonts w:ascii="Times New Roman" w:cs="Times New Roman" w:eastAsia="Times New Roman" w:hAnsi="Times New Roman"/>
          <w:sz w:val="24"/>
          <w:szCs w:val="24"/>
        </w:rPr>
        <w:t xml:space="preserve">The Investor has full legal capacity, power and authority to execute and deliver this SAFE and to perform its obligations hereunder. This SAFE constitutes valid and binding obligation of the Investor, enforceable in accordance with its terms, except as limited by bankruptcy, insolvency or other laws of general application relating to or affecting the enforcement of creditors' rights generally and general principles of equity.</w:t>
      </w:r>
    </w:p>
    <w:p>
      <w:pPr>
        <w:spacing w:after="200"/>
      </w:pPr>
      <w:r>
        <w:rPr>
          <w:rFonts w:ascii="Times New Roman" w:cs="Times New Roman" w:eastAsia="Times New Roman" w:hAnsi="Times New Roman"/>
          <w:b/>
          <w:bCs/>
          <w:sz w:val="24"/>
          <w:szCs w:val="24"/>
        </w:rPr>
        <w:t xml:space="preserve">(b) </w:t>
      </w:r>
      <w:r>
        <w:rPr>
          <w:rFonts w:ascii="Times New Roman" w:cs="Times New Roman" w:eastAsia="Times New Roman" w:hAnsi="Times New Roman"/>
          <w:sz w:val="24"/>
          <w:szCs w:val="24"/>
        </w:rPr>
        <w:t xml:space="preserve">The Investor is an accredited investor as such term is defined in Rule 501 of Regulation D under the Securities Act, and acknowledges and agrees that if not an accredited investor at the time of an Equity Financing, the Company may void this SAFE and return the Purchase Amount. The Investor has been advised that this SAFE and the underlying securities have not been registered under the Securities Act, or any state securities laws and, therefore, cannot be resold unless they are registered under the Securities Act and applicable state securities laws or unless an exemption from such registration requirements is available.</w:t>
      </w:r>
    </w:p>
    <w:p>
      <w:pPr>
        <w:spacing w:after="200"/>
      </w:pPr>
      <w:r>
        <w:rPr>
          <w:rFonts w:ascii="Times New Roman" w:cs="Times New Roman" w:eastAsia="Times New Roman" w:hAnsi="Times New Roman"/>
          <w:b/>
          <w:bCs/>
          <w:sz w:val="24"/>
          <w:szCs w:val="24"/>
        </w:rPr>
        <w:t xml:space="preserve">(c) </w:t>
      </w:r>
      <w:r>
        <w:rPr>
          <w:rFonts w:ascii="Times New Roman" w:cs="Times New Roman" w:eastAsia="Times New Roman" w:hAnsi="Times New Roman"/>
          <w:sz w:val="24"/>
          <w:szCs w:val="24"/>
        </w:rPr>
        <w:t xml:space="preserve">The Investor is purchasing this SAFE and the securities to be acquired by the Investor hereunder for its own account for investment, not as a nominee or agent, and not with a view to, or for resale in connection with, the distribution thereof, and the Investor has no present intention of selling, granting any participation in, or otherwise distributing the same.</w:t>
      </w:r>
    </w:p>
    <w:p>
      <w:pPr>
        <w:spacing w:after="200"/>
      </w:pPr>
      <w:r>
        <w:rPr>
          <w:rFonts w:ascii="Times New Roman" w:cs="Times New Roman" w:eastAsia="Times New Roman" w:hAnsi="Times New Roman"/>
          <w:b/>
          <w:bCs/>
          <w:sz w:val="24"/>
          <w:szCs w:val="24"/>
        </w:rPr>
        <w:t xml:space="preserve">(d) </w:t>
      </w:r>
      <w:r>
        <w:rPr>
          <w:rFonts w:ascii="Times New Roman" w:cs="Times New Roman" w:eastAsia="Times New Roman" w:hAnsi="Times New Roman"/>
          <w:sz w:val="24"/>
          <w:szCs w:val="24"/>
        </w:rPr>
        <w:t xml:space="preserve">The Investor has had an opportunity to discuss the Company's business, management, and financial affairs with members of management and has had the opportunity to review the Company's operations and facilities. The Investor has also had the opportunity to ask questions of and receive answers from the Company and its management regarding the terms and conditions of this investment.</w:t>
      </w:r>
    </w:p>
    <w:p>
      <w:pPr>
        <w:pBdr>
          <w:left w:val="single" w:color="E67E22" w:sz="6" w:space="10"/>
        </w:pBdr>
        <w:shd w:fill="FFF8F0" w:val="clear"/>
        <w:spacing w:after="200" w:before="300"/>
        <w:ind w:left="200"/>
      </w:pPr>
      <w:r>
        <w:rPr>
          <w:rFonts w:ascii="Times New Roman" w:cs="Times New Roman" w:eastAsia="Times New Roman" w:hAnsi="Times New Roman"/>
          <w:b/>
          <w:bCs/>
          <w:color w:val="E67E22"/>
          <w:sz w:val="22"/>
          <w:szCs w:val="22"/>
        </w:rPr>
        <w:t xml:space="preserve">Emerging Provision — Investor-Side OISP/DSP Acknowledgment: </w:t>
      </w:r>
      <w:r>
        <w:rPr>
          <w:rFonts w:ascii="Times New Roman" w:cs="Times New Roman" w:eastAsia="Times New Roman" w:hAnsi="Times New Roman"/>
          <w:sz w:val="22"/>
          <w:szCs w:val="22"/>
        </w:rPr>
        <w:t xml:space="preserve">The Investor acknowledges and agrees that the applicable OISP or DSP election in Section 3 governs how this SAFE will be treated in the capitalization calculation for any future Equity Financing, and that such treatment may affect the economic outcome of this SAFE upon conversion.</w:t>
      </w:r>
    </w:p>
    <w:p>
      <w:r>
        <w:br w:type="page"/>
      </w:r>
    </w:p>
    <w:p>
      <w:pPr>
        <w:pStyle w:val="Heading1"/>
        <w:spacing w:after="300"/>
      </w:pPr>
      <w:r>
        <w:rPr>
          <w:rFonts w:ascii="Times New Roman" w:cs="Times New Roman" w:eastAsia="Times New Roman" w:hAnsi="Times New Roman"/>
          <w:b/>
          <w:bCs/>
          <w:sz w:val="26"/>
          <w:szCs w:val="26"/>
        </w:rPr>
        <w:t xml:space="preserve">Section 5. Miscellaneous</w:t>
      </w:r>
    </w:p>
    <w:p>
      <w:pPr>
        <w:spacing w:after="200"/>
      </w:pPr>
      <w:r>
        <w:rPr>
          <w:rFonts w:ascii="Times New Roman" w:cs="Times New Roman" w:eastAsia="Times New Roman" w:hAnsi="Times New Roman"/>
          <w:b/>
          <w:bCs/>
          <w:sz w:val="24"/>
          <w:szCs w:val="24"/>
        </w:rPr>
        <w:t xml:space="preserve">(a) </w:t>
      </w:r>
      <w:r>
        <w:rPr>
          <w:rFonts w:ascii="Times New Roman" w:cs="Times New Roman" w:eastAsia="Times New Roman" w:hAnsi="Times New Roman"/>
          <w:sz w:val="24"/>
          <w:szCs w:val="24"/>
        </w:rPr>
        <w:t xml:space="preserve">Any provision of this SAFE may be amended, waived or modified by written consent of the Company and either (i) the Investor or (ii) the majority-in-interest of all then-outstanding SAFEs with the same "Post-Money Valuation Cap" and "Discount Rate" as this SAFE (the "</w:t>
      </w:r>
      <w:r>
        <w:rPr>
          <w:rFonts w:ascii="Times New Roman" w:cs="Times New Roman" w:eastAsia="Times New Roman" w:hAnsi="Times New Roman"/>
          <w:b/>
          <w:bCs/>
          <w:sz w:val="24"/>
          <w:szCs w:val="24"/>
        </w:rPr>
        <w:t xml:space="preserve">Requisite Holders</w:t>
      </w:r>
      <w:r>
        <w:rPr>
          <w:rFonts w:ascii="Times New Roman" w:cs="Times New Roman" w:eastAsia="Times New Roman" w:hAnsi="Times New Roman"/>
          <w:sz w:val="24"/>
          <w:szCs w:val="24"/>
        </w:rPr>
        <w:t xml:space="preserve">"); </w:t>
      </w:r>
      <w:r>
        <w:rPr>
          <w:rFonts w:ascii="Times New Roman" w:cs="Times New Roman" w:eastAsia="Times New Roman" w:hAnsi="Times New Roman"/>
          <w:i/>
          <w:iCs/>
          <w:sz w:val="24"/>
          <w:szCs w:val="24"/>
        </w:rPr>
        <w:t xml:space="preserve">provided</w:t>
      </w:r>
      <w:r>
        <w:rPr>
          <w:rFonts w:ascii="Times New Roman" w:cs="Times New Roman" w:eastAsia="Times New Roman" w:hAnsi="Times New Roman"/>
          <w:sz w:val="24"/>
          <w:szCs w:val="24"/>
        </w:rPr>
        <w:t xml:space="preserve">, that the consent of the Investor shall be required for any amendment, waiver or modification that reduces the Purchase Amount, modifies the Discount Rate, or otherwise materially and adversely affects the economic rights of the Investor under this SAFE in a manner that does not affect all holders of SAFEs equally.</w:t>
      </w:r>
    </w:p>
    <w:p>
      <w:pPr>
        <w:spacing w:after="200"/>
      </w:pPr>
      <w:r>
        <w:rPr>
          <w:rFonts w:ascii="Times New Roman" w:cs="Times New Roman" w:eastAsia="Times New Roman" w:hAnsi="Times New Roman"/>
          <w:b/>
          <w:bCs/>
          <w:sz w:val="24"/>
          <w:szCs w:val="24"/>
        </w:rPr>
        <w:t xml:space="preserve">(b) </w:t>
      </w:r>
      <w:r>
        <w:rPr>
          <w:rFonts w:ascii="Times New Roman" w:cs="Times New Roman" w:eastAsia="Times New Roman" w:hAnsi="Times New Roman"/>
          <w:sz w:val="24"/>
          <w:szCs w:val="24"/>
        </w:rPr>
        <w:t xml:space="preserve">Any notice required or permitted by this SAFE will be deemed sufficient when delivered personally or sent by email to the relevant address listed on the signature page, or 48 hours after being deposited in the U.S. mail as certified or registered mail with postage prepaid, addressed to the party to be notified at such party's address listed on the signature page.</w:t>
      </w:r>
    </w:p>
    <w:p>
      <w:pPr>
        <w:spacing w:after="200"/>
      </w:pPr>
      <w:r>
        <w:rPr>
          <w:rFonts w:ascii="Times New Roman" w:cs="Times New Roman" w:eastAsia="Times New Roman" w:hAnsi="Times New Roman"/>
          <w:b/>
          <w:bCs/>
          <w:sz w:val="24"/>
          <w:szCs w:val="24"/>
        </w:rPr>
        <w:t xml:space="preserve">(c) </w:t>
      </w:r>
      <w:r>
        <w:rPr>
          <w:rFonts w:ascii="Times New Roman" w:cs="Times New Roman" w:eastAsia="Times New Roman" w:hAnsi="Times New Roman"/>
          <w:sz w:val="24"/>
          <w:szCs w:val="24"/>
        </w:rPr>
        <w:t xml:space="preserve">The Investor is not entitled, as a holder of this SAFE, to vote or be deemed a holder of Capital Stock for any purpose other than tax purposes, nor will anything in this SAFE be construed to confer on the Investor, as such, any rights of a Company stockholder or rights to vote for the election of directors or on any matter submitted to Company stockholders, or to give or withhold consent to any corporate action or to receive notice of meetings, until shares have been issued on the terms described herein.</w:t>
      </w:r>
    </w:p>
    <w:p>
      <w:pPr>
        <w:spacing w:after="200"/>
      </w:pPr>
      <w:r>
        <w:rPr>
          <w:rFonts w:ascii="Times New Roman" w:cs="Times New Roman" w:eastAsia="Times New Roman" w:hAnsi="Times New Roman"/>
          <w:b/>
          <w:bCs/>
          <w:sz w:val="24"/>
          <w:szCs w:val="24"/>
        </w:rPr>
        <w:t xml:space="preserve">(d) </w:t>
      </w:r>
      <w:r>
        <w:rPr>
          <w:rFonts w:ascii="Times New Roman" w:cs="Times New Roman" w:eastAsia="Times New Roman" w:hAnsi="Times New Roman"/>
          <w:sz w:val="24"/>
          <w:szCs w:val="24"/>
        </w:rPr>
        <w:t xml:space="preserve">Neither this SAFE nor the rights in this SAFE are transferable or assignable, by operation of law or otherwise, by either party without the prior written consent of the other; </w:t>
      </w:r>
      <w:r>
        <w:rPr>
          <w:rFonts w:ascii="Times New Roman" w:cs="Times New Roman" w:eastAsia="Times New Roman" w:hAnsi="Times New Roman"/>
          <w:i/>
          <w:iCs/>
          <w:sz w:val="24"/>
          <w:szCs w:val="24"/>
        </w:rPr>
        <w:t xml:space="preserve">provided</w:t>
      </w:r>
      <w:r>
        <w:rPr>
          <w:rFonts w:ascii="Times New Roman" w:cs="Times New Roman" w:eastAsia="Times New Roman" w:hAnsi="Times New Roman"/>
          <w:sz w:val="24"/>
          <w:szCs w:val="24"/>
        </w:rPr>
        <w:t xml:space="preserve">, however, that this SAFE and/or its rights may be assigned without the Company's consent by the Investor to any other entity who directly or indirectly, controls, is controlled by or is under common control with the Investor, including, without limitation, any general partner, managing member, officer, director or affiliate of the Investor, or any venture capital fund now or hereafter existing which is controlled by one or more general partners, managing members, or management companies of, or which shares the same management company with, the Investor.</w:t>
      </w:r>
    </w:p>
    <w:p>
      <w:pPr>
        <w:spacing w:after="200"/>
      </w:pPr>
      <w:r>
        <w:rPr>
          <w:rFonts w:ascii="Times New Roman" w:cs="Times New Roman" w:eastAsia="Times New Roman" w:hAnsi="Times New Roman"/>
          <w:b/>
          <w:bCs/>
          <w:sz w:val="24"/>
          <w:szCs w:val="24"/>
        </w:rPr>
        <w:t xml:space="preserve">(e) </w:t>
      </w:r>
      <w:r>
        <w:rPr>
          <w:rFonts w:ascii="Times New Roman" w:cs="Times New Roman" w:eastAsia="Times New Roman" w:hAnsi="Times New Roman"/>
          <w:sz w:val="24"/>
          <w:szCs w:val="24"/>
        </w:rPr>
        <w:t xml:space="preserve">In the event any one or more of the provisions of this SAFE is for any reason held to be invalid, illegal or unenforceable, in whole or in part or in any respect, or in the event that any one or more of the provisions of this SAFE operate or would prospectively operate to invalidate this SAFE, then and in any such event, such provision(s) only will be deemed null and void and will not affect any other provision of this SAFE and the remaining provisions of this SAFE will remain operative and in full force and effect.</w:t>
      </w:r>
    </w:p>
    <w:p>
      <w:pPr>
        <w:spacing w:after="200"/>
      </w:pPr>
      <w:r>
        <w:rPr>
          <w:rFonts w:ascii="Times New Roman" w:cs="Times New Roman" w:eastAsia="Times New Roman" w:hAnsi="Times New Roman"/>
          <w:b/>
          <w:bCs/>
          <w:sz w:val="24"/>
          <w:szCs w:val="24"/>
        </w:rPr>
        <w:t xml:space="preserve">(f) </w:t>
      </w:r>
      <w:r>
        <w:rPr>
          <w:rFonts w:ascii="Times New Roman" w:cs="Times New Roman" w:eastAsia="Times New Roman" w:hAnsi="Times New Roman"/>
          <w:sz w:val="24"/>
          <w:szCs w:val="24"/>
        </w:rPr>
        <w:t xml:space="preserve">All rights and obligations hereunder will be governed by the laws of the State of [Governing Law State], without regard to the conflicts of law provisions of such jurisdiction.</w:t>
      </w:r>
    </w:p>
    <w:p>
      <w:pPr>
        <w:pBdr>
          <w:left w:val="single" w:color="E67E22" w:sz="6" w:space="10"/>
        </w:pBdr>
        <w:shd w:fill="FFF8F0" w:val="clear"/>
        <w:spacing w:after="200" w:before="300"/>
        <w:ind w:left="200"/>
      </w:pPr>
      <w:r>
        <w:rPr>
          <w:rFonts w:ascii="Times New Roman" w:cs="Times New Roman" w:eastAsia="Times New Roman" w:hAnsi="Times New Roman"/>
          <w:b/>
          <w:bCs/>
          <w:color w:val="E67E22"/>
          <w:sz w:val="22"/>
          <w:szCs w:val="22"/>
        </w:rPr>
        <w:t xml:space="preserve">Emerging Provision — Qualified Small Business Stock (QSBS): </w:t>
      </w:r>
      <w:r>
        <w:rPr>
          <w:rFonts w:ascii="Times New Roman" w:cs="Times New Roman" w:eastAsia="Times New Roman" w:hAnsi="Times New Roman"/>
          <w:sz w:val="22"/>
          <w:szCs w:val="22"/>
        </w:rPr>
        <w:t xml:space="preserve">Section 1202 of the Internal Revenue Code provides an exclusion from federal capital gains tax on the sale of Qualified Small Business Stock held for more than five years, subject to a per-taxpayer limit of the greater of $10 million or 10x the taxpayer's adjusted basis. The Company represents that as of the date of this SAFE, the aggregate gross assets of the Company (including amounts received from the Purchase Amount) do not exceed $50,000,000 (or such higher amount as may be applicable under Section 1202(d) of the Code), and the Company shall use reasonable efforts to comply with the reporting and record-keeping requirements of Section 1202.</w:t>
      </w:r>
    </w:p>
    <w:p>
      <w:r>
        <w:br w:type="page"/>
      </w:r>
    </w:p>
    <w:p>
      <w:pPr>
        <w:spacing w:after="400"/>
        <w:jc w:val="center"/>
      </w:pPr>
      <w:r>
        <w:rPr>
          <w:rFonts w:ascii="Times New Roman" w:cs="Times New Roman" w:eastAsia="Times New Roman" w:hAnsi="Times New Roman"/>
          <w:i/>
          <w:iCs/>
          <w:color w:val="888888"/>
          <w:sz w:val="24"/>
          <w:szCs w:val="24"/>
        </w:rPr>
        <w:t xml:space="preserve">[Signature Page to Pre-Money SAFE — Discount]</w:t>
      </w:r>
    </w:p>
    <w:p>
      <w:pPr>
        <w:spacing w:after="200"/>
      </w:pPr>
      <w:r>
        <w:rPr>
          <w:rFonts w:ascii="Times New Roman" w:cs="Times New Roman" w:eastAsia="Times New Roman" w:hAnsi="Times New Roman"/>
          <w:sz w:val="24"/>
          <w:szCs w:val="24"/>
        </w:rPr>
        <w:t xml:space="preserve">IN WITNESS WHEREOF, the undersigned have caused this SAFE to be duly executed and delivered.</w:t>
      </w:r>
    </w:p>
    <w:p>
      <w:pPr>
        <w:spacing w:after="120" w:before="600"/>
      </w:pPr>
      <w:r>
        <w:rPr>
          <w:rFonts w:ascii="Times New Roman" w:cs="Times New Roman" w:eastAsia="Times New Roman" w:hAnsi="Times New Roman"/>
          <w:b/>
          <w:bCs/>
          <w:sz w:val="24"/>
          <w:szCs w:val="24"/>
        </w:rPr>
        <w:t xml:space="preserve">COMPANY:</w:t>
      </w:r>
    </w:p>
    <w:p>
      <w:pPr>
        <w:spacing w:after="120"/>
      </w:pPr>
      <w:r>
        <w:rPr>
          <w:rFonts w:ascii="Times New Roman" w:cs="Times New Roman" w:eastAsia="Times New Roman" w:hAnsi="Times New Roman"/>
          <w:b/>
          <w:bCs/>
          <w:sz w:val="24"/>
          <w:szCs w:val="24"/>
        </w:rPr>
        <w:t xml:space="preserve">[COMPANY NAME]</w:t>
      </w:r>
    </w:p>
    <w:p>
      <w:pPr>
        <w:spacing w:after="0"/>
      </w:pPr>
    </w:p>
    <w:p>
      <w:pPr>
        <w:pBdr>
          <w:bottom w:val="single" w:color="000000" w:sz="1"/>
        </w:pBdr>
        <w:spacing w:after="0"/>
      </w:pPr>
      <w:r>
        <w:rPr>
          <w:rFonts w:ascii="Times New Roman" w:cs="Times New Roman" w:eastAsia="Times New Roman" w:hAnsi="Times New Roman"/>
          <w:sz w:val="24"/>
          <w:szCs w:val="24"/>
        </w:rPr>
        <w:t xml:space="preserve">                                                                                    </w:t>
      </w:r>
    </w:p>
    <w:p>
      <w:pPr>
        <w:spacing w:after="120"/>
      </w:pPr>
      <w:r>
        <w:rPr>
          <w:rFonts w:ascii="Times New Roman" w:cs="Times New Roman" w:eastAsia="Times New Roman" w:hAnsi="Times New Roman"/>
          <w:sz w:val="24"/>
          <w:szCs w:val="24"/>
        </w:rPr>
        <w:t xml:space="preserve">By: [Name of Signatory]</w:t>
      </w:r>
    </w:p>
    <w:p>
      <w:pPr>
        <w:spacing w:after="120"/>
      </w:pPr>
      <w:r>
        <w:rPr>
          <w:rFonts w:ascii="Times New Roman" w:cs="Times New Roman" w:eastAsia="Times New Roman" w:hAnsi="Times New Roman"/>
          <w:sz w:val="24"/>
          <w:szCs w:val="24"/>
        </w:rPr>
        <w:t xml:space="preserve">Title: [Title]</w:t>
      </w:r>
    </w:p>
    <w:p>
      <w:pPr>
        <w:spacing w:after="120"/>
      </w:pPr>
      <w:r>
        <w:rPr>
          <w:rFonts w:ascii="Times New Roman" w:cs="Times New Roman" w:eastAsia="Times New Roman" w:hAnsi="Times New Roman"/>
          <w:sz w:val="24"/>
          <w:szCs w:val="24"/>
        </w:rPr>
        <w:t xml:space="preserve">Date: [Date]</w:t>
      </w:r>
    </w:p>
    <w:p>
      <w:pPr>
        <w:spacing w:after="120"/>
      </w:pPr>
      <w:r>
        <w:rPr>
          <w:rFonts w:ascii="Times New Roman" w:cs="Times New Roman" w:eastAsia="Times New Roman" w:hAnsi="Times New Roman"/>
          <w:sz w:val="24"/>
          <w:szCs w:val="24"/>
        </w:rPr>
        <w:t xml:space="preserve">Address: [Company Address]</w:t>
      </w:r>
    </w:p>
    <w:p>
      <w:pPr>
        <w:spacing w:after="200"/>
      </w:pPr>
      <w:r>
        <w:rPr>
          <w:rFonts w:ascii="Times New Roman" w:cs="Times New Roman" w:eastAsia="Times New Roman" w:hAnsi="Times New Roman"/>
          <w:sz w:val="24"/>
          <w:szCs w:val="24"/>
        </w:rPr>
        <w:t xml:space="preserve">Email: [Company Email]</w:t>
      </w:r>
    </w:p>
    <w:p>
      <w:pPr>
        <w:spacing w:after="120" w:before="600"/>
      </w:pPr>
      <w:r>
        <w:rPr>
          <w:rFonts w:ascii="Times New Roman" w:cs="Times New Roman" w:eastAsia="Times New Roman" w:hAnsi="Times New Roman"/>
          <w:b/>
          <w:bCs/>
          <w:sz w:val="24"/>
          <w:szCs w:val="24"/>
        </w:rPr>
        <w:t xml:space="preserve">INVESTOR:</w:t>
      </w:r>
    </w:p>
    <w:p>
      <w:pPr>
        <w:spacing w:after="0"/>
      </w:pPr>
    </w:p>
    <w:p>
      <w:pPr>
        <w:pBdr>
          <w:bottom w:val="single" w:color="000000" w:sz="1"/>
        </w:pBdr>
        <w:spacing w:after="0"/>
      </w:pPr>
      <w:r>
        <w:rPr>
          <w:rFonts w:ascii="Times New Roman" w:cs="Times New Roman" w:eastAsia="Times New Roman" w:hAnsi="Times New Roman"/>
          <w:sz w:val="24"/>
          <w:szCs w:val="24"/>
        </w:rPr>
        <w:t xml:space="preserve">                                                                                    </w:t>
      </w:r>
    </w:p>
    <w:p>
      <w:pPr>
        <w:spacing w:after="120"/>
      </w:pPr>
      <w:r>
        <w:rPr>
          <w:rFonts w:ascii="Times New Roman" w:cs="Times New Roman" w:eastAsia="Times New Roman" w:hAnsi="Times New Roman"/>
          <w:sz w:val="24"/>
          <w:szCs w:val="24"/>
        </w:rPr>
        <w:t xml:space="preserve">Investor Name: [Investor Name]</w:t>
      </w:r>
    </w:p>
    <w:p>
      <w:pPr>
        <w:spacing w:after="120"/>
      </w:pPr>
      <w:r>
        <w:rPr>
          <w:rFonts w:ascii="Times New Roman" w:cs="Times New Roman" w:eastAsia="Times New Roman" w:hAnsi="Times New Roman"/>
          <w:sz w:val="24"/>
          <w:szCs w:val="24"/>
        </w:rPr>
        <w:t xml:space="preserve">Title (if entity): [Title]</w:t>
      </w:r>
    </w:p>
    <w:p>
      <w:pPr>
        <w:spacing w:after="120"/>
      </w:pPr>
      <w:r>
        <w:rPr>
          <w:rFonts w:ascii="Times New Roman" w:cs="Times New Roman" w:eastAsia="Times New Roman" w:hAnsi="Times New Roman"/>
          <w:sz w:val="24"/>
          <w:szCs w:val="24"/>
        </w:rPr>
        <w:t xml:space="preserve">Date: [Date]</w:t>
      </w:r>
    </w:p>
    <w:p>
      <w:pPr>
        <w:spacing w:after="120"/>
      </w:pPr>
      <w:r>
        <w:rPr>
          <w:rFonts w:ascii="Times New Roman" w:cs="Times New Roman" w:eastAsia="Times New Roman" w:hAnsi="Times New Roman"/>
          <w:sz w:val="24"/>
          <w:szCs w:val="24"/>
        </w:rPr>
        <w:t xml:space="preserve">Address: [Investor Address]</w:t>
      </w:r>
    </w:p>
    <w:p>
      <w:pPr>
        <w:spacing w:after="200"/>
      </w:pPr>
      <w:r>
        <w:rPr>
          <w:rFonts w:ascii="Times New Roman" w:cs="Times New Roman" w:eastAsia="Times New Roman" w:hAnsi="Times New Roman"/>
          <w:sz w:val="24"/>
          <w:szCs w:val="24"/>
        </w:rPr>
        <w:t xml:space="preserve">Email: [Investor Email]</w:t>
      </w:r>
    </w:p>
    <w:p>
      <w:r>
        <w:br w:type="page"/>
      </w:r>
    </w:p>
    <w:p>
      <w:pPr>
        <w:spacing w:after="300"/>
        <w:jc w:val="center"/>
      </w:pPr>
      <w:r>
        <w:rPr>
          <w:rFonts w:ascii="Times New Roman" w:cs="Times New Roman" w:eastAsia="Times New Roman" w:hAnsi="Times New Roman"/>
          <w:b/>
          <w:bCs/>
          <w:color w:val="888888"/>
          <w:sz w:val="24"/>
          <w:szCs w:val="24"/>
        </w:rPr>
        <w:t xml:space="preserve">DISCLAIMER</w:t>
      </w:r>
    </w:p>
    <w:p>
      <w:pPr>
        <w:shd w:fill="F5F5F5" w:val="clear"/>
        <w:spacing w:after="200"/>
      </w:pPr>
      <w:r>
        <w:rPr>
          <w:rFonts w:ascii="Times New Roman" w:cs="Times New Roman" w:eastAsia="Times New Roman" w:hAnsi="Times New Roman"/>
          <w:i/>
          <w:iCs/>
          <w:color w:val="666666"/>
          <w:sz w:val="20"/>
          <w:szCs w:val="20"/>
        </w:rPr>
        <w:t xml:space="preserve">This template is provided by Montague Law for informational and educational purposes only and does not constitute legal advice. This document is based on the Y Combinator Pre-Money SAFE form with modifications reflecting market practices as of 2025-2026, including provisions from the October 2025 NVCA Model Document updates. Use of this template does not create an attorney-client relationship between you and Montague Law. The terms of any SAFE should be negotiated with the assistance of qualified legal counsel familiar with your specific circumstances. Montague Law expressly disclaims all liability for actions taken or not taken based on this template. For legal advice tailored to your situation, contact a licensed attorney in your jurisdiction.</w:t>
      </w:r>
    </w:p>
    <w:p>
      <w:pPr>
        <w:spacing w:after="120"/>
        <w:jc w:val="center"/>
      </w:pPr>
      <w:r>
        <w:rPr>
          <w:rFonts w:ascii="Times New Roman" w:cs="Times New Roman" w:eastAsia="Times New Roman" w:hAnsi="Times New Roman"/>
          <w:color w:val="999999"/>
          <w:sz w:val="18"/>
          <w:szCs w:val="18"/>
        </w:rPr>
        <w:t xml:space="preserve">© 2026 Montague Law. All rights reserved.</w:t>
      </w:r>
    </w:p>
    <w:p>
      <w:pPr>
        <w:spacing w:after="120"/>
        <w:jc w:val="center"/>
      </w:pPr>
      <w:r>
        <w:rPr>
          <w:rFonts w:ascii="Times New Roman" w:cs="Times New Roman" w:eastAsia="Times New Roman" w:hAnsi="Times New Roman"/>
          <w:color w:val="999999"/>
          <w:sz w:val="18"/>
          <w:szCs w:val="18"/>
        </w:rPr>
        <w:t xml:space="preserve">montague.law</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16"/>
        <w:szCs w:val="16"/>
      </w:rPr>
      <w:t xml:space="preserve">Page </w:t>
    </w:r>
    <w:r>
      <w:rPr>
        <w:rFonts w:ascii="Times New Roman" w:cs="Times New Roman" w:eastAsia="Times New Roman" w:hAnsi="Times New Roman"/>
        <w:sz w:val="16"/>
        <w:szCs w:val="16"/>
      </w:rPr>
      <w:fldChar w:fldCharType="begin"/>
      <w:instrText xml:space="preserve">PAGE</w:instrText>
      <w:fldChar w:fldCharType="separate"/>
      <w:fldChar w:fldCharType="end"/>
    </w:r>
    <w:r>
      <w:rPr>
        <w:rFonts w:ascii="Times New Roman" w:cs="Times New Roman" w:eastAsia="Times New Roman" w:hAnsi="Times New Roman"/>
        <w:sz w:val="16"/>
        <w:szCs w:val="16"/>
      </w:rPr>
      <w:t xml:space="preserve"> of </w:t>
    </w:r>
    <w:r>
      <w:rPr>
        <w:rFonts w:ascii="Times New Roman" w:cs="Times New Roman" w:eastAsia="Times New Roman" w:hAnsi="Times New Roman"/>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center"/>
    </w:pPr>
    <w:r>
      <w:rPr>
        <w:rFonts w:ascii="Times New Roman" w:cs="Times New Roman" w:eastAsia="Times New Roman" w:hAnsi="Times New Roman"/>
        <w:color w:val="888888"/>
        <w:sz w:val="16"/>
        <w:szCs w:val="16"/>
      </w:rPr>
      <w:t xml:space="preserve">PRE-MONEY SAFE — DISCOUNT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pPr>
        <w:spacing w:after="12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2026-08-18T02:13:17.003Z</dcterms:created>
  <dcterms:modified xsi:type="dcterms:W3CDTF">2026-08-18T02:13:17.004Z</dcterms:modified>
</cp:coreProperties>
</file>

<file path=docProps/custom.xml><?xml version="1.0" encoding="utf-8"?>
<Properties xmlns="http://schemas.openxmlformats.org/officeDocument/2006/custom-properties" xmlns:vt="http://schemas.openxmlformats.org/officeDocument/2006/docPropsVTypes"/>
</file>