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28"/>
          <w:szCs w:val="28"/>
        </w:rPr>
        <w:t xml:space="preserve">SIMPLE AGREEMENT FOR FUTURE EQUITY</w:t>
      </w:r>
    </w:p>
    <w:p>
      <w:pPr>
        <w:spacing w:after="120"/>
        <w:jc w:val="center"/>
      </w:pPr>
      <w:r>
        <w:rPr>
          <w:rFonts w:ascii="Times New Roman" w:cs="Times New Roman" w:eastAsia="Times New Roman" w:hAnsi="Times New Roman"/>
          <w:b/>
          <w:bCs/>
          <w:sz w:val="24"/>
          <w:szCs w:val="24"/>
        </w:rPr>
        <w:t xml:space="preserve">(Post-Money Valuation Cap)</w:t>
      </w:r>
    </w:p>
    <w:p>
      <w:pPr>
        <w:spacing w:after="200"/>
      </w:pPr>
    </w:p>
    <w:p>
      <w:pPr>
        <w:spacing w:after="120" w:line="276"/>
      </w:pPr>
      <w:r>
        <w:rPr>
          <w:rFonts w:ascii="Times New Roman" w:cs="Times New Roman" w:eastAsia="Times New Roman" w:hAnsi="Times New Roman"/>
          <w:sz w:val="24"/>
          <w:szCs w:val="24"/>
        </w:rPr>
        <w:t xml:space="preserve">THIS CERTIFIES THAT in exchange for the payment by [Investor Name] (the "Investor") of $[Purchase Amount] (the "Purchase Amount") on or about [Date of SAFE], [Company Name], a [State] corporation (the "Company"), hereby issues to the Investor the right to certain shares of the Company's capital stock, subject to the terms set forth below.</w:t>
      </w:r>
    </w:p>
    <w:p>
      <w:pPr>
        <w:spacing w:after="120" w:before="240"/>
      </w:pPr>
      <w:r>
        <w:rPr>
          <w:rFonts w:ascii="Times New Roman" w:cs="Times New Roman" w:eastAsia="Times New Roman" w:hAnsi="Times New Roman"/>
          <w:b/>
          <w:bCs/>
          <w:sz w:val="24"/>
          <w:szCs w:val="24"/>
        </w:rPr>
        <w:t xml:space="preserve">1. EVENTS</w:t>
      </w:r>
    </w:p>
    <w:p>
      <w:pPr>
        <w:spacing w:after="120" w:line="276"/>
      </w:pPr>
      <w:r>
        <w:rPr>
          <w:rFonts w:ascii="Times New Roman" w:cs="Times New Roman" w:eastAsia="Times New Roman" w:hAnsi="Times New Roman"/>
          <w:sz w:val="24"/>
          <w:szCs w:val="24"/>
        </w:rPr>
        <w:t xml:space="preserve">(a) Equity Financing. If there is an Equity Financing before the termination of this SAFE, on the initial closing of such Equity Financing, this SAFE will automatically convert into the number of shares of Safe Preferred Stock equal to the Purchase Amount divided by the Conversion Price.</w:t>
      </w:r>
    </w:p>
    <w:p>
      <w:pPr>
        <w:spacing w:after="120" w:line="276"/>
      </w:pPr>
      <w:r>
        <w:rPr>
          <w:rFonts w:ascii="Times New Roman" w:cs="Times New Roman" w:eastAsia="Times New Roman" w:hAnsi="Times New Roman"/>
          <w:sz w:val="24"/>
          <w:szCs w:val="24"/>
        </w:rPr>
        <w:t xml:space="preserve">In connection with the automatic conversion of this SAFE into shares of Safe Preferred Stock, the Investor will execute and deliver to the Company all of the transaction documents related to the Equity Financing; provided, that such documents (i) are the same documents to be entered into with the purchasers of Standard Preferred Stock, with appropriate variations for the Safe Preferred Stock if applicable, and (ii) have customary exceptions to any drag-along applicable to the Investor, including (without limitation) parsing out provisions that require the Investor to agree to personally indemnify the Company or its officers and directors.</w:t>
      </w:r>
    </w:p>
    <w:p>
      <w:pPr>
        <w:spacing w:after="120" w:line="276"/>
      </w:pPr>
      <w:r>
        <w:rPr>
          <w:rFonts w:ascii="Times New Roman" w:cs="Times New Roman" w:eastAsia="Times New Roman" w:hAnsi="Times New Roman"/>
          <w:sz w:val="24"/>
          <w:szCs w:val="24"/>
        </w:rPr>
        <w:t xml:space="preserve">(b) Liquidity Event. If there is a Liquidity Event before the termination of this SAFE, the Investor will, at its option, either (i) receive a cash payment equal to the Purchase Amount (the "Cash-Out Amount") or (ii) automatically receive from the Company a number of shares of Common Stock equal to the Purchase Amount divided by the Liquidity Price.</w:t>
      </w:r>
    </w:p>
    <w:p>
      <w:pPr>
        <w:spacing w:after="120" w:line="276"/>
      </w:pPr>
      <w:r>
        <w:rPr>
          <w:rFonts w:ascii="Times New Roman" w:cs="Times New Roman" w:eastAsia="Times New Roman" w:hAnsi="Times New Roman"/>
          <w:sz w:val="24"/>
          <w:szCs w:val="24"/>
        </w:rPr>
        <w:t xml:space="preserve">If there are not enough funds to pay the Investor and holders of other SAFEs (collectively, the "Cash-Out Amounts") in full, then all of the Company's available funds will be distributed with equal priority and pro rata among the Investor and holders of other SAFEs in proportion to their respective Cash-Out Amounts, and the Investor and each holder of another SAFE will automatically receive the number of shares of Common Stock equal to the remaining unpaid Purchase Amount divided by the Liquidity Price.</w:t>
      </w:r>
    </w:p>
    <w:p>
      <w:pPr>
        <w:spacing w:after="120" w:line="276"/>
      </w:pPr>
      <w:r>
        <w:rPr>
          <w:rFonts w:ascii="Times New Roman" w:cs="Times New Roman" w:eastAsia="Times New Roman" w:hAnsi="Times New Roman"/>
          <w:sz w:val="24"/>
          <w:szCs w:val="24"/>
        </w:rPr>
        <w:t xml:space="preserve">(c) Dissolution Event. If there is a Dissolution Event before the termination of this SAFE, the Company will pay an amount equal to the Purchase Amount, due and payable to the Investor immediately prior to, or concurrent with, the consummation of the Dissolution Event, subject to the preferential rights of the holders of the Company's outstanding Preferred Stock, if any. If there are not enough funds to pay the Investor and holders of other SAFEs (collectively, the "Dissolution Amounts") in full, then all of the Company's available funds will be distributed with equal priority and pro rata among the Investor and holders of other SAFEs in proportion to their respective Dissolution Amounts.</w:t>
      </w:r>
    </w:p>
    <w:p>
      <w:pPr>
        <w:spacing w:after="120" w:before="240"/>
      </w:pPr>
      <w:r>
        <w:rPr>
          <w:rFonts w:ascii="Times New Roman" w:cs="Times New Roman" w:eastAsia="Times New Roman" w:hAnsi="Times New Roman"/>
          <w:b/>
          <w:bCs/>
          <w:sz w:val="24"/>
          <w:szCs w:val="24"/>
        </w:rPr>
        <w:t xml:space="preserve">2. DEFINITIONS</w:t>
      </w:r>
    </w:p>
    <w:p>
      <w:pPr>
        <w:spacing w:after="120" w:line="276"/>
      </w:pPr>
      <w:r>
        <w:rPr>
          <w:rFonts w:ascii="Times New Roman" w:cs="Times New Roman" w:eastAsia="Times New Roman" w:hAnsi="Times New Roman"/>
          <w:sz w:val="24"/>
          <w:szCs w:val="24"/>
        </w:rPr>
        <w:t xml:space="preserve">"Capital Stock" means the capital stock of the Company, including, without limitation, the Common Stock and Preferred Stock.</w:t>
      </w:r>
    </w:p>
    <w:p>
      <w:pPr>
        <w:spacing w:after="120" w:line="276"/>
      </w:pPr>
      <w:r>
        <w:rPr>
          <w:rFonts w:ascii="Times New Roman" w:cs="Times New Roman" w:eastAsia="Times New Roman" w:hAnsi="Times New Roman"/>
          <w:sz w:val="24"/>
          <w:szCs w:val="24"/>
        </w:rPr>
        <w:t xml:space="preserve">"Change of Control" means (i) a transaction or series of related transactions in which any "person" or "group" (within the meaning of Sections 13(d) and 14(d) of the Securities Exchange Act of 1934, as amended), becomes the "beneficial owner" (as defined in Rule 13d-3 under the Securities Exchange Act of 1934, as amended), directly or indirectly, of more than 50% of the outstanding voting securities of the Company having the right to vote for members of the Company's board of directors, (ii) any reorganization, merger, or consolidation of the Company, other than a transaction or series of related transactions in which the holders of the voting securities of the Company outstanding immediately prior to such transaction or series of related transactions retain, immediately after such transaction or series of related transactions, at least a majority of the total voting power represented by the outstanding voting securities of the Company or such other surviving or resulting entity, or (iii) a sale, lease, or other disposition of all or substantially all of the assets of the Company.</w:t>
      </w:r>
    </w:p>
    <w:p>
      <w:pPr>
        <w:spacing w:after="120" w:line="276"/>
      </w:pPr>
      <w:r>
        <w:rPr>
          <w:rFonts w:ascii="Times New Roman" w:cs="Times New Roman" w:eastAsia="Times New Roman" w:hAnsi="Times New Roman"/>
          <w:sz w:val="24"/>
          <w:szCs w:val="24"/>
        </w:rPr>
        <w:t xml:space="preserve">"Common Stock" means the common stock of the Company.</w:t>
      </w:r>
    </w:p>
    <w:p>
      <w:pPr>
        <w:spacing w:after="120" w:line="276"/>
      </w:pPr>
      <w:r>
        <w:rPr>
          <w:rFonts w:ascii="Times New Roman" w:cs="Times New Roman" w:eastAsia="Times New Roman" w:hAnsi="Times New Roman"/>
          <w:sz w:val="24"/>
          <w:szCs w:val="24"/>
        </w:rPr>
        <w:t xml:space="preserve">"Company Capitalization" means the sum, as of immediately prior to the Equity Financing, of: (1) all shares of Capital Stock (on an as-converted basis) issued and outstanding, assuming exercise or conversion of all outstanding vested and unvested options, warrants and other convertible securities, but excluding (A) this SAFE, (B) all other SAFEs, and (C) convertible promissory notes; and (2) all shares of Common Stock reserved and available for future grant under any equity incentive or similar plan of the Company, and/or any equity incentive or similar plan to be created or increased in connection with the Equity Financing.</w:t>
      </w:r>
    </w:p>
    <w:p>
      <w:pPr>
        <w:spacing w:after="120" w:line="276"/>
      </w:pPr>
      <w:r>
        <w:rPr>
          <w:rFonts w:ascii="Times New Roman" w:cs="Times New Roman" w:eastAsia="Times New Roman" w:hAnsi="Times New Roman"/>
          <w:sz w:val="24"/>
          <w:szCs w:val="24"/>
        </w:rPr>
        <w:t xml:space="preserve">"Conversion Price" means the price per share equal to the Post-Money Valuation Cap divided by the Capitalization.</w:t>
      </w:r>
    </w:p>
    <w:p>
      <w:pPr>
        <w:spacing w:after="120" w:line="276"/>
      </w:pPr>
      <w:r>
        <w:rPr>
          <w:rFonts w:ascii="Times New Roman" w:cs="Times New Roman" w:eastAsia="Times New Roman" w:hAnsi="Times New Roman"/>
          <w:sz w:val="24"/>
          <w:szCs w:val="24"/>
        </w:rPr>
        <w:t xml:space="preserve">"Capitalization" means the Company Capitalization, as determined immediately prior to the Equity Financing, calculated on a post-money basis to include (a) all shares of Capital Stock issued and issuable in the Equity Financing (including any increase to the Company's equity incentive plan in connection therewith), and (b) the conversion of this SAFE and all other SAFEs into shares of Safe Preferred Stock or Common Stock, as applicable, but excluding the conversion of any convertible promissory notes into Capital Stock.</w:t>
      </w:r>
    </w:p>
    <w:p>
      <w:pPr>
        <w:spacing w:after="120" w:line="276"/>
      </w:pPr>
      <w:r>
        <w:rPr>
          <w:rFonts w:ascii="Times New Roman" w:cs="Times New Roman" w:eastAsia="Times New Roman" w:hAnsi="Times New Roman"/>
          <w:sz w:val="24"/>
          <w:szCs w:val="24"/>
        </w:rPr>
        <w:t xml:space="preserve">"Dissolution Event" means (i) a voluntary termination of operations, (ii) a general assignment for the benefit of the Company's creditors, or (iii) any other liquidation, dissolution, or winding up of the Company (excluding a Liquidity Event), whether voluntary or involuntary.</w:t>
      </w:r>
    </w:p>
    <w:p>
      <w:pPr>
        <w:spacing w:after="120" w:line="276"/>
      </w:pPr>
      <w:r>
        <w:rPr>
          <w:rFonts w:ascii="Times New Roman" w:cs="Times New Roman" w:eastAsia="Times New Roman" w:hAnsi="Times New Roman"/>
          <w:sz w:val="24"/>
          <w:szCs w:val="24"/>
        </w:rPr>
        <w:t xml:space="preserve">"Equity Financing" means a bona fide transaction or series of transactions with the principal purpose of raising capital, pursuant to which the Company issues and sells Preferred Stock at a fixed pre-money valuation.</w:t>
      </w:r>
    </w:p>
    <w:p>
      <w:pPr>
        <w:spacing w:after="120" w:line="276"/>
      </w:pPr>
      <w:r>
        <w:rPr>
          <w:rFonts w:ascii="Times New Roman" w:cs="Times New Roman" w:eastAsia="Times New Roman" w:hAnsi="Times New Roman"/>
          <w:sz w:val="24"/>
          <w:szCs w:val="24"/>
        </w:rPr>
        <w:t xml:space="preserve">"Initial Public Offering" means the closing of the Company's first firm commitment underwritten initial public offering of Common Stock pursuant to a registration statement filed under the Securities Act.</w:t>
      </w:r>
    </w:p>
    <w:p>
      <w:pPr>
        <w:spacing w:after="120" w:line="276"/>
      </w:pPr>
      <w:r>
        <w:rPr>
          <w:rFonts w:ascii="Times New Roman" w:cs="Times New Roman" w:eastAsia="Times New Roman" w:hAnsi="Times New Roman"/>
          <w:sz w:val="24"/>
          <w:szCs w:val="24"/>
        </w:rPr>
        <w:t xml:space="preserve">"Liquidity Event" means a Change of Control or an Initial Public Offering.</w:t>
      </w:r>
    </w:p>
    <w:p>
      <w:pPr>
        <w:spacing w:after="120" w:line="276"/>
      </w:pPr>
      <w:r>
        <w:rPr>
          <w:rFonts w:ascii="Times New Roman" w:cs="Times New Roman" w:eastAsia="Times New Roman" w:hAnsi="Times New Roman"/>
          <w:sz w:val="24"/>
          <w:szCs w:val="24"/>
        </w:rPr>
        <w:t xml:space="preserve">"Liquidity Price" means the price per share equal to the Post-Money Valuation Cap divided by the Liquidity Capitalization.</w:t>
      </w:r>
    </w:p>
    <w:p>
      <w:pPr>
        <w:spacing w:after="120" w:line="276"/>
      </w:pPr>
      <w:r>
        <w:rPr>
          <w:rFonts w:ascii="Times New Roman" w:cs="Times New Roman" w:eastAsia="Times New Roman" w:hAnsi="Times New Roman"/>
          <w:sz w:val="24"/>
          <w:szCs w:val="24"/>
        </w:rPr>
        <w:t xml:space="preserve">"Liquidity Capitalization" means the number, as of immediately prior to the Liquidity Event, of shares of Capital Stock (on an as-converted basis) outstanding, assuming exercise or conversion of all outstanding vested and unvested options, warrants and other convertible securities, but excluding shares of Common Stock reserved and available for future grant under any equity incentive or similar plan.</w:t>
      </w:r>
    </w:p>
    <w:p>
      <w:pPr>
        <w:spacing w:after="120" w:line="276"/>
      </w:pPr>
      <w:r>
        <w:rPr>
          <w:rFonts w:ascii="Times New Roman" w:cs="Times New Roman" w:eastAsia="Times New Roman" w:hAnsi="Times New Roman"/>
          <w:sz w:val="24"/>
          <w:szCs w:val="24"/>
        </w:rPr>
        <w:t xml:space="preserve">"Post-Money Valuation Cap" means $[Valuation Cap Amount].</w:t>
      </w:r>
    </w:p>
    <w:p>
      <w:pPr>
        <w:spacing w:after="120" w:line="276"/>
      </w:pPr>
      <w:r>
        <w:rPr>
          <w:rFonts w:ascii="Times New Roman" w:cs="Times New Roman" w:eastAsia="Times New Roman" w:hAnsi="Times New Roman"/>
          <w:sz w:val="24"/>
          <w:szCs w:val="24"/>
        </w:rPr>
        <w:t xml:space="preserve">"Preferred Stock" means the preferred stock of the Company.</w:t>
      </w:r>
    </w:p>
    <w:p>
      <w:pPr>
        <w:spacing w:after="120" w:line="276"/>
      </w:pPr>
      <w:r>
        <w:rPr>
          <w:rFonts w:ascii="Times New Roman" w:cs="Times New Roman" w:eastAsia="Times New Roman" w:hAnsi="Times New Roman"/>
          <w:sz w:val="24"/>
          <w:szCs w:val="24"/>
        </w:rPr>
        <w:t xml:space="preserve">"Safe Preferred Stock" means the shares of the series of Preferred Stock issued to the Investor in an Equity Financing, having the identical rights, privileges, preferences, and restrictions as the shares of Standard Preferred Stock, other than with respect to: (i) the per-share liquidation preference and the initial conversion price for purposes of price-based anti-dilution protection, which shall equal the Conversion Price; and (ii) the basis for any dividend rights, which shall be based on the Conversion Price.</w:t>
      </w:r>
    </w:p>
    <w:p>
      <w:pPr>
        <w:spacing w:after="120" w:line="276"/>
      </w:pPr>
      <w:r>
        <w:rPr>
          <w:rFonts w:ascii="Times New Roman" w:cs="Times New Roman" w:eastAsia="Times New Roman" w:hAnsi="Times New Roman"/>
          <w:sz w:val="24"/>
          <w:szCs w:val="24"/>
        </w:rPr>
        <w:t xml:space="preserve">"Standard Preferred Stock" means the shares of the series of Preferred Stock issued to the investors investing new money in the Company in connection with the initial closing of the Equity Financing.</w:t>
      </w:r>
    </w:p>
    <w:p>
      <w:pPr>
        <w:spacing w:after="120" w:before="240"/>
      </w:pPr>
      <w:r>
        <w:rPr>
          <w:rFonts w:ascii="Times New Roman" w:cs="Times New Roman" w:eastAsia="Times New Roman" w:hAnsi="Times New Roman"/>
          <w:b/>
          <w:bCs/>
          <w:sz w:val="24"/>
          <w:szCs w:val="24"/>
        </w:rPr>
        <w:t xml:space="preserve">3. COMPANY REPRESENTATIONS</w:t>
      </w:r>
    </w:p>
    <w:p>
      <w:pPr>
        <w:spacing w:after="120" w:line="276"/>
      </w:pPr>
      <w:r>
        <w:rPr>
          <w:rFonts w:ascii="Times New Roman" w:cs="Times New Roman" w:eastAsia="Times New Roman" w:hAnsi="Times New Roman"/>
          <w:sz w:val="24"/>
          <w:szCs w:val="24"/>
        </w:rPr>
        <w:t xml:space="preserve">(a) The Company is a corporation duly organized, validly existing, and in good standing under the laws of its state of incorporation, and has the power and authority to own, lease, and operate its properties and carry on its business as now conducted.</w:t>
      </w:r>
    </w:p>
    <w:p>
      <w:pPr>
        <w:spacing w:after="120" w:line="276"/>
      </w:pPr>
      <w:r>
        <w:rPr>
          <w:rFonts w:ascii="Times New Roman" w:cs="Times New Roman" w:eastAsia="Times New Roman" w:hAnsi="Times New Roman"/>
          <w:sz w:val="24"/>
          <w:szCs w:val="24"/>
        </w:rPr>
        <w:t xml:space="preserve">(b) The execution, delivery, and performance by the Company of this SAFE is within the power of the Company and has been duly authorized by all necessary actions on the part of the Company (subject to Section 3(d)). This SAFE constitutes a legal, valid, and binding obligation of the Company, enforceable against the Company in accordance with its terms, except as limited by bankruptcy, insolvency, or other laws of general application relating to or affecting the enforcement of creditors' rights generally and general principles of equity.</w:t>
      </w:r>
    </w:p>
    <w:p>
      <w:pPr>
        <w:spacing w:after="120" w:line="276"/>
      </w:pPr>
      <w:r>
        <w:rPr>
          <w:rFonts w:ascii="Times New Roman" w:cs="Times New Roman" w:eastAsia="Times New Roman" w:hAnsi="Times New Roman"/>
          <w:sz w:val="24"/>
          <w:szCs w:val="24"/>
        </w:rPr>
        <w:t xml:space="preserve">(c) The performance of this SAFE does not and will not (i) violate any law, rule, or regulation applicable to the Company; (ii) violate the Company's certificate of incorporation or bylaws; or (iii) result in any breach of or default under any agreement by which the Company is bound.</w:t>
      </w:r>
    </w:p>
    <w:p>
      <w:pPr>
        <w:spacing w:after="120" w:line="276"/>
      </w:pPr>
      <w:r>
        <w:rPr>
          <w:rFonts w:ascii="Times New Roman" w:cs="Times New Roman" w:eastAsia="Times New Roman" w:hAnsi="Times New Roman"/>
          <w:sz w:val="24"/>
          <w:szCs w:val="24"/>
        </w:rPr>
        <w:t xml:space="preserve">(d) The Company's board of directors has not yet approved the issuance of the shares of Safe Preferred Stock issuable upon conversion of this SAFE. The Company shall seek such approval promptly, and in any event prior to the initial closing of the Equity Financing. If the Company's board of directors does not approve such issuance, the Company shall promptly return the Purchase Amount to the Investor, and this SAFE shall be null and void.</w:t>
      </w:r>
    </w:p>
    <w:p>
      <w:pPr>
        <w:spacing w:after="120" w:before="240"/>
      </w:pPr>
      <w:r>
        <w:rPr>
          <w:rFonts w:ascii="Times New Roman" w:cs="Times New Roman" w:eastAsia="Times New Roman" w:hAnsi="Times New Roman"/>
          <w:b/>
          <w:bCs/>
          <w:sz w:val="24"/>
          <w:szCs w:val="24"/>
        </w:rPr>
        <w:t xml:space="preserve">4. INVESTOR REPRESENTATIONS</w:t>
      </w:r>
    </w:p>
    <w:p>
      <w:pPr>
        <w:spacing w:after="120" w:line="276"/>
      </w:pPr>
      <w:r>
        <w:rPr>
          <w:rFonts w:ascii="Times New Roman" w:cs="Times New Roman" w:eastAsia="Times New Roman" w:hAnsi="Times New Roman"/>
          <w:sz w:val="24"/>
          <w:szCs w:val="24"/>
        </w:rPr>
        <w:t xml:space="preserve">(a) The Investor has full legal capacity, power, and authority to execute and deliver this SAFE and to perform its obligations hereunder. This SAFE constitutes a valid and binding obligation of the Investor.</w:t>
      </w:r>
    </w:p>
    <w:p>
      <w:pPr>
        <w:spacing w:after="120" w:line="276"/>
      </w:pPr>
      <w:r>
        <w:rPr>
          <w:rFonts w:ascii="Times New Roman" w:cs="Times New Roman" w:eastAsia="Times New Roman" w:hAnsi="Times New Roman"/>
          <w:sz w:val="24"/>
          <w:szCs w:val="24"/>
        </w:rPr>
        <w:t xml:space="preserve">(b) The Investor is an accredited investor as such term is defined in Rule 501 of Regulation D under the Securities Act, and acknowledges that the issuance and sale of this SAFE has not been registered under the Securities Act or any state securities law.</w:t>
      </w:r>
    </w:p>
    <w:p>
      <w:pPr>
        <w:spacing w:after="120" w:line="276"/>
      </w:pPr>
      <w:r>
        <w:rPr>
          <w:rFonts w:ascii="Times New Roman" w:cs="Times New Roman" w:eastAsia="Times New Roman" w:hAnsi="Times New Roman"/>
          <w:sz w:val="24"/>
          <w:szCs w:val="24"/>
        </w:rPr>
        <w:t xml:space="preserve">(c) The Investor is purchasing this SAFE and the securities to be acquired by the Investor hereunder for its own account for investment, not as a nominee or agent, and not with a view to, or for resale in connection with, the distribution thereof.</w:t>
      </w:r>
    </w:p>
    <w:p>
      <w:pPr>
        <w:spacing w:after="120" w:before="240"/>
      </w:pPr>
      <w:r>
        <w:rPr>
          <w:rFonts w:ascii="Times New Roman" w:cs="Times New Roman" w:eastAsia="Times New Roman" w:hAnsi="Times New Roman"/>
          <w:b/>
          <w:bCs/>
          <w:sz w:val="24"/>
          <w:szCs w:val="24"/>
        </w:rPr>
        <w:t xml:space="preserve">5. MISCELLANEOUS</w:t>
      </w:r>
    </w:p>
    <w:p>
      <w:pPr>
        <w:spacing w:after="120" w:line="276"/>
      </w:pPr>
      <w:r>
        <w:rPr>
          <w:rFonts w:ascii="Times New Roman" w:cs="Times New Roman" w:eastAsia="Times New Roman" w:hAnsi="Times New Roman"/>
          <w:sz w:val="24"/>
          <w:szCs w:val="24"/>
        </w:rPr>
        <w:t xml:space="preserve">(a) Amendment. Any provision of this SAFE may be amended, waived, or modified by written consent of the Company and either (i) the Investor or (ii) the majority-in-interest of all then-outstanding SAFEs with the same Post-Money Valuation Cap; provided that in the case of (ii), such amendment, waiver, or modification treats all such holders in the same manner.</w:t>
      </w:r>
    </w:p>
    <w:p>
      <w:pPr>
        <w:spacing w:after="120" w:line="276"/>
      </w:pPr>
      <w:r>
        <w:rPr>
          <w:rFonts w:ascii="Times New Roman" w:cs="Times New Roman" w:eastAsia="Times New Roman" w:hAnsi="Times New Roman"/>
          <w:sz w:val="24"/>
          <w:szCs w:val="24"/>
        </w:rPr>
        <w:t xml:space="preserve">(b) Notices. Any notice required or permitted by this SAFE will be deemed sufficient when delivered personally or by overnight courier or sent by email to the relevant address listed on the signature page, or 48 hours after being deposited in the U.S. mail as certified or registered mail with postage prepaid, addressed to the party to be notified at such party's address listed on the signature page.</w:t>
      </w:r>
    </w:p>
    <w:p>
      <w:pPr>
        <w:spacing w:after="120" w:line="276"/>
      </w:pPr>
      <w:r>
        <w:rPr>
          <w:rFonts w:ascii="Times New Roman" w:cs="Times New Roman" w:eastAsia="Times New Roman" w:hAnsi="Times New Roman"/>
          <w:sz w:val="24"/>
          <w:szCs w:val="24"/>
        </w:rPr>
        <w:t xml:space="preserve">(c) No Rights as Stockholder. The Investor is not entitled, as a holder of this SAFE, to vote or be deemed a holder of Capital Stock for any purpose other than tax purposes, nor will anything contained herein be construed to confer on the Investor, as such, any rights of a stockholder of the Company or any right to vote for the election of directors or upon any matter submitted to stockholders at any meeting thereof, or to give or withhold consent to any corporate action or to receive notice of meetings, or to receive subscription rights.</w:t>
      </w:r>
    </w:p>
    <w:p>
      <w:pPr>
        <w:spacing w:after="120" w:line="276"/>
      </w:pPr>
      <w:r>
        <w:rPr>
          <w:rFonts w:ascii="Times New Roman" w:cs="Times New Roman" w:eastAsia="Times New Roman" w:hAnsi="Times New Roman"/>
          <w:sz w:val="24"/>
          <w:szCs w:val="24"/>
        </w:rPr>
        <w:t xml:space="preserve">(d) Tax Treatment. This SAFE is intended to be treated as a non-compensatory open transaction for U.S. federal and applicable state and local income tax purposes, and the Company and the Investor agree to such treatment for all relevant tax returns.</w:t>
      </w:r>
    </w:p>
    <w:p>
      <w:pPr>
        <w:spacing w:after="120" w:line="276"/>
      </w:pPr>
      <w:r>
        <w:rPr>
          <w:rFonts w:ascii="Times New Roman" w:cs="Times New Roman" w:eastAsia="Times New Roman" w:hAnsi="Times New Roman"/>
          <w:sz w:val="24"/>
          <w:szCs w:val="24"/>
        </w:rPr>
        <w:t xml:space="preserve">(e) Pro Rata Rights. The Investor shall have a pro rata right to participate in each subsequent round of equity financing by the Company, on the same terms and conditions as the other investors in such round, in an amount of up to the Investor's pro rata share. "Pro rata share" for purposes of this Section means the ratio of (1) the number of shares of Capital Stock owned by the Investor immediately prior to such financing (on an as-converted basis, including shares of Capital Stock issuable or issued upon conversion of this SAFE) to (2) the total number of outstanding shares of Capital Stock (on a fully diluted, as-converted basis) immediately prior to the issuance and sale of shares in the subsequent round.</w:t>
      </w:r>
    </w:p>
    <w:p>
      <w:pPr>
        <w:spacing w:after="120" w:line="276"/>
      </w:pPr>
      <w:r>
        <w:rPr>
          <w:rFonts w:ascii="Times New Roman" w:cs="Times New Roman" w:eastAsia="Times New Roman" w:hAnsi="Times New Roman"/>
          <w:sz w:val="24"/>
          <w:szCs w:val="24"/>
        </w:rPr>
        <w:t xml:space="preserve">(f) Governing Law. This SAFE and all rights and obligations hereunder shall be governed by and construed in accordance with the laws of the State of [Governing Law State], without regard to its conflict of laws principles.</w:t>
      </w:r>
    </w:p>
    <w:p>
      <w:pPr>
        <w:spacing w:after="120" w:line="276"/>
      </w:pPr>
      <w:r>
        <w:rPr>
          <w:rFonts w:ascii="Times New Roman" w:cs="Times New Roman" w:eastAsia="Times New Roman" w:hAnsi="Times New Roman"/>
          <w:sz w:val="24"/>
          <w:szCs w:val="24"/>
        </w:rPr>
        <w:t xml:space="preserve">(g) Entire Agreement. This SAFE comprises the entire agreement between the Company and the Investor with respect to the subject matter hereof.</w:t>
      </w:r>
    </w:p>
    <w:p>
      <w:pPr>
        <w:spacing w:after="120" w:line="276"/>
      </w:pPr>
      <w:r>
        <w:rPr>
          <w:rFonts w:ascii="Times New Roman" w:cs="Times New Roman" w:eastAsia="Times New Roman" w:hAnsi="Times New Roman"/>
          <w:sz w:val="24"/>
          <w:szCs w:val="24"/>
        </w:rPr>
        <w:t xml:space="preserve">(h) Counterparts. This SAFE may be executed in one or more counterparts, each of which shall be deemed an original, and all of which together shall constitute one and the same instrument.</w:t>
      </w:r>
    </w:p>
    <w:p>
      <w:pPr>
        <w:spacing w:before="360"/>
      </w:pPr>
    </w:p>
    <w:p>
      <w:pPr>
        <w:spacing w:after="120"/>
        <w:jc w:val="center"/>
      </w:pPr>
      <w:r>
        <w:rPr>
          <w:rFonts w:ascii="Times New Roman" w:cs="Times New Roman" w:eastAsia="Times New Roman" w:hAnsi="Times New Roman"/>
          <w:i/>
          <w:iCs/>
          <w:sz w:val="24"/>
          <w:szCs w:val="24"/>
        </w:rPr>
        <w:t xml:space="preserve">(Signature Page Follows)</w:t>
      </w:r>
    </w:p>
    <w:p>
      <w:r>
        <w:br w:type="page"/>
      </w:r>
    </w:p>
    <w:p>
      <w:pPr>
        <w:spacing w:after="120" w:line="276"/>
      </w:pPr>
      <w:r>
        <w:rPr>
          <w:rFonts w:ascii="Times New Roman" w:cs="Times New Roman" w:eastAsia="Times New Roman" w:hAnsi="Times New Roman"/>
          <w:sz w:val="24"/>
          <w:szCs w:val="24"/>
        </w:rPr>
        <w:t xml:space="preserve">IN WITNESS WHEREOF, the undersigned have caused this SAFE to be duly executed and delivered.</w:t>
      </w:r>
    </w:p>
    <w:p>
      <w:pPr>
        <w:spacing w:before="300"/>
      </w:pPr>
    </w:p>
    <w:p>
      <w:pPr>
        <w:spacing w:after="60"/>
      </w:pPr>
      <w:r>
        <w:rPr>
          <w:rFonts w:ascii="Times New Roman" w:cs="Times New Roman" w:eastAsia="Times New Roman" w:hAnsi="Times New Roman"/>
          <w:sz w:val="24"/>
          <w:szCs w:val="24"/>
        </w:rPr>
        <w:t xml:space="preserve">COMPANY:</w:t>
      </w:r>
    </w:p>
    <w:p>
      <w:pPr>
        <w:spacing w:after="60"/>
      </w:pPr>
      <w:r>
        <w:rPr>
          <w:rFonts w:ascii="Times New Roman" w:cs="Times New Roman" w:eastAsia="Times New Roman" w:hAnsi="Times New Roman"/>
          <w:sz w:val="24"/>
          <w:szCs w:val="24"/>
        </w:rPr>
        <w:t xml:space="preserve">[Company Name]</w:t>
      </w:r>
    </w:p>
    <w:p>
      <w:pPr>
        <w:spacing w:after="60"/>
      </w:pPr>
      <w:r>
        <w:rPr>
          <w:rFonts w:ascii="Times New Roman" w:cs="Times New Roman" w:eastAsia="Times New Roman" w:hAnsi="Times New Roman"/>
          <w:sz w:val="24"/>
          <w:szCs w:val="24"/>
        </w:rPr>
        <w:t xml:space="preserve"/>
      </w:r>
    </w:p>
    <w:p>
      <w:pPr>
        <w:spacing w:after="60"/>
      </w:pPr>
      <w:r>
        <w:rPr>
          <w:rFonts w:ascii="Times New Roman" w:cs="Times New Roman" w:eastAsia="Times New Roman" w:hAnsi="Times New Roman"/>
          <w:sz w:val="24"/>
          <w:szCs w:val="24"/>
        </w:rPr>
        <w:t xml:space="preserve">By: ___________________________________</w:t>
      </w:r>
    </w:p>
    <w:p>
      <w:pPr>
        <w:spacing w:after="60"/>
      </w:pPr>
      <w:r>
        <w:rPr>
          <w:rFonts w:ascii="Times New Roman" w:cs="Times New Roman" w:eastAsia="Times New Roman" w:hAnsi="Times New Roman"/>
          <w:sz w:val="24"/>
          <w:szCs w:val="24"/>
        </w:rPr>
        <w:t xml:space="preserve">Name: [Authorized Signatory Name]</w:t>
      </w:r>
    </w:p>
    <w:p>
      <w:pPr>
        <w:spacing w:after="60"/>
      </w:pPr>
      <w:r>
        <w:rPr>
          <w:rFonts w:ascii="Times New Roman" w:cs="Times New Roman" w:eastAsia="Times New Roman" w:hAnsi="Times New Roman"/>
          <w:sz w:val="24"/>
          <w:szCs w:val="24"/>
        </w:rPr>
        <w:t xml:space="preserve">Title: [Title]</w:t>
      </w:r>
    </w:p>
    <w:p>
      <w:pPr>
        <w:spacing w:after="60"/>
      </w:pPr>
      <w:r>
        <w:rPr>
          <w:rFonts w:ascii="Times New Roman" w:cs="Times New Roman" w:eastAsia="Times New Roman" w:hAnsi="Times New Roman"/>
          <w:sz w:val="24"/>
          <w:szCs w:val="24"/>
        </w:rPr>
        <w:t xml:space="preserve">Address: [Company Address]</w:t>
      </w:r>
    </w:p>
    <w:p>
      <w:pPr>
        <w:spacing w:after="60"/>
      </w:pPr>
      <w:r>
        <w:rPr>
          <w:rFonts w:ascii="Times New Roman" w:cs="Times New Roman" w:eastAsia="Times New Roman" w:hAnsi="Times New Roman"/>
          <w:sz w:val="24"/>
          <w:szCs w:val="24"/>
        </w:rPr>
        <w:t xml:space="preserve">Email: [Company Email]</w:t>
      </w:r>
    </w:p>
    <w:p>
      <w:pPr>
        <w:spacing w:before="300"/>
      </w:pPr>
    </w:p>
    <w:p>
      <w:pPr>
        <w:spacing w:after="60"/>
      </w:pPr>
      <w:r>
        <w:rPr>
          <w:rFonts w:ascii="Times New Roman" w:cs="Times New Roman" w:eastAsia="Times New Roman" w:hAnsi="Times New Roman"/>
          <w:sz w:val="24"/>
          <w:szCs w:val="24"/>
        </w:rPr>
        <w:t xml:space="preserve">INVESTOR:</w:t>
      </w:r>
    </w:p>
    <w:p>
      <w:pPr>
        <w:spacing w:after="60"/>
      </w:pPr>
      <w:r>
        <w:rPr>
          <w:rFonts w:ascii="Times New Roman" w:cs="Times New Roman" w:eastAsia="Times New Roman" w:hAnsi="Times New Roman"/>
          <w:sz w:val="24"/>
          <w:szCs w:val="24"/>
        </w:rPr>
        <w:t xml:space="preserve">[Investor Name]</w:t>
      </w:r>
    </w:p>
    <w:p>
      <w:pPr>
        <w:spacing w:after="60"/>
      </w:pPr>
      <w:r>
        <w:rPr>
          <w:rFonts w:ascii="Times New Roman" w:cs="Times New Roman" w:eastAsia="Times New Roman" w:hAnsi="Times New Roman"/>
          <w:sz w:val="24"/>
          <w:szCs w:val="24"/>
        </w:rPr>
        <w:t xml:space="preserve"/>
      </w:r>
    </w:p>
    <w:p>
      <w:pPr>
        <w:spacing w:after="60"/>
      </w:pPr>
      <w:r>
        <w:rPr>
          <w:rFonts w:ascii="Times New Roman" w:cs="Times New Roman" w:eastAsia="Times New Roman" w:hAnsi="Times New Roman"/>
          <w:sz w:val="24"/>
          <w:szCs w:val="24"/>
        </w:rPr>
        <w:t xml:space="preserve">By: ___________________________________</w:t>
      </w:r>
    </w:p>
    <w:p>
      <w:pPr>
        <w:spacing w:after="60"/>
      </w:pPr>
      <w:r>
        <w:rPr>
          <w:rFonts w:ascii="Times New Roman" w:cs="Times New Roman" w:eastAsia="Times New Roman" w:hAnsi="Times New Roman"/>
          <w:sz w:val="24"/>
          <w:szCs w:val="24"/>
        </w:rPr>
        <w:t xml:space="preserve">Name: [Authorized Signatory Name]</w:t>
      </w:r>
    </w:p>
    <w:p>
      <w:pPr>
        <w:spacing w:after="60"/>
      </w:pPr>
      <w:r>
        <w:rPr>
          <w:rFonts w:ascii="Times New Roman" w:cs="Times New Roman" w:eastAsia="Times New Roman" w:hAnsi="Times New Roman"/>
          <w:sz w:val="24"/>
          <w:szCs w:val="24"/>
        </w:rPr>
        <w:t xml:space="preserve">Title: [Title]</w:t>
      </w:r>
    </w:p>
    <w:p>
      <w:pPr>
        <w:spacing w:after="60"/>
      </w:pPr>
      <w:r>
        <w:rPr>
          <w:rFonts w:ascii="Times New Roman" w:cs="Times New Roman" w:eastAsia="Times New Roman" w:hAnsi="Times New Roman"/>
          <w:sz w:val="24"/>
          <w:szCs w:val="24"/>
        </w:rPr>
        <w:t xml:space="preserve">Address: [Investor Address]</w:t>
      </w:r>
    </w:p>
    <w:p>
      <w:pPr>
        <w:spacing w:after="60"/>
      </w:pPr>
      <w:r>
        <w:rPr>
          <w:rFonts w:ascii="Times New Roman" w:cs="Times New Roman" w:eastAsia="Times New Roman" w:hAnsi="Times New Roman"/>
          <w:sz w:val="24"/>
          <w:szCs w:val="24"/>
        </w:rPr>
        <w:t xml:space="preserve">Email: [Investor Email]</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12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2026-08-23T14:17:44.072Z</dcterms:created>
  <dcterms:modified xsi:type="dcterms:W3CDTF">2026-08-23T14:17:44.073Z</dcterms:modified>
</cp:coreProperties>
</file>

<file path=docProps/custom.xml><?xml version="1.0" encoding="utf-8"?>
<Properties xmlns="http://schemas.openxmlformats.org/officeDocument/2006/custom-properties" xmlns:vt="http://schemas.openxmlformats.org/officeDocument/2006/docPropsVTypes"/>
</file>