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p>
    <w:p>
      <w:pPr>
        <w:spacing w:after="0"/>
      </w:pPr>
    </w:p>
    <w:p>
      <w:pPr>
        <w:spacing w:after="0"/>
      </w:pPr>
    </w:p>
    <w:p>
      <w:pPr>
        <w:spacing w:after="0"/>
      </w:pPr>
    </w:p>
    <w:p>
      <w:pPr>
        <w:spacing w:after="0"/>
      </w:pPr>
    </w:p>
    <w:p>
      <w:pPr>
        <w:spacing w:after="0"/>
      </w:pPr>
    </w:p>
    <w:p>
      <w:pPr>
        <w:spacing w:after="120"/>
        <w:jc w:val="center"/>
      </w:pPr>
      <w:r>
        <w:rPr>
          <w:rFonts w:ascii="Calibri" w:cs="Calibri" w:eastAsia="Calibri" w:hAnsi="Calibri"/>
          <w:b/>
          <w:bCs/>
          <w:color w:val="2B4C7E"/>
          <w:sz w:val="36"/>
          <w:szCs w:val="36"/>
        </w:rPr>
        <w:t xml:space="preserve">MONTAGUE LAW</w:t>
      </w:r>
    </w:p>
    <w:p>
      <w:pPr>
        <w:spacing w:after="80"/>
        <w:jc w:val="center"/>
      </w:pPr>
      <w:r>
        <w:rPr>
          <w:rFonts w:ascii="Calibri" w:cs="Calibri" w:eastAsia="Calibri" w:hAnsi="Calibri"/>
          <w:i/>
          <w:iCs/>
          <w:color w:val="808080"/>
          <w:sz w:val="26"/>
          <w:szCs w:val="26"/>
        </w:rPr>
        <w:t xml:space="preserve">Entrepreneur Forms Library</w:t>
      </w:r>
    </w:p>
    <w:p>
      <w:pPr>
        <w:pBdr>
          <w:bottom w:val="single" w:color="808080" w:sz="1" w:space="4"/>
        </w:pBdr>
        <w:spacing w:after="160" w:before="0" w:line="276"/>
        <w:jc w:val="both"/>
      </w:pPr>
      <w:r>
        <w:rPr>
          <w:rFonts w:ascii="Calibri" w:cs="Calibri" w:eastAsia="Calibri" w:hAnsi="Calibri"/>
          <w:color w:val="000000"/>
          <w:sz w:val="24"/>
          <w:szCs w:val="24"/>
        </w:rPr>
        <w:t xml:space="preserve"/>
      </w:r>
    </w:p>
    <w:p>
      <w:pPr>
        <w:spacing w:after="0"/>
      </w:pPr>
    </w:p>
    <w:p>
      <w:pPr>
        <w:spacing w:after="0"/>
      </w:pPr>
    </w:p>
    <w:p>
      <w:pPr>
        <w:spacing w:after="200"/>
        <w:jc w:val="center"/>
      </w:pPr>
      <w:r>
        <w:rPr>
          <w:rFonts w:ascii="Calibri" w:cs="Calibri" w:eastAsia="Calibri" w:hAnsi="Calibri"/>
          <w:b/>
          <w:bCs/>
          <w:color w:val="333333"/>
          <w:sz w:val="48"/>
          <w:szCs w:val="48"/>
        </w:rPr>
        <w:t xml:space="preserve">PHANTOM EQUITY PLAN</w:t>
      </w:r>
    </w:p>
    <w:p>
      <w:pPr>
        <w:spacing w:after="160"/>
        <w:jc w:val="center"/>
      </w:pPr>
      <w:r>
        <w:rPr>
          <w:rFonts w:ascii="Calibri" w:cs="Calibri" w:eastAsia="Calibri" w:hAnsi="Calibri"/>
          <w:i/>
          <w:iCs/>
          <w:color w:val="808080"/>
          <w:sz w:val="28"/>
          <w:szCs w:val="28"/>
        </w:rPr>
        <w:t xml:space="preserve">Cash-Settled Equity Appreciation Rights</w:t>
      </w:r>
    </w:p>
    <w:p>
      <w:pPr>
        <w:spacing w:after="400"/>
        <w:jc w:val="center"/>
      </w:pPr>
      <w:r>
        <w:rPr>
          <w:rFonts w:ascii="Calibri" w:cs="Calibri" w:eastAsia="Calibri" w:hAnsi="Calibri"/>
          <w:color w:val="808080"/>
          <w:sz w:val="22"/>
          <w:szCs w:val="22"/>
        </w:rPr>
        <w:t xml:space="preserve">Form EF-031</w:t>
      </w:r>
    </w:p>
    <w:p>
      <w:pPr>
        <w:spacing w:after="0"/>
      </w:pPr>
    </w:p>
    <w:p>
      <w:pPr>
        <w:spacing w:after="0"/>
      </w:pPr>
    </w:p>
    <w:p>
      <w:pPr>
        <w:spacing w:after="120"/>
        <w:jc w:val="center"/>
      </w:pPr>
      <w:r>
        <w:rPr>
          <w:rFonts w:ascii="Calibri" w:cs="Calibri" w:eastAsia="Calibri" w:hAnsi="Calibri"/>
          <w:b/>
          <w:bCs/>
          <w:color w:val="2B4C7E"/>
          <w:sz w:val="24"/>
          <w:szCs w:val="24"/>
          <w:highlight w:val="yellow"/>
          <w:highlightCs w:val="yellow"/>
        </w:rPr>
        <w:t xml:space="preserve">[COMPANY NAME]</w:t>
      </w:r>
    </w:p>
    <w:p>
      <w:pPr>
        <w:spacing w:after="120"/>
        <w:jc w:val="center"/>
      </w:pPr>
      <w:r>
        <w:rPr>
          <w:rFonts w:ascii="Calibri" w:cs="Calibri" w:eastAsia="Calibri" w:hAnsi="Calibri"/>
          <w:color w:val="000000"/>
          <w:sz w:val="24"/>
          <w:szCs w:val="24"/>
        </w:rPr>
        <w:t xml:space="preserve">a </w:t>
      </w:r>
      <w:r>
        <w:rPr>
          <w:rFonts w:ascii="Calibri" w:cs="Calibri" w:eastAsia="Calibri" w:hAnsi="Calibri"/>
          <w:b/>
          <w:bCs/>
          <w:color w:val="2B4C7E"/>
          <w:sz w:val="24"/>
          <w:szCs w:val="24"/>
          <w:highlight w:val="yellow"/>
          <w:highlightCs w:val="yellow"/>
        </w:rPr>
        <w:t xml:space="preserve">[STATE]</w:t>
      </w:r>
      <w:r>
        <w:rPr>
          <w:rFonts w:ascii="Calibri" w:cs="Calibri" w:eastAsia="Calibri" w:hAnsi="Calibri"/>
          <w:color w:val="000000"/>
          <w:sz w:val="24"/>
          <w:szCs w:val="24"/>
        </w:rPr>
        <w:t xml:space="preserve"> </w:t>
      </w:r>
      <w:r>
        <w:rPr>
          <w:rFonts w:ascii="Calibri" w:cs="Calibri" w:eastAsia="Calibri" w:hAnsi="Calibri"/>
          <w:b/>
          <w:bCs/>
          <w:color w:val="2B4C7E"/>
          <w:sz w:val="24"/>
          <w:szCs w:val="24"/>
          <w:highlight w:val="yellow"/>
          <w:highlightCs w:val="yellow"/>
        </w:rPr>
        <w:t xml:space="preserve">[CORPORATION/LIMITED LIABILITY COMPANY]</w:t>
      </w:r>
    </w:p>
    <w:p>
      <w:pPr>
        <w:spacing w:after="0"/>
      </w:pPr>
    </w:p>
    <w:p>
      <w:pPr>
        <w:spacing w:after="120"/>
        <w:jc w:val="center"/>
      </w:pPr>
      <w:r>
        <w:rPr>
          <w:rFonts w:ascii="Calibri" w:cs="Calibri" w:eastAsia="Calibri" w:hAnsi="Calibri"/>
          <w:color w:val="000000"/>
          <w:sz w:val="24"/>
          <w:szCs w:val="24"/>
        </w:rPr>
        <w:t xml:space="preserve">Effective Date: </w:t>
      </w:r>
      <w:r>
        <w:rPr>
          <w:rFonts w:ascii="Calibri" w:cs="Calibri" w:eastAsia="Calibri" w:hAnsi="Calibri"/>
          <w:b/>
          <w:bCs/>
          <w:color w:val="2B4C7E"/>
          <w:sz w:val="24"/>
          <w:szCs w:val="24"/>
          <w:highlight w:val="yellow"/>
          <w:highlightCs w:val="yellow"/>
        </w:rPr>
        <w:t xml:space="preserve">[EFFECTIVE DATE]</w:t>
      </w:r>
    </w:p>
    <w:p>
      <w:pPr>
        <w:spacing w:after="120"/>
        <w:jc w:val="center"/>
      </w:pPr>
      <w:r>
        <w:rPr>
          <w:rFonts w:ascii="Calibri" w:cs="Calibri" w:eastAsia="Calibri" w:hAnsi="Calibri"/>
          <w:color w:val="000000"/>
          <w:sz w:val="24"/>
          <w:szCs w:val="24"/>
        </w:rPr>
        <w:t xml:space="preserve">Adopted by the </w:t>
      </w:r>
      <w:r>
        <w:rPr>
          <w:rFonts w:ascii="Calibri" w:cs="Calibri" w:eastAsia="Calibri" w:hAnsi="Calibri"/>
          <w:b/>
          <w:bCs/>
          <w:color w:val="2B4C7E"/>
          <w:sz w:val="24"/>
          <w:szCs w:val="24"/>
          <w:highlight w:val="yellow"/>
          <w:highlightCs w:val="yellow"/>
        </w:rPr>
        <w:t xml:space="preserve">[BOARD OF DIRECTORS/MANAGING MEMBERS]</w:t>
      </w:r>
      <w:r>
        <w:rPr>
          <w:rFonts w:ascii="Calibri" w:cs="Calibri" w:eastAsia="Calibri" w:hAnsi="Calibri"/>
          <w:color w:val="000000"/>
          <w:sz w:val="24"/>
          <w:szCs w:val="24"/>
        </w:rPr>
        <w:t xml:space="preserve"> on </w:t>
      </w:r>
      <w:r>
        <w:rPr>
          <w:rFonts w:ascii="Calibri" w:cs="Calibri" w:eastAsia="Calibri" w:hAnsi="Calibri"/>
          <w:b/>
          <w:bCs/>
          <w:color w:val="2B4C7E"/>
          <w:sz w:val="24"/>
          <w:szCs w:val="24"/>
          <w:highlight w:val="yellow"/>
          <w:highlightCs w:val="yellow"/>
        </w:rPr>
        <w:t xml:space="preserve">[ADOPTION DATE]</w:t>
      </w:r>
    </w:p>
    <w:p>
      <w:pPr>
        <w:spacing w:after="0"/>
      </w:pPr>
    </w:p>
    <w:p>
      <w:pPr>
        <w:spacing w:after="0"/>
      </w:pPr>
    </w:p>
    <w:p>
      <w:pPr>
        <w:spacing w:after="0"/>
      </w:pPr>
    </w:p>
    <w:p>
      <w:pPr>
        <w:spacing w:after="0"/>
      </w:pPr>
    </w:p>
    <w:p>
      <w:pPr>
        <w:pBdr>
          <w:bottom w:val="single" w:color="808080" w:sz="1" w:space="4"/>
        </w:pBdr>
        <w:spacing w:after="160" w:before="0" w:line="276"/>
        <w:jc w:val="both"/>
      </w:pPr>
      <w:r>
        <w:rPr>
          <w:rFonts w:ascii="Calibri" w:cs="Calibri" w:eastAsia="Calibri" w:hAnsi="Calibri"/>
          <w:color w:val="000000"/>
          <w:sz w:val="24"/>
          <w:szCs w:val="24"/>
        </w:rPr>
        <w:t xml:space="preserve"/>
      </w:r>
    </w:p>
    <w:p>
      <w:pPr>
        <w:spacing w:after="0" w:before="120"/>
        <w:jc w:val="center"/>
      </w:pPr>
      <w:r>
        <w:rPr>
          <w:rFonts w:ascii="Calibri" w:cs="Calibri" w:eastAsia="Calibri" w:hAnsi="Calibri"/>
          <w:b/>
          <w:bCs/>
          <w:color w:val="808080"/>
          <w:sz w:val="20"/>
          <w:szCs w:val="20"/>
        </w:rPr>
        <w:t xml:space="preserve">CONFIDENTIAL</w:t>
      </w:r>
    </w:p>
    <w:p>
      <w:pPr>
        <w:spacing w:after="0"/>
        <w:jc w:val="center"/>
      </w:pPr>
      <w:r>
        <w:rPr>
          <w:rFonts w:ascii="Calibri" w:cs="Calibri" w:eastAsia="Calibri" w:hAnsi="Calibri"/>
          <w:i/>
          <w:iCs/>
          <w:color w:val="808080"/>
          <w:sz w:val="18"/>
          <w:szCs w:val="18"/>
        </w:rPr>
        <w:t xml:space="preserve">This document is provided for informational purposes only and does not constitute legal advice.</w:t>
      </w:r>
    </w:p>
    <w:p>
      <w:pPr>
        <w:spacing w:after="0"/>
        <w:jc w:val="center"/>
      </w:pPr>
      <w:r>
        <w:rPr>
          <w:rFonts w:ascii="Calibri" w:cs="Calibri" w:eastAsia="Calibri" w:hAnsi="Calibri"/>
          <w:i/>
          <w:iCs/>
          <w:color w:val="808080"/>
          <w:sz w:val="18"/>
          <w:szCs w:val="18"/>
        </w:rPr>
        <w:t xml:space="preserve">Consult qualified legal counsel before use.</w:t>
      </w:r>
    </w:p>
    <w:p>
      <w:r>
        <w:br w:type="page"/>
      </w:r>
    </w:p>
    <w:p>
      <w:pPr>
        <w:spacing w:after="360"/>
        <w:jc w:val="center"/>
      </w:pPr>
      <w:r>
        <w:rPr>
          <w:rFonts w:ascii="Calibri" w:cs="Calibri" w:eastAsia="Calibri" w:hAnsi="Calibri"/>
          <w:b/>
          <w:bCs/>
          <w:color w:val="333333"/>
          <w:sz w:val="28"/>
          <w:szCs w:val="28"/>
        </w:rPr>
        <w:t xml:space="preserve">TABLE OF CONTENTS</w:t>
      </w:r>
    </w:p>
    <w:sdt>
      <w:sdtPr>
        <w:alias w:val="Table of Contents"/>
      </w:sdtPr>
      <w:sdtContent>
        <w:p>
          <w:r>
            <w:fldChar w:fldCharType="begin" w:dirty="true"/>
            <w:instrText xml:space="preserve">TOC \h \o "1-3" \t "Heading1,1,Heading2,2,Heading3,3"</w:instrText>
            <w:fldChar w:fldCharType="separate"/>
          </w:r>
        </w:p>
        <w:p>
          <w:r>
            <w:fldChar w:fldCharType="end"/>
          </w:r>
        </w:p>
      </w:sdtContent>
    </w:sdt>
    <w:p>
      <w:pPr>
        <w:spacing w:after="0"/>
      </w:pPr>
    </w:p>
    <w:p>
      <w:pPr>
        <w:spacing w:after="160" w:before="0" w:line="276"/>
        <w:jc w:val="both"/>
      </w:pPr>
      <w:r>
        <w:rPr>
          <w:rFonts w:ascii="Calibri" w:cs="Calibri" w:eastAsia="Calibri" w:hAnsi="Calibri"/>
          <w:i/>
          <w:iCs/>
          <w:color w:val="808080"/>
          <w:sz w:val="20"/>
          <w:szCs w:val="20"/>
        </w:rPr>
        <w:t xml:space="preserve">Note: To update page numbers, right-click the table of contents in Microsoft Word and select </w:t>
      </w:r>
      <w:r>
        <w:rPr>
          <w:rFonts w:ascii="Calibri" w:cs="Calibri" w:eastAsia="Calibri" w:hAnsi="Calibri"/>
          <w:i/>
          <w:iCs/>
          <w:color w:val="808080"/>
          <w:sz w:val="20"/>
          <w:szCs w:val="20"/>
        </w:rPr>
        <w:t xml:space="preserve">"Update Field."</w:t>
      </w:r>
    </w:p>
    <w:p>
      <w:r>
        <w:br w:type="page"/>
      </w:r>
    </w:p>
    <w:p>
      <w:pPr>
        <w:spacing w:after="240"/>
        <w:jc w:val="center"/>
      </w:pPr>
      <w:r>
        <w:rPr>
          <w:rFonts w:ascii="Calibri" w:cs="Calibri" w:eastAsia="Calibri" w:hAnsi="Calibri"/>
          <w:b/>
          <w:bCs/>
          <w:color w:val="333333"/>
          <w:sz w:val="32"/>
          <w:szCs w:val="32"/>
        </w:rPr>
        <w:t xml:space="preserve">PHANTOM EQUITY PLAN</w:t>
      </w:r>
    </w:p>
    <w:p>
      <w:pPr>
        <w:spacing w:after="120"/>
        <w:jc w:val="center"/>
      </w:pPr>
      <w:r>
        <w:rPr>
          <w:rFonts w:ascii="Calibri" w:cs="Calibri" w:eastAsia="Calibri" w:hAnsi="Calibri"/>
          <w:color w:val="000000"/>
          <w:sz w:val="24"/>
          <w:szCs w:val="24"/>
        </w:rPr>
        <w:t xml:space="preserve">of </w:t>
      </w:r>
      <w:r>
        <w:rPr>
          <w:rFonts w:ascii="Calibri" w:cs="Calibri" w:eastAsia="Calibri" w:hAnsi="Calibri"/>
          <w:b/>
          <w:bCs/>
          <w:color w:val="2B4C7E"/>
          <w:sz w:val="24"/>
          <w:szCs w:val="24"/>
          <w:highlight w:val="yellow"/>
          <w:highlightCs w:val="yellow"/>
        </w:rPr>
        <w:t xml:space="preserve">[COMPANY NAME]</w:t>
      </w:r>
    </w:p>
    <w:p>
      <w:pPr>
        <w:spacing w:after="360"/>
        <w:jc w:val="center"/>
      </w:pPr>
      <w:r>
        <w:rPr>
          <w:rFonts w:ascii="Calibri" w:cs="Calibri" w:eastAsia="Calibri" w:hAnsi="Calibri"/>
          <w:i/>
          <w:iCs/>
          <w:color w:val="808080"/>
          <w:sz w:val="24"/>
          <w:szCs w:val="24"/>
        </w:rPr>
        <w:t xml:space="preserve">Cash-Settled Phantom Equity Incentive Plan</w:t>
      </w:r>
    </w:p>
    <w:p>
      <w:pPr>
        <w:pBdr>
          <w:bottom w:val="single" w:color="808080" w:sz="1" w:space="4"/>
        </w:pBdr>
        <w:spacing w:after="160" w:before="0" w:line="276"/>
        <w:jc w:val="both"/>
      </w:pPr>
      <w:r>
        <w:rPr>
          <w:rFonts w:ascii="Calibri" w:cs="Calibri" w:eastAsia="Calibri" w:hAnsi="Calibri"/>
          <w:color w:val="000000"/>
          <w:sz w:val="24"/>
          <w:szCs w:val="24"/>
        </w:rPr>
        <w:t xml:space="preserve"/>
      </w:r>
    </w:p>
    <w:p>
      <w:pPr>
        <w:spacing w:after="0"/>
      </w:pPr>
    </w:p>
    <w:p>
      <w:pPr>
        <w:spacing w:after="200"/>
        <w:jc w:val="center"/>
      </w:pPr>
      <w:r>
        <w:rPr>
          <w:rFonts w:ascii="Calibri" w:cs="Calibri" w:eastAsia="Calibri" w:hAnsi="Calibri"/>
          <w:b/>
          <w:bCs/>
          <w:color w:val="333333"/>
          <w:sz w:val="26"/>
          <w:szCs w:val="26"/>
        </w:rPr>
        <w:t xml:space="preserve">RECITALS</w:t>
      </w:r>
    </w:p>
    <w:p>
      <w:pPr>
        <w:spacing w:after="160" w:before="0" w:line="276"/>
        <w:jc w:val="both"/>
      </w:pPr>
      <w:r>
        <w:rPr>
          <w:rFonts w:ascii="Calibri" w:cs="Calibri" w:eastAsia="Calibri" w:hAnsi="Calibri"/>
          <w:b/>
          <w:bCs/>
          <w:sz w:val="24"/>
          <w:szCs w:val="24"/>
        </w:rPr>
        <w:t xml:space="preserve">WHEREAS</w:t>
      </w:r>
      <w:r>
        <w:rPr>
          <w:rFonts w:ascii="Calibri" w:cs="Calibri" w:eastAsia="Calibri" w:hAnsi="Calibri"/>
          <w:color w:val="000000"/>
          <w:sz w:val="24"/>
          <w:szCs w:val="24"/>
        </w:rPr>
        <w:t xml:space="preserve">, </w:t>
      </w:r>
      <w:r>
        <w:rPr>
          <w:rFonts w:ascii="Calibri" w:cs="Calibri" w:eastAsia="Calibri" w:hAnsi="Calibri"/>
          <w:b/>
          <w:bCs/>
          <w:color w:val="2B4C7E"/>
          <w:sz w:val="24"/>
          <w:szCs w:val="24"/>
          <w:highlight w:val="yellow"/>
          <w:highlightCs w:val="yellow"/>
        </w:rPr>
        <w:t xml:space="preserve">[COMPANY NAME]</w:t>
      </w:r>
      <w:r>
        <w:rPr>
          <w:rFonts w:ascii="Calibri" w:cs="Calibri" w:eastAsia="Calibri" w:hAnsi="Calibri"/>
          <w:color w:val="000000"/>
          <w:sz w:val="24"/>
          <w:szCs w:val="24"/>
        </w:rPr>
        <w:t xml:space="preserve"> (the "Company"), a </w:t>
      </w:r>
      <w:r>
        <w:rPr>
          <w:rFonts w:ascii="Calibri" w:cs="Calibri" w:eastAsia="Calibri" w:hAnsi="Calibri"/>
          <w:b/>
          <w:bCs/>
          <w:color w:val="2B4C7E"/>
          <w:sz w:val="24"/>
          <w:szCs w:val="24"/>
          <w:highlight w:val="yellow"/>
          <w:highlightCs w:val="yellow"/>
        </w:rPr>
        <w:t xml:space="preserve">[STATE]</w:t>
      </w:r>
      <w:r>
        <w:rPr>
          <w:rFonts w:ascii="Calibri" w:cs="Calibri" w:eastAsia="Calibri" w:hAnsi="Calibri"/>
          <w:color w:val="000000"/>
          <w:sz w:val="24"/>
          <w:szCs w:val="24"/>
        </w:rPr>
        <w:t xml:space="preserve"> </w:t>
      </w:r>
      <w:r>
        <w:rPr>
          <w:rFonts w:ascii="Calibri" w:cs="Calibri" w:eastAsia="Calibri" w:hAnsi="Calibri"/>
          <w:b/>
          <w:bCs/>
          <w:color w:val="2B4C7E"/>
          <w:sz w:val="24"/>
          <w:szCs w:val="24"/>
          <w:highlight w:val="yellow"/>
          <w:highlightCs w:val="yellow"/>
        </w:rPr>
        <w:t xml:space="preserve">[CORPORATION/LIMITED LIABILITY COMPANY]</w:t>
      </w:r>
      <w:r>
        <w:rPr>
          <w:rFonts w:ascii="Calibri" w:cs="Calibri" w:eastAsia="Calibri" w:hAnsi="Calibri"/>
          <w:color w:val="000000"/>
          <w:sz w:val="24"/>
          <w:szCs w:val="24"/>
        </w:rPr>
        <w:t xml:space="preserve">, desires to establish an incentive compensation plan to attract, retain, and motivate key employees, consultants, and service providers who contribute to the long-term success and growth of the Company;</w:t>
      </w:r>
    </w:p>
    <w:p>
      <w:pPr>
        <w:spacing w:after="160" w:before="0" w:line="276"/>
        <w:jc w:val="both"/>
      </w:pPr>
      <w:r>
        <w:rPr>
          <w:rFonts w:ascii="Calibri" w:cs="Calibri" w:eastAsia="Calibri" w:hAnsi="Calibri"/>
          <w:b/>
          <w:bCs/>
          <w:sz w:val="24"/>
          <w:szCs w:val="24"/>
        </w:rPr>
        <w:t xml:space="preserve">WHEREAS</w:t>
      </w:r>
      <w:r>
        <w:rPr>
          <w:rFonts w:ascii="Calibri" w:cs="Calibri" w:eastAsia="Calibri" w:hAnsi="Calibri"/>
          <w:color w:val="000000"/>
          <w:sz w:val="24"/>
          <w:szCs w:val="24"/>
        </w:rPr>
        <w:t xml:space="preserve">, the Company desires to provide eligible participants with a cash-settled right to receive payments based upon the appreciation or full value of the Company's equity, without issuing actual equity interests, thereby aligning the economic interests of participants with those of the Company's equity holders;</w:t>
      </w:r>
    </w:p>
    <w:p>
      <w:pPr>
        <w:spacing w:after="160" w:before="0" w:line="276"/>
        <w:jc w:val="both"/>
      </w:pPr>
      <w:r>
        <w:rPr>
          <w:rFonts w:ascii="Calibri" w:cs="Calibri" w:eastAsia="Calibri" w:hAnsi="Calibri"/>
          <w:b/>
          <w:bCs/>
          <w:sz w:val="24"/>
          <w:szCs w:val="24"/>
        </w:rPr>
        <w:t xml:space="preserve">WHEREAS</w:t>
      </w:r>
      <w:r>
        <w:rPr>
          <w:rFonts w:ascii="Calibri" w:cs="Calibri" w:eastAsia="Calibri" w:hAnsi="Calibri"/>
          <w:color w:val="000000"/>
          <w:sz w:val="24"/>
          <w:szCs w:val="24"/>
        </w:rPr>
        <w:t xml:space="preserve">, this Plan is intended to constitute an unfunded arrangement maintained primarily for the purpose of providing deferred compensation for a select group of management or highly compensated employees and other service providers;</w:t>
      </w:r>
    </w:p>
    <w:p>
      <w:pPr>
        <w:spacing w:after="160" w:before="0" w:line="276"/>
        <w:jc w:val="both"/>
      </w:pPr>
      <w:r>
        <w:rPr>
          <w:rFonts w:ascii="Calibri" w:cs="Calibri" w:eastAsia="Calibri" w:hAnsi="Calibri"/>
          <w:b/>
          <w:bCs/>
          <w:sz w:val="24"/>
          <w:szCs w:val="24"/>
        </w:rPr>
        <w:t xml:space="preserve">WHEREAS</w:t>
      </w:r>
      <w:r>
        <w:rPr>
          <w:rFonts w:ascii="Calibri" w:cs="Calibri" w:eastAsia="Calibri" w:hAnsi="Calibri"/>
          <w:color w:val="000000"/>
          <w:sz w:val="24"/>
          <w:szCs w:val="24"/>
        </w:rPr>
        <w:t xml:space="preserve">, the </w:t>
      </w:r>
      <w:r>
        <w:rPr>
          <w:rFonts w:ascii="Calibri" w:cs="Calibri" w:eastAsia="Calibri" w:hAnsi="Calibri"/>
          <w:b/>
          <w:bCs/>
          <w:color w:val="2B4C7E"/>
          <w:sz w:val="24"/>
          <w:szCs w:val="24"/>
          <w:highlight w:val="yellow"/>
          <w:highlightCs w:val="yellow"/>
        </w:rPr>
        <w:t xml:space="preserve">[BOARD OF DIRECTORS/MANAGING MEMBERS]</w:t>
      </w:r>
      <w:r>
        <w:rPr>
          <w:rFonts w:ascii="Calibri" w:cs="Calibri" w:eastAsia="Calibri" w:hAnsi="Calibri"/>
          <w:color w:val="000000"/>
          <w:sz w:val="24"/>
          <w:szCs w:val="24"/>
        </w:rPr>
        <w:t xml:space="preserve"> (the "Board") of the Company has determined that the adoption of this Plan is in the best interests of the Company and its equity holders; and</w:t>
      </w:r>
    </w:p>
    <w:p>
      <w:pPr>
        <w:spacing w:after="160" w:before="0" w:line="276"/>
        <w:jc w:val="both"/>
      </w:pPr>
      <w:r>
        <w:rPr>
          <w:rFonts w:ascii="Calibri" w:cs="Calibri" w:eastAsia="Calibri" w:hAnsi="Calibri"/>
          <w:b/>
          <w:bCs/>
          <w:sz w:val="24"/>
          <w:szCs w:val="24"/>
        </w:rPr>
        <w:t xml:space="preserve">WHEREAS</w:t>
      </w:r>
      <w:r>
        <w:rPr>
          <w:rFonts w:ascii="Calibri" w:cs="Calibri" w:eastAsia="Calibri" w:hAnsi="Calibri"/>
          <w:color w:val="000000"/>
          <w:sz w:val="24"/>
          <w:szCs w:val="24"/>
        </w:rPr>
        <w:t xml:space="preserve">, the Board intends that this Plan and all awards granted hereunder shall comply with, or be exempt from, the requirements of Section 409A of the Internal Revenue Code of 1986, as amended ("Section 409A"), and all regulations and guidance issued thereunder;</w:t>
      </w:r>
    </w:p>
    <w:p>
      <w:pPr>
        <w:spacing w:after="160" w:before="0" w:line="276"/>
        <w:jc w:val="both"/>
      </w:pPr>
      <w:r>
        <w:rPr>
          <w:rFonts w:ascii="Calibri" w:cs="Calibri" w:eastAsia="Calibri" w:hAnsi="Calibri"/>
          <w:b/>
          <w:bCs/>
          <w:sz w:val="24"/>
          <w:szCs w:val="24"/>
        </w:rPr>
        <w:t xml:space="preserve">NOW, THEREFORE</w:t>
      </w:r>
      <w:r>
        <w:rPr>
          <w:rFonts w:ascii="Calibri" w:cs="Calibri" w:eastAsia="Calibri" w:hAnsi="Calibri"/>
          <w:color w:val="000000"/>
          <w:sz w:val="24"/>
          <w:szCs w:val="24"/>
        </w:rPr>
        <w:t xml:space="preserve">, the Company hereby establishes this Phantom Equity Plan (the "Plan"), effective as of </w:t>
      </w:r>
      <w:r>
        <w:rPr>
          <w:rFonts w:ascii="Calibri" w:cs="Calibri" w:eastAsia="Calibri" w:hAnsi="Calibri"/>
          <w:b/>
          <w:bCs/>
          <w:color w:val="2B4C7E"/>
          <w:sz w:val="24"/>
          <w:szCs w:val="24"/>
          <w:highlight w:val="yellow"/>
          <w:highlightCs w:val="yellow"/>
        </w:rPr>
        <w:t xml:space="preserve">[EFFECTIVE DATE]</w:t>
      </w:r>
      <w:r>
        <w:rPr>
          <w:rFonts w:ascii="Calibri" w:cs="Calibri" w:eastAsia="Calibri" w:hAnsi="Calibri"/>
          <w:color w:val="000000"/>
          <w:sz w:val="24"/>
          <w:szCs w:val="24"/>
        </w:rPr>
        <w:t xml:space="preserve"> (the "Effective Date"), upon the following terms and conditions:</w:t>
      </w:r>
    </w:p>
    <w:p>
      <w:r>
        <w:br w:type="page"/>
      </w:r>
    </w:p>
    <w:p>
      <w:pPr>
        <w:pStyle w:val="Heading1"/>
        <w:spacing w:after="200" w:before="360"/>
      </w:pPr>
      <w:r>
        <w:rPr>
          <w:rFonts w:ascii="Calibri" w:cs="Calibri" w:eastAsia="Calibri" w:hAnsi="Calibri"/>
          <w:b/>
          <w:bCs/>
          <w:color w:val="333333"/>
          <w:sz w:val="28"/>
          <w:szCs w:val="28"/>
        </w:rPr>
        <w:t xml:space="preserve">ARTICLE I: PURPOSE, SCOPE, AND EFFECTIVE DATE</w:t>
      </w:r>
    </w:p>
    <w:p>
      <w:pPr>
        <w:pStyle w:val="Heading3"/>
        <w:spacing w:after="120" w:before="240"/>
      </w:pPr>
      <w:r>
        <w:rPr>
          <w:rFonts w:ascii="Calibri" w:cs="Calibri" w:eastAsia="Calibri" w:hAnsi="Calibri"/>
          <w:b/>
          <w:bCs/>
          <w:color w:val="333333"/>
          <w:sz w:val="24"/>
          <w:szCs w:val="24"/>
        </w:rPr>
        <w:t xml:space="preserve">Section 1.1  Purpose</w:t>
      </w:r>
    </w:p>
    <w:p>
      <w:pPr>
        <w:spacing w:after="160" w:before="0" w:line="276"/>
        <w:jc w:val="both"/>
      </w:pPr>
      <w:r>
        <w:rPr>
          <w:rFonts w:ascii="Calibri" w:cs="Calibri" w:eastAsia="Calibri" w:hAnsi="Calibri"/>
          <w:color w:val="000000"/>
          <w:sz w:val="24"/>
          <w:szCs w:val="24"/>
        </w:rPr>
        <w:t xml:space="preserve">The purpose of this Phantom Equity Plan (the "Plan") is to promote the long-term growth and profitability of </w:t>
      </w:r>
      <w:r>
        <w:rPr>
          <w:rFonts w:ascii="Calibri" w:cs="Calibri" w:eastAsia="Calibri" w:hAnsi="Calibri"/>
          <w:b/>
          <w:bCs/>
          <w:color w:val="2B4C7E"/>
          <w:sz w:val="24"/>
          <w:szCs w:val="24"/>
          <w:highlight w:val="yellow"/>
          <w:highlightCs w:val="yellow"/>
        </w:rPr>
        <w:t xml:space="preserve">[COMPANY NAME]</w:t>
      </w:r>
      <w:r>
        <w:rPr>
          <w:rFonts w:ascii="Calibri" w:cs="Calibri" w:eastAsia="Calibri" w:hAnsi="Calibri"/>
          <w:color w:val="000000"/>
          <w:sz w:val="24"/>
          <w:szCs w:val="24"/>
        </w:rPr>
        <w:t xml:space="preserve"> (the "Company") and its Affiliates by: (a) attracting and retaining talented employees, consultants, advisors, and other service providers; (b) motivating Participants by providing incentive compensation opportunities that are linked to the growth in value of the Company; (c) aligning the economic interests of Participants with those of the Company's equity holders; and (d) providing Participants with cash-settled rights that track the value of the Company's equity without requiring the issuance of actual equity interests in the Company.</w:t>
      </w:r>
    </w:p>
    <w:p>
      <w:pPr>
        <w:pStyle w:val="Heading3"/>
        <w:spacing w:after="120" w:before="240"/>
      </w:pPr>
      <w:r>
        <w:rPr>
          <w:rFonts w:ascii="Calibri" w:cs="Calibri" w:eastAsia="Calibri" w:hAnsi="Calibri"/>
          <w:b/>
          <w:bCs/>
          <w:color w:val="333333"/>
          <w:sz w:val="24"/>
          <w:szCs w:val="24"/>
        </w:rPr>
        <w:t xml:space="preserve">Section 1.2  Scope</w:t>
      </w:r>
    </w:p>
    <w:p>
      <w:pPr>
        <w:spacing w:after="160" w:before="0" w:line="276"/>
        <w:jc w:val="both"/>
      </w:pPr>
      <w:r>
        <w:rPr>
          <w:rFonts w:ascii="Calibri" w:cs="Calibri" w:eastAsia="Calibri" w:hAnsi="Calibri"/>
          <w:color w:val="000000"/>
          <w:sz w:val="24"/>
          <w:szCs w:val="24"/>
        </w:rPr>
        <w:t xml:space="preserve">This Plan provides for the grant of Phantom Units to eligible Service Providers of the Company and its Affiliates. Phantom Units granted under this Plan are contractual rights to receive cash payments based on the value or appreciation in value of a hypothetical equity interest in the Company. No actual equity, membership interests, stock, or other ownership interests in the Company shall be issued or transferred under this Plan. The Plan shall be unfunded and shall constitute a mere promise by the Company to make cash payments in the future, subject to the terms and conditions set forth herein.</w:t>
      </w:r>
    </w:p>
    <w:p>
      <w:pPr>
        <w:pStyle w:val="Heading3"/>
        <w:spacing w:after="120" w:before="240"/>
      </w:pPr>
      <w:r>
        <w:rPr>
          <w:rFonts w:ascii="Calibri" w:cs="Calibri" w:eastAsia="Calibri" w:hAnsi="Calibri"/>
          <w:b/>
          <w:bCs/>
          <w:color w:val="333333"/>
          <w:sz w:val="24"/>
          <w:szCs w:val="24"/>
        </w:rPr>
        <w:t xml:space="preserve">Section 1.3  Effective Date and Plan Term</w:t>
      </w:r>
    </w:p>
    <w:p>
      <w:pPr>
        <w:spacing w:after="160" w:before="0" w:line="276"/>
        <w:jc w:val="both"/>
      </w:pPr>
      <w:r>
        <w:rPr>
          <w:rFonts w:ascii="Calibri" w:cs="Calibri" w:eastAsia="Calibri" w:hAnsi="Calibri"/>
          <w:color w:val="000000"/>
          <w:sz w:val="24"/>
          <w:szCs w:val="24"/>
        </w:rPr>
        <w:t xml:space="preserve">This Plan shall become effective as of </w:t>
      </w:r>
      <w:r>
        <w:rPr>
          <w:rFonts w:ascii="Calibri" w:cs="Calibri" w:eastAsia="Calibri" w:hAnsi="Calibri"/>
          <w:b/>
          <w:bCs/>
          <w:color w:val="2B4C7E"/>
          <w:sz w:val="24"/>
          <w:szCs w:val="24"/>
          <w:highlight w:val="yellow"/>
          <w:highlightCs w:val="yellow"/>
        </w:rPr>
        <w:t xml:space="preserve">[EFFECTIVE DATE]</w:t>
      </w:r>
      <w:r>
        <w:rPr>
          <w:rFonts w:ascii="Calibri" w:cs="Calibri" w:eastAsia="Calibri" w:hAnsi="Calibri"/>
          <w:color w:val="000000"/>
          <w:sz w:val="24"/>
          <w:szCs w:val="24"/>
        </w:rPr>
        <w:t xml:space="preserve"> (the "Effective Date"), the date on which it is adopted by the </w:t>
      </w:r>
      <w:r>
        <w:rPr>
          <w:rFonts w:ascii="Calibri" w:cs="Calibri" w:eastAsia="Calibri" w:hAnsi="Calibri"/>
          <w:b/>
          <w:bCs/>
          <w:color w:val="2B4C7E"/>
          <w:sz w:val="24"/>
          <w:szCs w:val="24"/>
          <w:highlight w:val="yellow"/>
          <w:highlightCs w:val="yellow"/>
        </w:rPr>
        <w:t xml:space="preserve">[BOARD OF DIRECTORS/MANAGING MEMBERS]</w:t>
      </w:r>
      <w:r>
        <w:rPr>
          <w:rFonts w:ascii="Calibri" w:cs="Calibri" w:eastAsia="Calibri" w:hAnsi="Calibri"/>
          <w:color w:val="000000"/>
          <w:sz w:val="24"/>
          <w:szCs w:val="24"/>
        </w:rPr>
        <w:t xml:space="preserve"> of the Company. Unless earlier terminated by the Board pursuant to Article XIV, this Plan shall remain in effect for a period of </w:t>
      </w:r>
      <w:r>
        <w:rPr>
          <w:rFonts w:ascii="Calibri" w:cs="Calibri" w:eastAsia="Calibri" w:hAnsi="Calibri"/>
          <w:b/>
          <w:bCs/>
          <w:color w:val="2B4C7E"/>
          <w:sz w:val="24"/>
          <w:szCs w:val="24"/>
          <w:highlight w:val="yellow"/>
          <w:highlightCs w:val="yellow"/>
        </w:rPr>
        <w:t xml:space="preserve">[PLAN TERM, E.G., TEN (10)]</w:t>
      </w:r>
      <w:r>
        <w:rPr>
          <w:rFonts w:ascii="Calibri" w:cs="Calibri" w:eastAsia="Calibri" w:hAnsi="Calibri"/>
          <w:color w:val="000000"/>
          <w:sz w:val="24"/>
          <w:szCs w:val="24"/>
        </w:rPr>
        <w:t xml:space="preserve"> years from the Effective Date (the "Expiration Date"). No new Phantom Units may be granted under this Plan after the Expiration Date; provided, however, that Phantom Units outstanding as of the Expiration Date shall continue to be governed by the terms of this Plan and the applicable Award Agreements.</w:t>
      </w:r>
    </w:p>
    <w:p>
      <w:pPr>
        <w:pStyle w:val="Heading3"/>
        <w:spacing w:after="120" w:before="240"/>
      </w:pPr>
      <w:r>
        <w:rPr>
          <w:rFonts w:ascii="Calibri" w:cs="Calibri" w:eastAsia="Calibri" w:hAnsi="Calibri"/>
          <w:b/>
          <w:bCs/>
          <w:color w:val="333333"/>
          <w:sz w:val="24"/>
          <w:szCs w:val="24"/>
        </w:rPr>
        <w:t xml:space="preserve">Section 1.4  Board Authority</w:t>
      </w:r>
    </w:p>
    <w:p>
      <w:pPr>
        <w:spacing w:after="160" w:before="0" w:line="276"/>
        <w:jc w:val="both"/>
      </w:pPr>
      <w:r>
        <w:rPr>
          <w:rFonts w:ascii="Calibri" w:cs="Calibri" w:eastAsia="Calibri" w:hAnsi="Calibri"/>
          <w:color w:val="000000"/>
          <w:sz w:val="24"/>
          <w:szCs w:val="24"/>
        </w:rPr>
        <w:t xml:space="preserve">The Board, or such committee as the Board may designate pursuant to Article III (the "Committee"), shall have full and exclusive authority to administer and interpret this Plan, to select Participants, to determine the number and terms of Phantom Units to be granted, and to make all determinations and take all actions necessary or advisable for the administration of this Plan, in each case subject to the terms and conditions set forth herein.</w:t>
      </w:r>
    </w:p>
    <w:p>
      <w:r>
        <w:br w:type="page"/>
      </w:r>
    </w:p>
    <w:p>
      <w:pPr>
        <w:pStyle w:val="Heading1"/>
        <w:spacing w:after="200" w:before="360"/>
      </w:pPr>
      <w:r>
        <w:rPr>
          <w:rFonts w:ascii="Calibri" w:cs="Calibri" w:eastAsia="Calibri" w:hAnsi="Calibri"/>
          <w:b/>
          <w:bCs/>
          <w:color w:val="333333"/>
          <w:sz w:val="28"/>
          <w:szCs w:val="28"/>
        </w:rPr>
        <w:t xml:space="preserve">ARTICLE II: DEFINITIONS</w:t>
      </w:r>
    </w:p>
    <w:p>
      <w:pPr>
        <w:spacing w:after="160" w:before="0" w:line="276"/>
        <w:jc w:val="both"/>
      </w:pPr>
      <w:r>
        <w:rPr>
          <w:rFonts w:ascii="Calibri" w:cs="Calibri" w:eastAsia="Calibri" w:hAnsi="Calibri"/>
          <w:color w:val="000000"/>
          <w:sz w:val="24"/>
          <w:szCs w:val="24"/>
        </w:rPr>
        <w:t xml:space="preserve">As used in this Plan, the following terms shall have the meanings set forth below. Capitalized terms not defined in this Article II shall have the meanings assigned to them elsewhere in this Plan or in the applicable Award Agreement.</w:t>
      </w:r>
    </w:p>
    <w:p>
      <w:pPr>
        <w:spacing w:after="160" w:before="0" w:line="276"/>
        <w:jc w:val="both"/>
      </w:pPr>
      <w:r>
        <w:rPr>
          <w:rFonts w:ascii="Calibri" w:cs="Calibri" w:eastAsia="Calibri" w:hAnsi="Calibri"/>
          <w:b/>
          <w:bCs/>
          <w:sz w:val="24"/>
          <w:szCs w:val="24"/>
        </w:rPr>
        <w:t xml:space="preserve">"Affiliate"</w:t>
      </w:r>
      <w:r>
        <w:rPr>
          <w:rFonts w:ascii="Calibri" w:cs="Calibri" w:eastAsia="Calibri" w:hAnsi="Calibri"/>
          <w:color w:val="000000"/>
          <w:sz w:val="24"/>
          <w:szCs w:val="24"/>
        </w:rPr>
        <w:t xml:space="preserve"> means any entity that directly or indirectly, through one or more intermediaries, controls, is controlled by, or is under common control with, the Company. For purposes of this definition, "control" means the possession, directly or indirectly, of the power to direct or cause the direction of the management and policies of an entity, whether through the ownership of voting securities, by contract, or otherwise.</w:t>
      </w:r>
    </w:p>
    <w:p>
      <w:pPr>
        <w:spacing w:after="160" w:before="0" w:line="276"/>
        <w:jc w:val="both"/>
      </w:pPr>
      <w:r>
        <w:rPr>
          <w:rFonts w:ascii="Calibri" w:cs="Calibri" w:eastAsia="Calibri" w:hAnsi="Calibri"/>
          <w:b/>
          <w:bCs/>
          <w:sz w:val="24"/>
          <w:szCs w:val="24"/>
        </w:rPr>
        <w:t xml:space="preserve">"Appreciation Rights"</w:t>
      </w:r>
      <w:r>
        <w:rPr>
          <w:rFonts w:ascii="Calibri" w:cs="Calibri" w:eastAsia="Calibri" w:hAnsi="Calibri"/>
          <w:color w:val="000000"/>
          <w:sz w:val="24"/>
          <w:szCs w:val="24"/>
        </w:rPr>
        <w:t xml:space="preserve"> means a form of Phantom Unit under which a Participant is entitled to receive a cash payment equal to the excess, if any, of the Fair Market Value of a notional equity unit of the Company on the Settlement Date over the Base Value assigned to such Phantom Unit on the Grant Date. Appreciation Rights are analogous to stock appreciation rights (SARs) in the public company context.</w:t>
      </w:r>
    </w:p>
    <w:p>
      <w:pPr>
        <w:spacing w:after="160" w:before="0" w:line="276"/>
        <w:jc w:val="both"/>
      </w:pPr>
      <w:r>
        <w:rPr>
          <w:rFonts w:ascii="Calibri" w:cs="Calibri" w:eastAsia="Calibri" w:hAnsi="Calibri"/>
          <w:b/>
          <w:bCs/>
          <w:sz w:val="24"/>
          <w:szCs w:val="24"/>
        </w:rPr>
        <w:t xml:space="preserve">"Award Agreement"</w:t>
      </w:r>
      <w:r>
        <w:rPr>
          <w:rFonts w:ascii="Calibri" w:cs="Calibri" w:eastAsia="Calibri" w:hAnsi="Calibri"/>
          <w:color w:val="000000"/>
          <w:sz w:val="24"/>
          <w:szCs w:val="24"/>
        </w:rPr>
        <w:t xml:space="preserve"> means the written or electronic agreement between the Company and a Participant evidencing the grant of Phantom Units under this Plan, which shall set forth the specific terms and conditions applicable to such grant, including the number of Phantom Units, the Base Value (if applicable), the Vesting Schedule, and the settlement terms.</w:t>
      </w:r>
    </w:p>
    <w:p>
      <w:pPr>
        <w:spacing w:after="160" w:before="0" w:line="276"/>
        <w:jc w:val="both"/>
      </w:pPr>
      <w:r>
        <w:rPr>
          <w:rFonts w:ascii="Calibri" w:cs="Calibri" w:eastAsia="Calibri" w:hAnsi="Calibri"/>
          <w:b/>
          <w:bCs/>
          <w:sz w:val="24"/>
          <w:szCs w:val="24"/>
        </w:rPr>
        <w:t xml:space="preserve">"Base Value"</w:t>
      </w:r>
      <w:r>
        <w:rPr>
          <w:rFonts w:ascii="Calibri" w:cs="Calibri" w:eastAsia="Calibri" w:hAnsi="Calibri"/>
          <w:color w:val="000000"/>
          <w:sz w:val="24"/>
          <w:szCs w:val="24"/>
        </w:rPr>
        <w:t xml:space="preserve"> means with respect to each Phantom Unit designated as an Appreciation Right, the per-unit value assigned as of the Grant Date, as determined by the Committee in its sole discretion based upon the Fair Market Value of a notional equity unit of the Company on the Grant Date, or such other value as the Committee may determine. The Base Value shall be set forth in the Award Agreement.</w:t>
      </w:r>
    </w:p>
    <w:p>
      <w:pPr>
        <w:spacing w:after="160" w:before="0" w:line="276"/>
        <w:jc w:val="both"/>
      </w:pPr>
      <w:r>
        <w:rPr>
          <w:rFonts w:ascii="Calibri" w:cs="Calibri" w:eastAsia="Calibri" w:hAnsi="Calibri"/>
          <w:b/>
          <w:bCs/>
          <w:sz w:val="24"/>
          <w:szCs w:val="24"/>
        </w:rPr>
        <w:t xml:space="preserve">"Board"</w:t>
      </w:r>
      <w:r>
        <w:rPr>
          <w:rFonts w:ascii="Calibri" w:cs="Calibri" w:eastAsia="Calibri" w:hAnsi="Calibri"/>
          <w:color w:val="000000"/>
          <w:sz w:val="24"/>
          <w:szCs w:val="24"/>
        </w:rPr>
        <w:t xml:space="preserve"> means the Board of Directors of the Company (if the Company is a corporation) or the Managing Members, Managers, or equivalent governing body of the Company (if the Company is a limited liability company or other entity), as applicable.</w:t>
      </w:r>
    </w:p>
    <w:p>
      <w:pPr>
        <w:spacing w:after="160" w:before="0" w:line="276"/>
        <w:jc w:val="both"/>
      </w:pPr>
      <w:r>
        <w:rPr>
          <w:rFonts w:ascii="Calibri" w:cs="Calibri" w:eastAsia="Calibri" w:hAnsi="Calibri"/>
          <w:b/>
          <w:bCs/>
          <w:sz w:val="24"/>
          <w:szCs w:val="24"/>
        </w:rPr>
        <w:t xml:space="preserve">"Cause"</w:t>
      </w:r>
      <w:r>
        <w:rPr>
          <w:rFonts w:ascii="Calibri" w:cs="Calibri" w:eastAsia="Calibri" w:hAnsi="Calibri"/>
          <w:color w:val="000000"/>
          <w:sz w:val="24"/>
          <w:szCs w:val="24"/>
        </w:rPr>
        <w:t xml:space="preserve"> means shall have the meaning set forth in the Participant's Award Agreement, employment agreement, or other written agreement with the Company. In the absence of such definition, "Cause" means: (a) the Participant's conviction of, or plea of guilty or nolo contendere to, a felony or crime involving moral turpitude; (b) the Participant's willful misconduct or gross negligence in the performance of duties; (c) the Participant's material breach of any written agreement with the Company or any material Company policy; (d) the Participant's fraud, embezzlement, or misappropriation of Company assets; (e) the Participant's willful refusal to perform assigned duties after written notice and a reasonable opportunity to cure (if curable); or (f) the Participant's breach of any restrictive covenant obligation to the Company.</w:t>
      </w:r>
    </w:p>
    <w:p>
      <w:pPr>
        <w:spacing w:after="160" w:before="0" w:line="276"/>
        <w:jc w:val="both"/>
      </w:pPr>
      <w:r>
        <w:rPr>
          <w:rFonts w:ascii="Calibri" w:cs="Calibri" w:eastAsia="Calibri" w:hAnsi="Calibri"/>
          <w:b/>
          <w:bCs/>
          <w:sz w:val="24"/>
          <w:szCs w:val="24"/>
        </w:rPr>
        <w:t xml:space="preserve">"Change of Control"</w:t>
      </w:r>
      <w:r>
        <w:rPr>
          <w:rFonts w:ascii="Calibri" w:cs="Calibri" w:eastAsia="Calibri" w:hAnsi="Calibri"/>
          <w:color w:val="000000"/>
          <w:sz w:val="24"/>
          <w:szCs w:val="24"/>
        </w:rPr>
        <w:t xml:space="preserve"> means shall have the meaning set forth in Article VIII of this Plan.</w:t>
      </w:r>
    </w:p>
    <w:p>
      <w:pPr>
        <w:spacing w:after="160" w:before="0" w:line="276"/>
        <w:jc w:val="both"/>
      </w:pPr>
      <w:r>
        <w:rPr>
          <w:rFonts w:ascii="Calibri" w:cs="Calibri" w:eastAsia="Calibri" w:hAnsi="Calibri"/>
          <w:b/>
          <w:bCs/>
          <w:sz w:val="24"/>
          <w:szCs w:val="24"/>
        </w:rPr>
        <w:t xml:space="preserve">"Code"</w:t>
      </w:r>
      <w:r>
        <w:rPr>
          <w:rFonts w:ascii="Calibri" w:cs="Calibri" w:eastAsia="Calibri" w:hAnsi="Calibri"/>
          <w:color w:val="000000"/>
          <w:sz w:val="24"/>
          <w:szCs w:val="24"/>
        </w:rPr>
        <w:t xml:space="preserve"> means the Internal Revenue Code of 1986, as amended from time to time, and any successor statute. References to any section of the Code shall include any regulations and guidance promulgated thereunder.</w:t>
      </w:r>
    </w:p>
    <w:p>
      <w:pPr>
        <w:spacing w:after="160" w:before="0" w:line="276"/>
        <w:jc w:val="both"/>
      </w:pPr>
      <w:r>
        <w:rPr>
          <w:rFonts w:ascii="Calibri" w:cs="Calibri" w:eastAsia="Calibri" w:hAnsi="Calibri"/>
          <w:b/>
          <w:bCs/>
          <w:sz w:val="24"/>
          <w:szCs w:val="24"/>
        </w:rPr>
        <w:t xml:space="preserve">"Committee"</w:t>
      </w:r>
      <w:r>
        <w:rPr>
          <w:rFonts w:ascii="Calibri" w:cs="Calibri" w:eastAsia="Calibri" w:hAnsi="Calibri"/>
          <w:color w:val="000000"/>
          <w:sz w:val="24"/>
          <w:szCs w:val="24"/>
        </w:rPr>
        <w:t xml:space="preserve"> means the committee of the Board appointed to administer this Plan in accordance with Article III, or the Board itself if no such committee has been appointed. If the Company is a limited liability company, the Committee may be the Managers, a designated committee of Managers, or such other persons as the operating agreement may authorize.</w:t>
      </w:r>
    </w:p>
    <w:p>
      <w:pPr>
        <w:spacing w:after="160" w:before="0" w:line="276"/>
        <w:jc w:val="both"/>
      </w:pPr>
      <w:r>
        <w:rPr>
          <w:rFonts w:ascii="Calibri" w:cs="Calibri" w:eastAsia="Calibri" w:hAnsi="Calibri"/>
          <w:b/>
          <w:bCs/>
          <w:sz w:val="24"/>
          <w:szCs w:val="24"/>
        </w:rPr>
        <w:t xml:space="preserve">"Disability"</w:t>
      </w:r>
      <w:r>
        <w:rPr>
          <w:rFonts w:ascii="Calibri" w:cs="Calibri" w:eastAsia="Calibri" w:hAnsi="Calibri"/>
          <w:color w:val="000000"/>
          <w:sz w:val="24"/>
          <w:szCs w:val="24"/>
        </w:rPr>
        <w:t xml:space="preserve"> means a condition whereby the Participant is unable to engage in any substantial gainful activity by reason of any medically determinable physical or mental impairment that can be expected to result in death or can be expected to last for a continuous period of not less than twelve (12) months, as determined by the Committee in its sole discretion based upon medical evidence satisfactory to the Committee. To the extent required for compliance with Section 409A, Disability shall have the meaning set forth in Treasury Regulation Section 1.409A-3(i)(4).</w:t>
      </w:r>
    </w:p>
    <w:p>
      <w:pPr>
        <w:spacing w:after="160" w:before="0" w:line="276"/>
        <w:jc w:val="both"/>
      </w:pPr>
      <w:r>
        <w:rPr>
          <w:rFonts w:ascii="Calibri" w:cs="Calibri" w:eastAsia="Calibri" w:hAnsi="Calibri"/>
          <w:b/>
          <w:bCs/>
          <w:sz w:val="24"/>
          <w:szCs w:val="24"/>
        </w:rPr>
        <w:t xml:space="preserve">"Fair Market Value"</w:t>
      </w:r>
      <w:r>
        <w:rPr>
          <w:rFonts w:ascii="Calibri" w:cs="Calibri" w:eastAsia="Calibri" w:hAnsi="Calibri"/>
          <w:color w:val="000000"/>
          <w:sz w:val="24"/>
          <w:szCs w:val="24"/>
        </w:rPr>
        <w:t xml:space="preserve"> means the fair market value of a notional equity unit of the Company, as determined by the Committee in good faith in accordance with Article XI (Valuation). The Committee may rely upon an independent appraisal, a formula-based approach, or such other reasonable valuation methodology as it deems appropriate, subject to compliance with Section 409A.</w:t>
      </w:r>
    </w:p>
    <w:p>
      <w:pPr>
        <w:spacing w:after="160" w:before="0" w:line="276"/>
        <w:jc w:val="both"/>
      </w:pPr>
      <w:r>
        <w:rPr>
          <w:rFonts w:ascii="Calibri" w:cs="Calibri" w:eastAsia="Calibri" w:hAnsi="Calibri"/>
          <w:b/>
          <w:bCs/>
          <w:sz w:val="24"/>
          <w:szCs w:val="24"/>
        </w:rPr>
        <w:t xml:space="preserve">"Good Reason"</w:t>
      </w:r>
      <w:r>
        <w:rPr>
          <w:rFonts w:ascii="Calibri" w:cs="Calibri" w:eastAsia="Calibri" w:hAnsi="Calibri"/>
          <w:color w:val="000000"/>
          <w:sz w:val="24"/>
          <w:szCs w:val="24"/>
        </w:rPr>
        <w:t xml:space="preserve"> means, unless otherwise defined in the Participant's Award Agreement or employment agreement, without the Participant's prior written consent: (a) a material diminution in the Participant's base compensation; (b) a material diminution in the Participant's authority, duties, or responsibilities; (c) a relocation of the Participant's principal place of employment by more than </w:t>
      </w:r>
      <w:r>
        <w:rPr>
          <w:rFonts w:ascii="Calibri" w:cs="Calibri" w:eastAsia="Calibri" w:hAnsi="Calibri"/>
          <w:b/>
          <w:bCs/>
          <w:color w:val="2B4C7E"/>
          <w:sz w:val="24"/>
          <w:szCs w:val="24"/>
          <w:highlight w:val="yellow"/>
          <w:highlightCs w:val="yellow"/>
        </w:rPr>
        <w:t xml:space="preserve">[MILES, E.G., FIFTY (50)]</w:t>
      </w:r>
      <w:r>
        <w:rPr>
          <w:rFonts w:ascii="Calibri" w:cs="Calibri" w:eastAsia="Calibri" w:hAnsi="Calibri"/>
          <w:color w:val="000000"/>
          <w:sz w:val="24"/>
          <w:szCs w:val="24"/>
        </w:rPr>
        <w:t xml:space="preserve"> miles; or (d) any other action or inaction that constitutes a material breach by the Company of the Award Agreement or any employment agreement. The Participant must provide written notice to the Company within </w:t>
      </w:r>
      <w:r>
        <w:rPr>
          <w:rFonts w:ascii="Calibri" w:cs="Calibri" w:eastAsia="Calibri" w:hAnsi="Calibri"/>
          <w:b/>
          <w:bCs/>
          <w:color w:val="2B4C7E"/>
          <w:sz w:val="24"/>
          <w:szCs w:val="24"/>
          <w:highlight w:val="yellow"/>
          <w:highlightCs w:val="yellow"/>
        </w:rPr>
        <w:t xml:space="preserve">[DAYS, E.G., THIRTY (30)]</w:t>
      </w:r>
      <w:r>
        <w:rPr>
          <w:rFonts w:ascii="Calibri" w:cs="Calibri" w:eastAsia="Calibri" w:hAnsi="Calibri"/>
          <w:color w:val="000000"/>
          <w:sz w:val="24"/>
          <w:szCs w:val="24"/>
        </w:rPr>
        <w:t xml:space="preserve"> days of the initial occurrence of the Good Reason event, and the Company shall have </w:t>
      </w:r>
      <w:r>
        <w:rPr>
          <w:rFonts w:ascii="Calibri" w:cs="Calibri" w:eastAsia="Calibri" w:hAnsi="Calibri"/>
          <w:b/>
          <w:bCs/>
          <w:color w:val="2B4C7E"/>
          <w:sz w:val="24"/>
          <w:szCs w:val="24"/>
          <w:highlight w:val="yellow"/>
          <w:highlightCs w:val="yellow"/>
        </w:rPr>
        <w:t xml:space="preserve">[DAYS, E.G., THIRTY (30)]</w:t>
      </w:r>
      <w:r>
        <w:rPr>
          <w:rFonts w:ascii="Calibri" w:cs="Calibri" w:eastAsia="Calibri" w:hAnsi="Calibri"/>
          <w:color w:val="000000"/>
          <w:sz w:val="24"/>
          <w:szCs w:val="24"/>
        </w:rPr>
        <w:t xml:space="preserve"> days to cure.</w:t>
      </w:r>
    </w:p>
    <w:p>
      <w:pPr>
        <w:spacing w:after="160" w:before="0" w:line="276"/>
        <w:jc w:val="both"/>
      </w:pPr>
      <w:r>
        <w:rPr>
          <w:rFonts w:ascii="Calibri" w:cs="Calibri" w:eastAsia="Calibri" w:hAnsi="Calibri"/>
          <w:b/>
          <w:bCs/>
          <w:sz w:val="24"/>
          <w:szCs w:val="24"/>
        </w:rPr>
        <w:t xml:space="preserve">"Grant Date"</w:t>
      </w:r>
      <w:r>
        <w:rPr>
          <w:rFonts w:ascii="Calibri" w:cs="Calibri" w:eastAsia="Calibri" w:hAnsi="Calibri"/>
          <w:color w:val="000000"/>
          <w:sz w:val="24"/>
          <w:szCs w:val="24"/>
        </w:rPr>
        <w:t xml:space="preserve"> means the date on which the Committee approves the grant of Phantom Units to a Participant, or such later date as may be specified by the Committee in its approval.</w:t>
      </w:r>
    </w:p>
    <w:p>
      <w:pPr>
        <w:spacing w:after="160" w:before="0" w:line="276"/>
        <w:jc w:val="both"/>
      </w:pPr>
      <w:r>
        <w:rPr>
          <w:rFonts w:ascii="Calibri" w:cs="Calibri" w:eastAsia="Calibri" w:hAnsi="Calibri"/>
          <w:b/>
          <w:bCs/>
          <w:sz w:val="24"/>
          <w:szCs w:val="24"/>
        </w:rPr>
        <w:t xml:space="preserve">"Participant"</w:t>
      </w:r>
      <w:r>
        <w:rPr>
          <w:rFonts w:ascii="Calibri" w:cs="Calibri" w:eastAsia="Calibri" w:hAnsi="Calibri"/>
          <w:color w:val="000000"/>
          <w:sz w:val="24"/>
          <w:szCs w:val="24"/>
        </w:rPr>
        <w:t xml:space="preserve"> means any Service Provider who has been selected by the Committee to receive a grant of Phantom Units under this Plan and who has entered into an Award Agreement with the Company.</w:t>
      </w:r>
    </w:p>
    <w:p>
      <w:pPr>
        <w:spacing w:after="160" w:before="0" w:line="276"/>
        <w:jc w:val="both"/>
      </w:pPr>
      <w:r>
        <w:rPr>
          <w:rFonts w:ascii="Calibri" w:cs="Calibri" w:eastAsia="Calibri" w:hAnsi="Calibri"/>
          <w:b/>
          <w:bCs/>
          <w:sz w:val="24"/>
          <w:szCs w:val="24"/>
        </w:rPr>
        <w:t xml:space="preserve">"Performance Goals"</w:t>
      </w:r>
      <w:r>
        <w:rPr>
          <w:rFonts w:ascii="Calibri" w:cs="Calibri" w:eastAsia="Calibri" w:hAnsi="Calibri"/>
          <w:color w:val="000000"/>
          <w:sz w:val="24"/>
          <w:szCs w:val="24"/>
        </w:rPr>
        <w:t xml:space="preserve"> means one or more objective or subjective performance criteria established by the Committee with respect to a grant of Phantom Units, the achievement of which shall determine, in whole or in part, the vesting of such Phantom Units. Performance Goals may be based on any criteria the Committee deems appropriate, including but not limited to: revenue, EBITDA, net income, cash flow, return on equity, customer acquisition, product milestones, or any combination thereof.</w:t>
      </w:r>
    </w:p>
    <w:p>
      <w:pPr>
        <w:spacing w:after="160" w:before="0" w:line="276"/>
        <w:jc w:val="both"/>
      </w:pPr>
      <w:r>
        <w:rPr>
          <w:rFonts w:ascii="Calibri" w:cs="Calibri" w:eastAsia="Calibri" w:hAnsi="Calibri"/>
          <w:b/>
          <w:bCs/>
          <w:sz w:val="24"/>
          <w:szCs w:val="24"/>
        </w:rPr>
        <w:t xml:space="preserve">"Phantom Units"</w:t>
      </w:r>
      <w:r>
        <w:rPr>
          <w:rFonts w:ascii="Calibri" w:cs="Calibri" w:eastAsia="Calibri" w:hAnsi="Calibri"/>
          <w:color w:val="000000"/>
          <w:sz w:val="24"/>
          <w:szCs w:val="24"/>
        </w:rPr>
        <w:t xml:space="preserve"> means notional units granted to a Participant under this Plan, each of which represents the right to receive a cash payment determined by reference to the Fair Market Value of a hypothetical equity interest in the Company, subject to the terms and conditions of this Plan and the applicable Award Agreement. Phantom Units may be designated as Full Value Units or Appreciation Rights.</w:t>
      </w:r>
    </w:p>
    <w:p>
      <w:pPr>
        <w:spacing w:after="160" w:before="0" w:line="276"/>
        <w:jc w:val="both"/>
      </w:pPr>
      <w:r>
        <w:rPr>
          <w:rFonts w:ascii="Calibri" w:cs="Calibri" w:eastAsia="Calibri" w:hAnsi="Calibri"/>
          <w:b/>
          <w:bCs/>
          <w:sz w:val="24"/>
          <w:szCs w:val="24"/>
        </w:rPr>
        <w:t xml:space="preserve">"Plan Year"</w:t>
      </w:r>
      <w:r>
        <w:rPr>
          <w:rFonts w:ascii="Calibri" w:cs="Calibri" w:eastAsia="Calibri" w:hAnsi="Calibri"/>
          <w:color w:val="000000"/>
          <w:sz w:val="24"/>
          <w:szCs w:val="24"/>
        </w:rPr>
        <w:t xml:space="preserve"> means the twelve (12)-month period commencing on </w:t>
      </w:r>
      <w:r>
        <w:rPr>
          <w:rFonts w:ascii="Calibri" w:cs="Calibri" w:eastAsia="Calibri" w:hAnsi="Calibri"/>
          <w:b/>
          <w:bCs/>
          <w:color w:val="2B4C7E"/>
          <w:sz w:val="24"/>
          <w:szCs w:val="24"/>
          <w:highlight w:val="yellow"/>
          <w:highlightCs w:val="yellow"/>
        </w:rPr>
        <w:t xml:space="preserve">[MONTH AND DAY, E.G., JANUARY 1]</w:t>
      </w:r>
      <w:r>
        <w:rPr>
          <w:rFonts w:ascii="Calibri" w:cs="Calibri" w:eastAsia="Calibri" w:hAnsi="Calibri"/>
          <w:color w:val="000000"/>
          <w:sz w:val="24"/>
          <w:szCs w:val="24"/>
        </w:rPr>
        <w:t xml:space="preserve"> of each calendar year and ending on </w:t>
      </w:r>
      <w:r>
        <w:rPr>
          <w:rFonts w:ascii="Calibri" w:cs="Calibri" w:eastAsia="Calibri" w:hAnsi="Calibri"/>
          <w:b/>
          <w:bCs/>
          <w:color w:val="2B4C7E"/>
          <w:sz w:val="24"/>
          <w:szCs w:val="24"/>
          <w:highlight w:val="yellow"/>
          <w:highlightCs w:val="yellow"/>
        </w:rPr>
        <w:t xml:space="preserve">[MONTH AND DAY, E.G., DECEMBER 31]</w:t>
      </w:r>
      <w:r>
        <w:rPr>
          <w:rFonts w:ascii="Calibri" w:cs="Calibri" w:eastAsia="Calibri" w:hAnsi="Calibri"/>
          <w:color w:val="000000"/>
          <w:sz w:val="24"/>
          <w:szCs w:val="24"/>
        </w:rPr>
        <w:t xml:space="preserve"> of such calendar year, or such other twelve-month period as may be designated by the Board.</w:t>
      </w:r>
    </w:p>
    <w:p>
      <w:pPr>
        <w:spacing w:after="160" w:before="0" w:line="276"/>
        <w:jc w:val="both"/>
      </w:pPr>
      <w:r>
        <w:rPr>
          <w:rFonts w:ascii="Calibri" w:cs="Calibri" w:eastAsia="Calibri" w:hAnsi="Calibri"/>
          <w:b/>
          <w:bCs/>
          <w:sz w:val="24"/>
          <w:szCs w:val="24"/>
        </w:rPr>
        <w:t xml:space="preserve">"Section 409A"</w:t>
      </w:r>
      <w:r>
        <w:rPr>
          <w:rFonts w:ascii="Calibri" w:cs="Calibri" w:eastAsia="Calibri" w:hAnsi="Calibri"/>
          <w:color w:val="000000"/>
          <w:sz w:val="24"/>
          <w:szCs w:val="24"/>
        </w:rPr>
        <w:t xml:space="preserve"> means Section 409A of the Code, together with all Treasury Regulations and other official guidance issued thereunder.</w:t>
      </w:r>
    </w:p>
    <w:p>
      <w:pPr>
        <w:spacing w:after="160" w:before="0" w:line="276"/>
        <w:jc w:val="both"/>
      </w:pPr>
      <w:r>
        <w:rPr>
          <w:rFonts w:ascii="Calibri" w:cs="Calibri" w:eastAsia="Calibri" w:hAnsi="Calibri"/>
          <w:b/>
          <w:bCs/>
          <w:sz w:val="24"/>
          <w:szCs w:val="24"/>
        </w:rPr>
        <w:t xml:space="preserve">"Service Provider"</w:t>
      </w:r>
      <w:r>
        <w:rPr>
          <w:rFonts w:ascii="Calibri" w:cs="Calibri" w:eastAsia="Calibri" w:hAnsi="Calibri"/>
          <w:color w:val="000000"/>
          <w:sz w:val="24"/>
          <w:szCs w:val="24"/>
        </w:rPr>
        <w:t xml:space="preserve"> means any individual who provides services to the Company or an Affiliate as an employee, independent contractor, consultant, advisor, or member of the Board or any board of directors or managers of an Affiliate, as determined by the Committee in its sole discretion.</w:t>
      </w:r>
    </w:p>
    <w:p>
      <w:pPr>
        <w:spacing w:after="160" w:before="0" w:line="276"/>
        <w:jc w:val="both"/>
      </w:pPr>
      <w:r>
        <w:rPr>
          <w:rFonts w:ascii="Calibri" w:cs="Calibri" w:eastAsia="Calibri" w:hAnsi="Calibri"/>
          <w:b/>
          <w:bCs/>
          <w:sz w:val="24"/>
          <w:szCs w:val="24"/>
        </w:rPr>
        <w:t xml:space="preserve">"Settlement Date"</w:t>
      </w:r>
      <w:r>
        <w:rPr>
          <w:rFonts w:ascii="Calibri" w:cs="Calibri" w:eastAsia="Calibri" w:hAnsi="Calibri"/>
          <w:color w:val="000000"/>
          <w:sz w:val="24"/>
          <w:szCs w:val="24"/>
        </w:rPr>
        <w:t xml:space="preserve"> means the date on which a Participant's vested Phantom Units are settled in cash in accordance with Article VII and the applicable Award Agreement.</w:t>
      </w:r>
    </w:p>
    <w:p>
      <w:pPr>
        <w:spacing w:after="160" w:before="0" w:line="276"/>
        <w:jc w:val="both"/>
      </w:pPr>
      <w:r>
        <w:rPr>
          <w:rFonts w:ascii="Calibri" w:cs="Calibri" w:eastAsia="Calibri" w:hAnsi="Calibri"/>
          <w:b/>
          <w:bCs/>
          <w:sz w:val="24"/>
          <w:szCs w:val="24"/>
        </w:rPr>
        <w:t xml:space="preserve">"Total Enterprise Value"</w:t>
      </w:r>
      <w:r>
        <w:rPr>
          <w:rFonts w:ascii="Calibri" w:cs="Calibri" w:eastAsia="Calibri" w:hAnsi="Calibri"/>
          <w:color w:val="000000"/>
          <w:sz w:val="24"/>
          <w:szCs w:val="24"/>
        </w:rPr>
        <w:t xml:space="preserve"> means the aggregate fair market value of all equity interests and equity equivalents of the Company (on a fully diluted basis), determined as of the applicable Valuation Date, reduced by all funded indebtedness of the Company, as determined by the Committee in accordance with Article XI.</w:t>
      </w:r>
    </w:p>
    <w:p>
      <w:pPr>
        <w:spacing w:after="160" w:before="0" w:line="276"/>
        <w:jc w:val="both"/>
      </w:pPr>
      <w:r>
        <w:rPr>
          <w:rFonts w:ascii="Calibri" w:cs="Calibri" w:eastAsia="Calibri" w:hAnsi="Calibri"/>
          <w:b/>
          <w:bCs/>
          <w:sz w:val="24"/>
          <w:szCs w:val="24"/>
        </w:rPr>
        <w:t xml:space="preserve">"Valuation Date"</w:t>
      </w:r>
      <w:r>
        <w:rPr>
          <w:rFonts w:ascii="Calibri" w:cs="Calibri" w:eastAsia="Calibri" w:hAnsi="Calibri"/>
          <w:color w:val="000000"/>
          <w:sz w:val="24"/>
          <w:szCs w:val="24"/>
        </w:rPr>
        <w:t xml:space="preserve"> means the date as of which the Fair Market Value of the Company (or a notional equity unit thereof) is determined, which shall be the date specified in the applicable Award Agreement or, if no date is specified, the date of the event triggering settlement.</w:t>
      </w:r>
    </w:p>
    <w:p>
      <w:pPr>
        <w:spacing w:after="160" w:before="0" w:line="276"/>
        <w:jc w:val="both"/>
      </w:pPr>
      <w:r>
        <w:rPr>
          <w:rFonts w:ascii="Calibri" w:cs="Calibri" w:eastAsia="Calibri" w:hAnsi="Calibri"/>
          <w:b/>
          <w:bCs/>
          <w:sz w:val="24"/>
          <w:szCs w:val="24"/>
        </w:rPr>
        <w:t xml:space="preserve">"Vesting Date"</w:t>
      </w:r>
      <w:r>
        <w:rPr>
          <w:rFonts w:ascii="Calibri" w:cs="Calibri" w:eastAsia="Calibri" w:hAnsi="Calibri"/>
          <w:color w:val="000000"/>
          <w:sz w:val="24"/>
          <w:szCs w:val="24"/>
        </w:rPr>
        <w:t xml:space="preserve"> means the date on which a Phantom Unit (or a portion thereof) becomes nonforfeitable, subject to the terms and conditions of the applicable Award Agreement and this Plan.</w:t>
      </w:r>
    </w:p>
    <w:p>
      <w:pPr>
        <w:spacing w:after="160" w:before="0" w:line="276"/>
        <w:jc w:val="both"/>
      </w:pPr>
      <w:r>
        <w:rPr>
          <w:rFonts w:ascii="Calibri" w:cs="Calibri" w:eastAsia="Calibri" w:hAnsi="Calibri"/>
          <w:b/>
          <w:bCs/>
          <w:sz w:val="24"/>
          <w:szCs w:val="24"/>
        </w:rPr>
        <w:t xml:space="preserve">"Vesting Schedule"</w:t>
      </w:r>
      <w:r>
        <w:rPr>
          <w:rFonts w:ascii="Calibri" w:cs="Calibri" w:eastAsia="Calibri" w:hAnsi="Calibri"/>
          <w:color w:val="000000"/>
          <w:sz w:val="24"/>
          <w:szCs w:val="24"/>
        </w:rPr>
        <w:t xml:space="preserve"> means the schedule set forth in the applicable Award Agreement specifying the dates on which, and the conditions under which, Phantom Units become vested.</w:t>
      </w:r>
    </w:p>
    <w:p>
      <w:r>
        <w:br w:type="page"/>
      </w:r>
    </w:p>
    <w:p>
      <w:pPr>
        <w:pStyle w:val="Heading1"/>
        <w:spacing w:after="200" w:before="360"/>
      </w:pPr>
      <w:r>
        <w:rPr>
          <w:rFonts w:ascii="Calibri" w:cs="Calibri" w:eastAsia="Calibri" w:hAnsi="Calibri"/>
          <w:b/>
          <w:bCs/>
          <w:color w:val="333333"/>
          <w:sz w:val="28"/>
          <w:szCs w:val="28"/>
        </w:rPr>
        <w:t xml:space="preserve">ARTICLE III: ADMINISTRATION</w:t>
      </w:r>
    </w:p>
    <w:p>
      <w:pPr>
        <w:pStyle w:val="Heading3"/>
        <w:spacing w:after="120" w:before="240"/>
      </w:pPr>
      <w:r>
        <w:rPr>
          <w:rFonts w:ascii="Calibri" w:cs="Calibri" w:eastAsia="Calibri" w:hAnsi="Calibri"/>
          <w:b/>
          <w:bCs/>
          <w:color w:val="333333"/>
          <w:sz w:val="24"/>
          <w:szCs w:val="24"/>
        </w:rPr>
        <w:t xml:space="preserve">Section 3.1  Committee Composition</w:t>
      </w:r>
    </w:p>
    <w:p>
      <w:pPr>
        <w:spacing w:after="160" w:before="0" w:line="276"/>
        <w:jc w:val="both"/>
      </w:pPr>
      <w:r>
        <w:rPr>
          <w:rFonts w:ascii="Calibri" w:cs="Calibri" w:eastAsia="Calibri" w:hAnsi="Calibri"/>
          <w:color w:val="000000"/>
          <w:sz w:val="24"/>
          <w:szCs w:val="24"/>
        </w:rPr>
        <w:t xml:space="preserve">The Plan shall be administered by the Committee. The Board may appoint a Committee consisting of not fewer than </w:t>
      </w:r>
      <w:r>
        <w:rPr>
          <w:rFonts w:ascii="Calibri" w:cs="Calibri" w:eastAsia="Calibri" w:hAnsi="Calibri"/>
          <w:b/>
          <w:bCs/>
          <w:color w:val="2B4C7E"/>
          <w:sz w:val="24"/>
          <w:szCs w:val="24"/>
          <w:highlight w:val="yellow"/>
          <w:highlightCs w:val="yellow"/>
        </w:rPr>
        <w:t xml:space="preserve">[NUMBER, E.G., TWO (2)]</w:t>
      </w:r>
      <w:r>
        <w:rPr>
          <w:rFonts w:ascii="Calibri" w:cs="Calibri" w:eastAsia="Calibri" w:hAnsi="Calibri"/>
          <w:color w:val="000000"/>
          <w:sz w:val="24"/>
          <w:szCs w:val="24"/>
        </w:rPr>
        <w:t xml:space="preserve"> members of the Board to administer the Plan. If no Committee is appointed, the Board shall serve as the Committee for all purposes under this Plan. Members of the Committee shall serve at the pleasure of the Board and may be removed or replaced at any time. If the Company is a limited liability company, the Plan may be administered by the Managing Members, a designated committee of Managers, or such other persons as the Company's operating agreement may authorize.</w:t>
      </w:r>
    </w:p>
    <w:p>
      <w:pPr>
        <w:pStyle w:val="Heading3"/>
        <w:spacing w:after="120" w:before="240"/>
      </w:pPr>
      <w:r>
        <w:rPr>
          <w:rFonts w:ascii="Calibri" w:cs="Calibri" w:eastAsia="Calibri" w:hAnsi="Calibri"/>
          <w:b/>
          <w:bCs/>
          <w:color w:val="333333"/>
          <w:sz w:val="24"/>
          <w:szCs w:val="24"/>
        </w:rPr>
        <w:t xml:space="preserve">Section 3.2  Powers of the Committee</w:t>
      </w:r>
    </w:p>
    <w:p>
      <w:pPr>
        <w:spacing w:after="160" w:before="0" w:line="276"/>
        <w:jc w:val="both"/>
      </w:pPr>
      <w:r>
        <w:rPr>
          <w:rFonts w:ascii="Calibri" w:cs="Calibri" w:eastAsia="Calibri" w:hAnsi="Calibri"/>
          <w:color w:val="000000"/>
          <w:sz w:val="24"/>
          <w:szCs w:val="24"/>
        </w:rPr>
        <w:t xml:space="preserve">Subject to the terms and conditions of this Plan, the Committee shall have full and exclusive power and authority to:</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Select the Service Providers to whom Phantom Units shall be granted;</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Determine the number of Phantom Units to be granted to each Participant;</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Determine the Base Value, Vesting Schedule, Performance Goals, settlement terms, and all other terms and conditions applicable to each grant of Phantom Units;</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Determine whether Phantom Units shall be designated as Full Value Units or Appreciation Rights;</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color w:val="000000"/>
          <w:sz w:val="24"/>
          <w:szCs w:val="24"/>
        </w:rPr>
        <w:t xml:space="preserve">Interpret and construe the provisions of this Plan and any Award Agreement, and to resolve any ambiguity or inconsistency;</w:t>
      </w:r>
    </w:p>
    <w:p>
      <w:pPr>
        <w:spacing w:after="160" w:before="0" w:line="276"/>
        <w:ind w:left="720"/>
        <w:jc w:val="both"/>
      </w:pPr>
      <w:r>
        <w:rPr>
          <w:rFonts w:ascii="Calibri" w:cs="Calibri" w:eastAsia="Calibri" w:hAnsi="Calibri"/>
          <w:color w:val="000000"/>
          <w:sz w:val="24"/>
          <w:szCs w:val="24"/>
        </w:rPr>
        <w:t xml:space="preserve">(f)  </w:t>
      </w:r>
      <w:r>
        <w:rPr>
          <w:rFonts w:ascii="Calibri" w:cs="Calibri" w:eastAsia="Calibri" w:hAnsi="Calibri"/>
          <w:color w:val="000000"/>
          <w:sz w:val="24"/>
          <w:szCs w:val="24"/>
        </w:rPr>
        <w:t xml:space="preserve">Adopt, amend, and rescind rules, regulations, and procedures for the administration of this Plan;</w:t>
      </w:r>
    </w:p>
    <w:p>
      <w:pPr>
        <w:spacing w:after="160" w:before="0" w:line="276"/>
        <w:ind w:left="720"/>
        <w:jc w:val="both"/>
      </w:pPr>
      <w:r>
        <w:rPr>
          <w:rFonts w:ascii="Calibri" w:cs="Calibri" w:eastAsia="Calibri" w:hAnsi="Calibri"/>
          <w:color w:val="000000"/>
          <w:sz w:val="24"/>
          <w:szCs w:val="24"/>
        </w:rPr>
        <w:t xml:space="preserve">(g)  </w:t>
      </w:r>
      <w:r>
        <w:rPr>
          <w:rFonts w:ascii="Calibri" w:cs="Calibri" w:eastAsia="Calibri" w:hAnsi="Calibri"/>
          <w:color w:val="000000"/>
          <w:sz w:val="24"/>
          <w:szCs w:val="24"/>
        </w:rPr>
        <w:t xml:space="preserve">Determine the Fair Market Value of the Company and its equity for purposes of this Plan;</w:t>
      </w:r>
    </w:p>
    <w:p>
      <w:pPr>
        <w:spacing w:after="160" w:before="0" w:line="276"/>
        <w:ind w:left="720"/>
        <w:jc w:val="both"/>
      </w:pPr>
      <w:r>
        <w:rPr>
          <w:rFonts w:ascii="Calibri" w:cs="Calibri" w:eastAsia="Calibri" w:hAnsi="Calibri"/>
          <w:color w:val="000000"/>
          <w:sz w:val="24"/>
          <w:szCs w:val="24"/>
        </w:rPr>
        <w:t xml:space="preserve">(h)  </w:t>
      </w:r>
      <w:r>
        <w:rPr>
          <w:rFonts w:ascii="Calibri" w:cs="Calibri" w:eastAsia="Calibri" w:hAnsi="Calibri"/>
          <w:color w:val="000000"/>
          <w:sz w:val="24"/>
          <w:szCs w:val="24"/>
        </w:rPr>
        <w:t xml:space="preserve">Accelerate the vesting of any Phantom Units or waive any conditions to vesting;</w:t>
      </w:r>
    </w:p>
    <w:p>
      <w:pPr>
        <w:spacing w:after="160" w:before="0" w:line="276"/>
        <w:ind w:left="720"/>
        <w:jc w:val="both"/>
      </w:pPr>
      <w:r>
        <w:rPr>
          <w:rFonts w:ascii="Calibri" w:cs="Calibri" w:eastAsia="Calibri" w:hAnsi="Calibri"/>
          <w:color w:val="000000"/>
          <w:sz w:val="24"/>
          <w:szCs w:val="24"/>
        </w:rPr>
        <w:t xml:space="preserve">(i)  </w:t>
      </w:r>
      <w:r>
        <w:rPr>
          <w:rFonts w:ascii="Calibri" w:cs="Calibri" w:eastAsia="Calibri" w:hAnsi="Calibri"/>
          <w:color w:val="000000"/>
          <w:sz w:val="24"/>
          <w:szCs w:val="24"/>
        </w:rPr>
        <w:t xml:space="preserve">Modify, extend, or renew outstanding Phantom Units, subject to the limitations set forth herein and compliance with Section 409A;</w:t>
      </w:r>
    </w:p>
    <w:p>
      <w:pPr>
        <w:spacing w:after="160" w:before="0" w:line="276"/>
        <w:ind w:left="720"/>
        <w:jc w:val="both"/>
      </w:pPr>
      <w:r>
        <w:rPr>
          <w:rFonts w:ascii="Calibri" w:cs="Calibri" w:eastAsia="Calibri" w:hAnsi="Calibri"/>
          <w:color w:val="000000"/>
          <w:sz w:val="24"/>
          <w:szCs w:val="24"/>
        </w:rPr>
        <w:t xml:space="preserve">(j)  </w:t>
      </w:r>
      <w:r>
        <w:rPr>
          <w:rFonts w:ascii="Calibri" w:cs="Calibri" w:eastAsia="Calibri" w:hAnsi="Calibri"/>
          <w:color w:val="000000"/>
          <w:sz w:val="24"/>
          <w:szCs w:val="24"/>
        </w:rPr>
        <w:t xml:space="preserve">Authorize any person to execute any instrument required to effectuate the purposes of this Plan; and</w:t>
      </w:r>
    </w:p>
    <w:p>
      <w:pPr>
        <w:spacing w:after="160" w:before="0" w:line="276"/>
        <w:ind w:left="720"/>
        <w:jc w:val="both"/>
      </w:pPr>
      <w:r>
        <w:rPr>
          <w:rFonts w:ascii="Calibri" w:cs="Calibri" w:eastAsia="Calibri" w:hAnsi="Calibri"/>
          <w:color w:val="000000"/>
          <w:sz w:val="24"/>
          <w:szCs w:val="24"/>
        </w:rPr>
        <w:t xml:space="preserve">(k)  </w:t>
      </w:r>
      <w:r>
        <w:rPr>
          <w:rFonts w:ascii="Calibri" w:cs="Calibri" w:eastAsia="Calibri" w:hAnsi="Calibri"/>
          <w:color w:val="000000"/>
          <w:sz w:val="24"/>
          <w:szCs w:val="24"/>
        </w:rPr>
        <w:t xml:space="preserve">Make all other determinations and take all other actions as the Committee deems necessary or advisable for the administration of this Plan.</w:t>
      </w:r>
    </w:p>
    <w:p>
      <w:pPr>
        <w:pStyle w:val="Heading3"/>
        <w:spacing w:after="120" w:before="240"/>
      </w:pPr>
      <w:r>
        <w:rPr>
          <w:rFonts w:ascii="Calibri" w:cs="Calibri" w:eastAsia="Calibri" w:hAnsi="Calibri"/>
          <w:b/>
          <w:bCs/>
          <w:color w:val="333333"/>
          <w:sz w:val="24"/>
          <w:szCs w:val="24"/>
        </w:rPr>
        <w:t xml:space="preserve">Section 3.3  Delegation</w:t>
      </w:r>
    </w:p>
    <w:p>
      <w:pPr>
        <w:spacing w:after="160" w:before="0" w:line="276"/>
        <w:jc w:val="both"/>
      </w:pPr>
      <w:r>
        <w:rPr>
          <w:rFonts w:ascii="Calibri" w:cs="Calibri" w:eastAsia="Calibri" w:hAnsi="Calibri"/>
          <w:color w:val="000000"/>
          <w:sz w:val="24"/>
          <w:szCs w:val="24"/>
        </w:rPr>
        <w:t xml:space="preserve">The Committee may delegate to one or more officers of the Company the authority to grant Phantom Units to Service Providers who are not executive officers or members of the Board, subject to such limitations as the Committee may impose. Any such delegation shall be in writing and shall specify the maximum number of Phantom Units that may be granted pursuant to such delegation, the terms and conditions of such grants, and any other limitations the Committee deems appropriate.</w:t>
      </w:r>
    </w:p>
    <w:p>
      <w:pPr>
        <w:pStyle w:val="Heading3"/>
        <w:spacing w:after="120" w:before="240"/>
      </w:pPr>
      <w:r>
        <w:rPr>
          <w:rFonts w:ascii="Calibri" w:cs="Calibri" w:eastAsia="Calibri" w:hAnsi="Calibri"/>
          <w:b/>
          <w:bCs/>
          <w:color w:val="333333"/>
          <w:sz w:val="24"/>
          <w:szCs w:val="24"/>
        </w:rPr>
        <w:t xml:space="preserve">Section 3.4  Interpretation and Binding Effect</w:t>
      </w:r>
    </w:p>
    <w:p>
      <w:pPr>
        <w:spacing w:after="160" w:before="0" w:line="276"/>
        <w:jc w:val="both"/>
      </w:pPr>
      <w:r>
        <w:rPr>
          <w:rFonts w:ascii="Calibri" w:cs="Calibri" w:eastAsia="Calibri" w:hAnsi="Calibri"/>
          <w:color w:val="000000"/>
          <w:sz w:val="24"/>
          <w:szCs w:val="24"/>
        </w:rPr>
        <w:t xml:space="preserve">All determinations, interpretations, and actions of the Committee under this Plan shall be made in the Committee's sole and absolute discretion and shall be final, conclusive, and binding upon all persons, including the Company, its Affiliates, all Participants, and their respective heirs, beneficiaries, executors, administrators, and successors. No member of the Committee shall be liable for any determination, interpretation, or action made or taken in good faith with respect to this Plan or any Phantom Unit granted hereunder.</w:t>
      </w:r>
    </w:p>
    <w:p>
      <w:pPr>
        <w:pStyle w:val="Heading3"/>
        <w:spacing w:after="120" w:before="240"/>
      </w:pPr>
      <w:r>
        <w:rPr>
          <w:rFonts w:ascii="Calibri" w:cs="Calibri" w:eastAsia="Calibri" w:hAnsi="Calibri"/>
          <w:b/>
          <w:bCs/>
          <w:color w:val="333333"/>
          <w:sz w:val="24"/>
          <w:szCs w:val="24"/>
        </w:rPr>
        <w:t xml:space="preserve">Section 3.5  Indemnification</w:t>
      </w:r>
    </w:p>
    <w:p>
      <w:pPr>
        <w:spacing w:after="160" w:before="0" w:line="276"/>
        <w:jc w:val="both"/>
      </w:pPr>
      <w:r>
        <w:rPr>
          <w:rFonts w:ascii="Calibri" w:cs="Calibri" w:eastAsia="Calibri" w:hAnsi="Calibri"/>
          <w:color w:val="000000"/>
          <w:sz w:val="24"/>
          <w:szCs w:val="24"/>
        </w:rPr>
        <w:t xml:space="preserve">Each member of the Committee and each officer or employee of the Company to whom administrative duties are delegated shall be indemnified and held harmless by the Company against and from any loss, cost, liability, or expense that may be imposed upon or reasonably incurred by such person in connection with or resulting from any claim, action, suit, or proceeding to which such person may be a party or in which such person may be involved by reason of any action taken or failure to act under this Plan, except for actions taken in bad faith or with willful misconduct. The Company shall advance expenses to any indemnified person in connection with any proceeding to the fullest extent permitted by applicable law.</w:t>
      </w:r>
    </w:p>
    <w:p>
      <w:r>
        <w:br w:type="page"/>
      </w:r>
    </w:p>
    <w:p>
      <w:pPr>
        <w:pStyle w:val="Heading1"/>
        <w:spacing w:after="200" w:before="360"/>
      </w:pPr>
      <w:r>
        <w:rPr>
          <w:rFonts w:ascii="Calibri" w:cs="Calibri" w:eastAsia="Calibri" w:hAnsi="Calibri"/>
          <w:b/>
          <w:bCs/>
          <w:color w:val="333333"/>
          <w:sz w:val="28"/>
          <w:szCs w:val="28"/>
        </w:rPr>
        <w:t xml:space="preserve">ARTICLE IV: ELIGIBILITY AND PARTICIPATION</w:t>
      </w:r>
    </w:p>
    <w:p>
      <w:pPr>
        <w:pStyle w:val="Heading3"/>
        <w:spacing w:after="120" w:before="240"/>
      </w:pPr>
      <w:r>
        <w:rPr>
          <w:rFonts w:ascii="Calibri" w:cs="Calibri" w:eastAsia="Calibri" w:hAnsi="Calibri"/>
          <w:b/>
          <w:bCs/>
          <w:color w:val="333333"/>
          <w:sz w:val="24"/>
          <w:szCs w:val="24"/>
        </w:rPr>
        <w:t xml:space="preserve">Section 4.1  Eligible Participants</w:t>
      </w:r>
    </w:p>
    <w:p>
      <w:pPr>
        <w:spacing w:after="160" w:before="0" w:line="276"/>
        <w:jc w:val="both"/>
      </w:pPr>
      <w:r>
        <w:rPr>
          <w:rFonts w:ascii="Calibri" w:cs="Calibri" w:eastAsia="Calibri" w:hAnsi="Calibri"/>
          <w:color w:val="000000"/>
          <w:sz w:val="24"/>
          <w:szCs w:val="24"/>
        </w:rPr>
        <w:t xml:space="preserve">Phantom Units may be granted to any Service Provider of the Company or its Affiliates, including: (a) employees (whether full-time or part-time); (b) independent contractors and consultants; (c) members of the Board; (d) members of the board of directors, board of managers, or equivalent governing body of any Affiliate; and (e) advisors who provide bona fide services to the Company or its Affiliates, in each case as determined by the Committee in its sole discretion. The grant of Phantom Units to any Service Provider shall not confer upon such person any right to continued employment or engagement with the Company or any Affiliate.</w:t>
      </w:r>
    </w:p>
    <w:p>
      <w:pPr>
        <w:pStyle w:val="Heading3"/>
        <w:spacing w:after="120" w:before="240"/>
      </w:pPr>
      <w:r>
        <w:rPr>
          <w:rFonts w:ascii="Calibri" w:cs="Calibri" w:eastAsia="Calibri" w:hAnsi="Calibri"/>
          <w:b/>
          <w:bCs/>
          <w:color w:val="333333"/>
          <w:sz w:val="24"/>
          <w:szCs w:val="24"/>
        </w:rPr>
        <w:t xml:space="preserve">Section 4.2  Selection Criteria</w:t>
      </w:r>
    </w:p>
    <w:p>
      <w:pPr>
        <w:spacing w:after="160" w:before="0" w:line="276"/>
        <w:jc w:val="both"/>
      </w:pPr>
      <w:r>
        <w:rPr>
          <w:rFonts w:ascii="Calibri" w:cs="Calibri" w:eastAsia="Calibri" w:hAnsi="Calibri"/>
          <w:color w:val="000000"/>
          <w:sz w:val="24"/>
          <w:szCs w:val="24"/>
        </w:rPr>
        <w:t xml:space="preserve">In selecting Service Providers to participate in the Plan, the Committee may consider such factors as it deems relevant, including but not limited to: the Service Provider's position, responsibilities, and contributions to the Company; the Service Provider's potential for future contributions; the competitive compensation practices of comparable companies; the Company's retention needs; and such other factors as the Committee may deem relevant in its sole discretion.</w:t>
      </w:r>
    </w:p>
    <w:p>
      <w:pPr>
        <w:pStyle w:val="Heading3"/>
        <w:spacing w:after="120" w:before="240"/>
      </w:pPr>
      <w:r>
        <w:rPr>
          <w:rFonts w:ascii="Calibri" w:cs="Calibri" w:eastAsia="Calibri" w:hAnsi="Calibri"/>
          <w:b/>
          <w:bCs/>
          <w:color w:val="333333"/>
          <w:sz w:val="24"/>
          <w:szCs w:val="24"/>
        </w:rPr>
        <w:t xml:space="preserve">Section 4.3  Offer and Acceptance</w:t>
      </w:r>
    </w:p>
    <w:p>
      <w:pPr>
        <w:spacing w:after="160" w:before="0" w:line="276"/>
        <w:jc w:val="both"/>
      </w:pPr>
      <w:r>
        <w:rPr>
          <w:rFonts w:ascii="Calibri" w:cs="Calibri" w:eastAsia="Calibri" w:hAnsi="Calibri"/>
          <w:color w:val="000000"/>
          <w:sz w:val="24"/>
          <w:szCs w:val="24"/>
        </w:rPr>
        <w:t xml:space="preserve">Upon the Committee's determination to grant Phantom Units to a Service Provider, the Company shall provide the Service Provider with a written Award Agreement setting forth the terms and conditions of the grant. The Award Agreement shall become effective upon execution by both the Company and the Service Provider. A Service Provider who fails to execute and return the Award Agreement within the time specified therein (or, if no time is specified, within thirty (30) days of delivery) shall be deemed to have declined the grant, and the Phantom Units subject to such grant shall be returned to the available pool under Section 5.2.</w:t>
      </w:r>
    </w:p>
    <w:p>
      <w:pPr>
        <w:pStyle w:val="Heading3"/>
        <w:spacing w:after="120" w:before="240"/>
      </w:pPr>
      <w:r>
        <w:rPr>
          <w:rFonts w:ascii="Calibri" w:cs="Calibri" w:eastAsia="Calibri" w:hAnsi="Calibri"/>
          <w:b/>
          <w:bCs/>
          <w:color w:val="333333"/>
          <w:sz w:val="24"/>
          <w:szCs w:val="24"/>
        </w:rPr>
        <w:t xml:space="preserve">Section 4.4  No Right to Participate</w:t>
      </w:r>
    </w:p>
    <w:p>
      <w:pPr>
        <w:spacing w:after="160" w:before="0" w:line="276"/>
        <w:jc w:val="both"/>
      </w:pPr>
      <w:r>
        <w:rPr>
          <w:rFonts w:ascii="Calibri" w:cs="Calibri" w:eastAsia="Calibri" w:hAnsi="Calibri"/>
          <w:color w:val="000000"/>
          <w:sz w:val="24"/>
          <w:szCs w:val="24"/>
        </w:rPr>
        <w:t xml:space="preserve">No Service Provider shall have any right to be selected as a Participant or to receive any grant of Phantom Units under this Plan. The grant of Phantom Units to any Participant in any Plan Year shall not entitle such Participant to receive any additional grants in any subsequent Plan Year. The Committee's determinations under this Article IV shall not be subject to review or appeal by any Participant or Service Provider.</w:t>
      </w:r>
    </w:p>
    <w:p>
      <w:r>
        <w:br w:type="page"/>
      </w:r>
    </w:p>
    <w:p>
      <w:pPr>
        <w:pStyle w:val="Heading1"/>
        <w:spacing w:after="200" w:before="360"/>
      </w:pPr>
      <w:r>
        <w:rPr>
          <w:rFonts w:ascii="Calibri" w:cs="Calibri" w:eastAsia="Calibri" w:hAnsi="Calibri"/>
          <w:b/>
          <w:bCs/>
          <w:color w:val="333333"/>
          <w:sz w:val="28"/>
          <w:szCs w:val="28"/>
        </w:rPr>
        <w:t xml:space="preserve">ARTICLE V: PHANTOM UNITS</w:t>
      </w:r>
    </w:p>
    <w:p>
      <w:pPr>
        <w:pStyle w:val="Heading3"/>
        <w:spacing w:after="120" w:before="240"/>
      </w:pPr>
      <w:r>
        <w:rPr>
          <w:rFonts w:ascii="Calibri" w:cs="Calibri" w:eastAsia="Calibri" w:hAnsi="Calibri"/>
          <w:b/>
          <w:bCs/>
          <w:color w:val="333333"/>
          <w:sz w:val="24"/>
          <w:szCs w:val="24"/>
        </w:rPr>
        <w:t xml:space="preserve">Section 5.1  Grant Authority</w:t>
      </w:r>
    </w:p>
    <w:p>
      <w:pPr>
        <w:spacing w:after="160" w:before="0" w:line="276"/>
        <w:jc w:val="both"/>
      </w:pPr>
      <w:r>
        <w:rPr>
          <w:rFonts w:ascii="Calibri" w:cs="Calibri" w:eastAsia="Calibri" w:hAnsi="Calibri"/>
          <w:color w:val="000000"/>
          <w:sz w:val="24"/>
          <w:szCs w:val="24"/>
        </w:rPr>
        <w:t xml:space="preserve">Subject to the terms and conditions of this Plan, the Committee shall have the authority to grant Phantom Units to eligible Service Providers at such times, in such amounts, and subject to such terms and conditions as the Committee may determine in its sole discretion. Each grant of Phantom Units shall be evidenced by a written Award Agreement that shall specify: (a) the number of Phantom Units granted; (b) the Grant Date; (c) whether the Phantom Units are designated as Full Value Units or Appreciation Rights; (d) the Base Value (if applicable); (e) the Vesting Schedule; (f) the settlement terms; and (g) such other terms and conditions as the Committee may determine.</w:t>
      </w:r>
    </w:p>
    <w:p>
      <w:pPr>
        <w:pStyle w:val="Heading3"/>
        <w:spacing w:after="120" w:before="240"/>
      </w:pPr>
      <w:r>
        <w:rPr>
          <w:rFonts w:ascii="Calibri" w:cs="Calibri" w:eastAsia="Calibri" w:hAnsi="Calibri"/>
          <w:b/>
          <w:bCs/>
          <w:color w:val="333333"/>
          <w:sz w:val="24"/>
          <w:szCs w:val="24"/>
        </w:rPr>
        <w:t xml:space="preserve">Section 5.2  Unit Pool</w:t>
      </w:r>
    </w:p>
    <w:p>
      <w:pPr>
        <w:spacing w:after="160" w:before="0" w:line="276"/>
        <w:jc w:val="both"/>
      </w:pPr>
      <w:r>
        <w:rPr>
          <w:rFonts w:ascii="Calibri" w:cs="Calibri" w:eastAsia="Calibri" w:hAnsi="Calibri"/>
          <w:color w:val="000000"/>
          <w:sz w:val="24"/>
          <w:szCs w:val="24"/>
        </w:rPr>
        <w:t xml:space="preserve">The maximum aggregate number of Phantom Units that may be granted under this Plan shall be </w:t>
      </w:r>
      <w:r>
        <w:rPr>
          <w:rFonts w:ascii="Calibri" w:cs="Calibri" w:eastAsia="Calibri" w:hAnsi="Calibri"/>
          <w:b/>
          <w:bCs/>
          <w:color w:val="2B4C7E"/>
          <w:sz w:val="24"/>
          <w:szCs w:val="24"/>
          <w:highlight w:val="yellow"/>
          <w:highlightCs w:val="yellow"/>
        </w:rPr>
        <w:t xml:space="preserve">[TOTAL NUMBER OF PHANTOM UNITS]</w:t>
      </w:r>
      <w:r>
        <w:rPr>
          <w:rFonts w:ascii="Calibri" w:cs="Calibri" w:eastAsia="Calibri" w:hAnsi="Calibri"/>
          <w:color w:val="000000"/>
          <w:sz w:val="24"/>
          <w:szCs w:val="24"/>
        </w:rPr>
        <w:t xml:space="preserve"> Phantom Units (the "Unit Pool"). The maximum number of Phantom Units that may be granted to any individual Participant during any single Plan Year shall not exceed </w:t>
      </w:r>
      <w:r>
        <w:rPr>
          <w:rFonts w:ascii="Calibri" w:cs="Calibri" w:eastAsia="Calibri" w:hAnsi="Calibri"/>
          <w:b/>
          <w:bCs/>
          <w:color w:val="2B4C7E"/>
          <w:sz w:val="24"/>
          <w:szCs w:val="24"/>
          <w:highlight w:val="yellow"/>
          <w:highlightCs w:val="yellow"/>
        </w:rPr>
        <w:t xml:space="preserve">[MAXIMUM PER-PARTICIPANT ANNUAL LIMIT]</w:t>
      </w:r>
      <w:r>
        <w:rPr>
          <w:rFonts w:ascii="Calibri" w:cs="Calibri" w:eastAsia="Calibri" w:hAnsi="Calibri"/>
          <w:color w:val="000000"/>
          <w:sz w:val="24"/>
          <w:szCs w:val="24"/>
        </w:rPr>
        <w:t xml:space="preserve"> Phantom Units. Phantom Units that are forfeited, cancelled, expired, or settled in cash shall be returned to the Unit Pool and shall be available for future grants. The Committee shall maintain accurate records of all Phantom Units granted, outstanding, vested, forfeited, and settled under this Plan.</w:t>
      </w:r>
    </w:p>
    <w:p>
      <w:pPr>
        <w:pStyle w:val="Heading3"/>
        <w:spacing w:after="120" w:before="240"/>
      </w:pPr>
      <w:r>
        <w:rPr>
          <w:rFonts w:ascii="Calibri" w:cs="Calibri" w:eastAsia="Calibri" w:hAnsi="Calibri"/>
          <w:b/>
          <w:bCs/>
          <w:color w:val="333333"/>
          <w:sz w:val="24"/>
          <w:szCs w:val="24"/>
        </w:rPr>
        <w:t xml:space="preserve">Section 5.3  Unit Value Determination</w:t>
      </w:r>
    </w:p>
    <w:p>
      <w:pPr>
        <w:spacing w:after="160" w:before="0" w:line="276"/>
        <w:jc w:val="both"/>
      </w:pPr>
      <w:r>
        <w:rPr>
          <w:rFonts w:ascii="Calibri" w:cs="Calibri" w:eastAsia="Calibri" w:hAnsi="Calibri"/>
          <w:color w:val="000000"/>
          <w:sz w:val="24"/>
          <w:szCs w:val="24"/>
        </w:rPr>
        <w:t xml:space="preserve">The value of each Phantom Unit shall be determined by reference to the Fair Market Value of a notional equity unit of the Company, as determined in accordance with Article XI (Valuation). For Full Value Units, the settlement amount shall equal the Fair Market Value of a notional equity unit as of the applicable Valuation Date, multiplied by the number of vested Phantom Units. For Appreciation Rights, the settlement amount shall equal the excess, if any, of the Fair Market Value of a notional equity unit as of the applicable Valuation Date over the Base Value, multiplied by the number of vested Phantom Units.</w:t>
      </w:r>
    </w:p>
    <w:p>
      <w:pPr>
        <w:pStyle w:val="Heading3"/>
        <w:spacing w:after="120" w:before="240"/>
      </w:pPr>
      <w:r>
        <w:rPr>
          <w:rFonts w:ascii="Calibri" w:cs="Calibri" w:eastAsia="Calibri" w:hAnsi="Calibri"/>
          <w:b/>
          <w:bCs/>
          <w:color w:val="333333"/>
          <w:sz w:val="24"/>
          <w:szCs w:val="24"/>
        </w:rPr>
        <w:t xml:space="preserve">Section 5.4  Base Value Setting</w:t>
      </w:r>
    </w:p>
    <w:p>
      <w:pPr>
        <w:spacing w:after="160" w:before="0" w:line="276"/>
        <w:jc w:val="both"/>
      </w:pPr>
      <w:r>
        <w:rPr>
          <w:rFonts w:ascii="Calibri" w:cs="Calibri" w:eastAsia="Calibri" w:hAnsi="Calibri"/>
          <w:color w:val="000000"/>
          <w:sz w:val="24"/>
          <w:szCs w:val="24"/>
        </w:rPr>
        <w:t xml:space="preserve">The Base Value for each Phantom Unit designated as an Appreciation Right shall be established by the Committee on the Grant Date and set forth in the Award Agreement. Unless otherwise determined by the Committee, the Base Value shall be equal to the Fair Market Value of a notional equity unit of the Company as of the Grant Date, as determined in accordance with Article XI. The Committee may, in its sole discretion, set the Base Value at an amount greater than the Fair Market Value on the Grant Date, but shall not set the Base Value at an amount less than the Fair Market Value on the Grant Date if doing so would cause the Phantom Unit to be subject to adverse tax consequences under Section 409A.</w:t>
      </w:r>
    </w:p>
    <w:p>
      <w:pPr>
        <w:pStyle w:val="Heading3"/>
        <w:spacing w:after="120" w:before="240"/>
      </w:pPr>
      <w:r>
        <w:rPr>
          <w:rFonts w:ascii="Calibri" w:cs="Calibri" w:eastAsia="Calibri" w:hAnsi="Calibri"/>
          <w:b/>
          <w:bCs/>
          <w:color w:val="333333"/>
          <w:sz w:val="24"/>
          <w:szCs w:val="24"/>
        </w:rPr>
        <w:t xml:space="preserve">Section 5.5  Full Value Units vs. Appreciation Rights</w:t>
      </w:r>
    </w:p>
    <w:p>
      <w:pPr>
        <w:spacing w:after="160" w:before="0" w:line="276"/>
        <w:jc w:val="both"/>
      </w:pPr>
      <w:r>
        <w:rPr>
          <w:rFonts w:ascii="Calibri" w:cs="Calibri" w:eastAsia="Calibri" w:hAnsi="Calibri"/>
          <w:color w:val="000000"/>
          <w:sz w:val="24"/>
          <w:szCs w:val="24"/>
        </w:rPr>
        <w:t xml:space="preserve">Each Award Agreement shall specify whether the Phantom Units granted thereunder are designated as Full Value Units or Appreciation Rights. Full Value Units entitle the Participant to receive a cash payment equal to the full Fair Market Value of a notional equity unit on the Settlement Date, multiplied by the number of vested Phantom Units. Appreciation Rights entitle the Participant to receive a cash payment equal to the appreciation in Fair Market Value over the Base Value, multiplied by the number of vested Phantom Units. The Committee may grant both Full Value Units and Appreciation Rights to the same Participant under separate Award Agreements or under a single Award Agreement, as the Committee may determine.</w:t>
      </w:r>
    </w:p>
    <w:p>
      <w:pPr>
        <w:pStyle w:val="Heading3"/>
        <w:spacing w:after="120" w:before="240"/>
      </w:pPr>
      <w:r>
        <w:rPr>
          <w:rFonts w:ascii="Calibri" w:cs="Calibri" w:eastAsia="Calibri" w:hAnsi="Calibri"/>
          <w:b/>
          <w:bCs/>
          <w:color w:val="333333"/>
          <w:sz w:val="24"/>
          <w:szCs w:val="24"/>
        </w:rPr>
        <w:t xml:space="preserve">Section 5.6  Anti-Dilution Adjustments</w:t>
      </w:r>
    </w:p>
    <w:p>
      <w:pPr>
        <w:spacing w:after="160" w:before="0" w:line="276"/>
        <w:jc w:val="both"/>
      </w:pPr>
      <w:r>
        <w:rPr>
          <w:rFonts w:ascii="Calibri" w:cs="Calibri" w:eastAsia="Calibri" w:hAnsi="Calibri"/>
          <w:color w:val="000000"/>
          <w:sz w:val="24"/>
          <w:szCs w:val="24"/>
        </w:rPr>
        <w:t xml:space="preserve">In the event of any recapitalization, reorganization, stock split, reverse stock split, stock dividend, combination of shares, merger, consolidation, spin-off, split-off, exchange of equity interests, distribution of assets (other than regular cash distributions in the ordinary course), or any other similar corporate transaction or event affecting the equity structure of the Company, the Committee shall make such equitable adjustments as it deems appropriate to: (a) the aggregate number and type of Phantom Units available for grant under the Unit Pool; (b) the number and type of Phantom Units subject to outstanding awards; (c) the Base Value of outstanding Appreciation Rights; and (d) any other terms or conditions affected by such event. The Committee's determination of any adjustment under this Section 5.6 shall be final, conclusive, and binding. No adjustment shall be made under this Section 5.6 if such adjustment would cause any Phantom Unit to fail to comply with, or become subject to, Section 409A, unless the Committee determines otherwise.</w:t>
      </w:r>
    </w:p>
    <w:p>
      <w:pPr>
        <w:pStyle w:val="Heading3"/>
        <w:spacing w:after="120" w:before="240"/>
      </w:pPr>
      <w:r>
        <w:rPr>
          <w:rFonts w:ascii="Calibri" w:cs="Calibri" w:eastAsia="Calibri" w:hAnsi="Calibri"/>
          <w:b/>
          <w:bCs/>
          <w:color w:val="333333"/>
          <w:sz w:val="24"/>
          <w:szCs w:val="24"/>
        </w:rPr>
        <w:t xml:space="preserve">Section 5.7  Unit Ledger</w:t>
      </w:r>
    </w:p>
    <w:p>
      <w:pPr>
        <w:spacing w:after="160" w:before="0" w:line="276"/>
        <w:jc w:val="both"/>
      </w:pPr>
      <w:r>
        <w:rPr>
          <w:rFonts w:ascii="Calibri" w:cs="Calibri" w:eastAsia="Calibri" w:hAnsi="Calibri"/>
          <w:color w:val="000000"/>
          <w:sz w:val="24"/>
          <w:szCs w:val="24"/>
        </w:rPr>
        <w:t xml:space="preserve">The Company shall maintain a Phantom Unit Ledger (the "Ledger") that records, with respect to each Participant: (a) the number of Phantom Units granted; (b) the Grant Date and Base Value (if applicable) of each grant; (c) the designation of each grant as Full Value Units or Appreciation Rights; (d) the Vesting Schedule applicable to each grant; (e) the number of Phantom Units that have vested and the applicable Vesting Dates; (f) the number of Phantom Units that have been forfeited; (g) the number of Phantom Units that have been settled and the amounts paid; and (h) any adjustments made pursuant to Section 5.6. The Ledger shall be maintained as a bookkeeping record of the Company and shall be conclusive evidence of the status of each Participant's Phantom Units, absent manifest error. The Committee may designate an officer of the Company to maintain the Ledger.</w:t>
      </w:r>
    </w:p>
    <w:p>
      <w:r>
        <w:br w:type="page"/>
      </w:r>
    </w:p>
    <w:p>
      <w:pPr>
        <w:pStyle w:val="Heading1"/>
        <w:spacing w:after="200" w:before="360"/>
      </w:pPr>
      <w:r>
        <w:rPr>
          <w:rFonts w:ascii="Calibri" w:cs="Calibri" w:eastAsia="Calibri" w:hAnsi="Calibri"/>
          <w:b/>
          <w:bCs/>
          <w:color w:val="333333"/>
          <w:sz w:val="28"/>
          <w:szCs w:val="28"/>
        </w:rPr>
        <w:t xml:space="preserve">ARTICLE VI: VESTING</w:t>
      </w:r>
    </w:p>
    <w:p>
      <w:pPr>
        <w:pStyle w:val="Heading3"/>
        <w:spacing w:after="120" w:before="240"/>
      </w:pPr>
      <w:r>
        <w:rPr>
          <w:rFonts w:ascii="Calibri" w:cs="Calibri" w:eastAsia="Calibri" w:hAnsi="Calibri"/>
          <w:b/>
          <w:bCs/>
          <w:color w:val="333333"/>
          <w:sz w:val="24"/>
          <w:szCs w:val="24"/>
        </w:rPr>
        <w:t xml:space="preserve">Section 6.1  Vesting Generally</w:t>
      </w:r>
    </w:p>
    <w:p>
      <w:pPr>
        <w:spacing w:after="160" w:before="0" w:line="276"/>
        <w:jc w:val="both"/>
      </w:pPr>
      <w:r>
        <w:rPr>
          <w:rFonts w:ascii="Calibri" w:cs="Calibri" w:eastAsia="Calibri" w:hAnsi="Calibri"/>
          <w:color w:val="000000"/>
          <w:sz w:val="24"/>
          <w:szCs w:val="24"/>
        </w:rPr>
        <w:t xml:space="preserve">Phantom Units shall vest in accordance with the Vesting Schedule set forth in the applicable Award Agreement. The Committee may, in its sole discretion, impose time-based vesting conditions, performance-based vesting conditions, or a combination of both. Unless otherwise specified in the Award Agreement, unvested Phantom Units shall confer no rights upon the Participant and shall be subject to forfeiture as provided in this Plan and the applicable Award Agreement.</w:t>
      </w:r>
    </w:p>
    <w:p>
      <w:pPr>
        <w:pStyle w:val="Heading3"/>
        <w:spacing w:after="120" w:before="240"/>
      </w:pPr>
      <w:r>
        <w:rPr>
          <w:rFonts w:ascii="Calibri" w:cs="Calibri" w:eastAsia="Calibri" w:hAnsi="Calibri"/>
          <w:b/>
          <w:bCs/>
          <w:color w:val="333333"/>
          <w:sz w:val="24"/>
          <w:szCs w:val="24"/>
        </w:rPr>
        <w:t xml:space="preserve">Section 6.2  Time-Based Vesting</w:t>
      </w:r>
    </w:p>
    <w:p>
      <w:pPr>
        <w:spacing w:after="160" w:before="0" w:line="276"/>
        <w:jc w:val="both"/>
      </w:pPr>
      <w:r>
        <w:rPr>
          <w:rFonts w:ascii="Calibri" w:cs="Calibri" w:eastAsia="Calibri" w:hAnsi="Calibri"/>
          <w:color w:val="000000"/>
          <w:sz w:val="24"/>
          <w:szCs w:val="24"/>
        </w:rPr>
        <w:t xml:space="preserve">Where the Award Agreement provides for time-based vesting, Phantom Units shall vest on the applicable Vesting Dates, subject to the Participant's continued service as a Service Provider through each such Vesting Date. Unless otherwise specified in the Award Agreement, the following default vesting schedule shall apply:</w:t>
      </w:r>
    </w:p>
    <w:p>
      <w:pPr>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2B4C7E" w:val="clear"/>
            <w:vAlign w:val="center"/>
          </w:tcPr>
          <w:p>
            <w:pPr>
              <w:jc w:val="center"/>
            </w:pPr>
            <w:r>
              <w:rPr>
                <w:rFonts w:ascii="Calibri" w:cs="Calibri" w:eastAsia="Calibri" w:hAnsi="Calibri"/>
                <w:b/>
                <w:bCs/>
                <w:color w:val="FFFFFF"/>
                <w:sz w:val="20"/>
                <w:szCs w:val="20"/>
              </w:rPr>
              <w:t xml:space="preserve">Anniversary of Grant Date</w:t>
            </w:r>
          </w:p>
        </w:tc>
        <w:tc>
          <w:tcPr>
            <w:tcW w:type="dxa" w:w="2340"/>
            <w:shd w:fill="2B4C7E" w:val="clear"/>
            <w:vAlign w:val="center"/>
          </w:tcPr>
          <w:p>
            <w:pPr>
              <w:jc w:val="center"/>
            </w:pPr>
            <w:r>
              <w:rPr>
                <w:rFonts w:ascii="Calibri" w:cs="Calibri" w:eastAsia="Calibri" w:hAnsi="Calibri"/>
                <w:b/>
                <w:bCs/>
                <w:color w:val="FFFFFF"/>
                <w:sz w:val="20"/>
                <w:szCs w:val="20"/>
              </w:rPr>
              <w:t xml:space="preserve">Incremental Vesting</w:t>
            </w:r>
          </w:p>
        </w:tc>
        <w:tc>
          <w:tcPr>
            <w:tcW w:type="dxa" w:w="2340"/>
            <w:shd w:fill="2B4C7E" w:val="clear"/>
            <w:vAlign w:val="center"/>
          </w:tcPr>
          <w:p>
            <w:pPr>
              <w:jc w:val="center"/>
            </w:pPr>
            <w:r>
              <w:rPr>
                <w:rFonts w:ascii="Calibri" w:cs="Calibri" w:eastAsia="Calibri" w:hAnsi="Calibri"/>
                <w:b/>
                <w:bCs/>
                <w:color w:val="FFFFFF"/>
                <w:sz w:val="20"/>
                <w:szCs w:val="20"/>
              </w:rPr>
              <w:t xml:space="preserve">Cumulative Vesting</w:t>
            </w:r>
          </w:p>
        </w:tc>
        <w:tc>
          <w:tcPr>
            <w:tcW w:type="dxa" w:w="2340"/>
            <w:shd w:fill="2B4C7E" w:val="clear"/>
            <w:vAlign w:val="center"/>
          </w:tcPr>
          <w:p>
            <w:pPr>
              <w:jc w:val="center"/>
            </w:pPr>
            <w:r>
              <w:rPr>
                <w:rFonts w:ascii="Calibri" w:cs="Calibri" w:eastAsia="Calibri" w:hAnsi="Calibri"/>
                <w:b/>
                <w:bCs/>
                <w:color w:val="FFFFFF"/>
                <w:sz w:val="20"/>
                <w:szCs w:val="20"/>
              </w:rPr>
              <w:t xml:space="preserve">Vesting Type</w:t>
            </w:r>
          </w:p>
        </w:tc>
      </w:tr>
      <w:tr>
        <w:tc>
          <w:tcPr>
            <w:tcW w:type="dxa" w:w="2340"/>
            <w:vAlign w:val="center"/>
          </w:tcPr>
          <w:p>
            <w:pPr>
              <w:spacing w:after="40" w:before="40"/>
              <w:jc w:val="left"/>
            </w:pPr>
            <w:r>
              <w:rPr>
                <w:rFonts w:ascii="Calibri" w:cs="Calibri" w:eastAsia="Calibri" w:hAnsi="Calibri"/>
                <w:color w:val="000000"/>
                <w:sz w:val="20"/>
                <w:szCs w:val="20"/>
              </w:rPr>
              <w:t xml:space="preserve">1st Anniversary</w:t>
            </w:r>
          </w:p>
        </w:tc>
        <w:tc>
          <w:tcPr>
            <w:tcW w:type="dxa" w:w="2340"/>
            <w:vAlign w:val="center"/>
          </w:tcPr>
          <w:p>
            <w:pPr>
              <w:spacing w:after="40" w:before="40"/>
              <w:jc w:val="center"/>
            </w:pPr>
            <w:r>
              <w:rPr>
                <w:rFonts w:ascii="Calibri" w:cs="Calibri" w:eastAsia="Calibri" w:hAnsi="Calibri"/>
                <w:color w:val="000000"/>
                <w:sz w:val="20"/>
                <w:szCs w:val="20"/>
              </w:rPr>
              <w:t xml:space="preserve">[25]%</w:t>
            </w:r>
          </w:p>
        </w:tc>
        <w:tc>
          <w:tcPr>
            <w:tcW w:type="dxa" w:w="2340"/>
            <w:vAlign w:val="center"/>
          </w:tcPr>
          <w:p>
            <w:pPr>
              <w:spacing w:after="40" w:before="40"/>
              <w:jc w:val="center"/>
            </w:pPr>
            <w:r>
              <w:rPr>
                <w:rFonts w:ascii="Calibri" w:cs="Calibri" w:eastAsia="Calibri" w:hAnsi="Calibri"/>
                <w:color w:val="000000"/>
                <w:sz w:val="20"/>
                <w:szCs w:val="20"/>
              </w:rPr>
              <w:t xml:space="preserve">[25]%</w:t>
            </w:r>
          </w:p>
        </w:tc>
        <w:tc>
          <w:tcPr>
            <w:tcW w:type="dxa" w:w="2340"/>
            <w:vAlign w:val="center"/>
          </w:tcPr>
          <w:p>
            <w:pPr>
              <w:spacing w:after="40" w:before="40"/>
              <w:jc w:val="center"/>
            </w:pPr>
            <w:r>
              <w:rPr>
                <w:rFonts w:ascii="Calibri" w:cs="Calibri" w:eastAsia="Calibri" w:hAnsi="Calibri"/>
                <w:color w:val="000000"/>
                <w:sz w:val="20"/>
                <w:szCs w:val="20"/>
              </w:rPr>
              <w:t xml:space="preserve">Cliff</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2nd Anniversary</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[25]%</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[50]%</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Graded</w:t>
            </w:r>
          </w:p>
        </w:tc>
      </w:tr>
      <w:tr>
        <w:tc>
          <w:tcPr>
            <w:tcW w:type="dxa" w:w="2340"/>
            <w:vAlign w:val="center"/>
          </w:tcPr>
          <w:p>
            <w:pPr>
              <w:spacing w:after="40" w:before="40"/>
              <w:jc w:val="left"/>
            </w:pPr>
            <w:r>
              <w:rPr>
                <w:rFonts w:ascii="Calibri" w:cs="Calibri" w:eastAsia="Calibri" w:hAnsi="Calibri"/>
                <w:color w:val="000000"/>
                <w:sz w:val="20"/>
                <w:szCs w:val="20"/>
              </w:rPr>
              <w:t xml:space="preserve">3rd Anniversary</w:t>
            </w:r>
          </w:p>
        </w:tc>
        <w:tc>
          <w:tcPr>
            <w:tcW w:type="dxa" w:w="2340"/>
            <w:vAlign w:val="center"/>
          </w:tcPr>
          <w:p>
            <w:pPr>
              <w:spacing w:after="40" w:before="40"/>
              <w:jc w:val="center"/>
            </w:pPr>
            <w:r>
              <w:rPr>
                <w:rFonts w:ascii="Calibri" w:cs="Calibri" w:eastAsia="Calibri" w:hAnsi="Calibri"/>
                <w:color w:val="000000"/>
                <w:sz w:val="20"/>
                <w:szCs w:val="20"/>
              </w:rPr>
              <w:t xml:space="preserve">[25]%</w:t>
            </w:r>
          </w:p>
        </w:tc>
        <w:tc>
          <w:tcPr>
            <w:tcW w:type="dxa" w:w="2340"/>
            <w:vAlign w:val="center"/>
          </w:tcPr>
          <w:p>
            <w:pPr>
              <w:spacing w:after="40" w:before="40"/>
              <w:jc w:val="center"/>
            </w:pPr>
            <w:r>
              <w:rPr>
                <w:rFonts w:ascii="Calibri" w:cs="Calibri" w:eastAsia="Calibri" w:hAnsi="Calibri"/>
                <w:color w:val="000000"/>
                <w:sz w:val="20"/>
                <w:szCs w:val="20"/>
              </w:rPr>
              <w:t xml:space="preserve">[75]%</w:t>
            </w:r>
          </w:p>
        </w:tc>
        <w:tc>
          <w:tcPr>
            <w:tcW w:type="dxa" w:w="2340"/>
            <w:vAlign w:val="center"/>
          </w:tcPr>
          <w:p>
            <w:pPr>
              <w:spacing w:after="40" w:before="40"/>
              <w:jc w:val="center"/>
            </w:pPr>
            <w:r>
              <w:rPr>
                <w:rFonts w:ascii="Calibri" w:cs="Calibri" w:eastAsia="Calibri" w:hAnsi="Calibri"/>
                <w:color w:val="000000"/>
                <w:sz w:val="20"/>
                <w:szCs w:val="20"/>
              </w:rPr>
              <w:t xml:space="preserve">Graded</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4th Anniversary</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[25]%</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[100]%</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Graded</w:t>
            </w:r>
          </w:p>
        </w:tc>
      </w:tr>
    </w:tbl>
    <w:p>
      <w:pPr>
        <w:spacing w:after="0"/>
      </w:pPr>
    </w:p>
    <w:p>
      <w:pPr>
        <w:pStyle w:val="Heading3"/>
        <w:spacing w:after="120" w:before="240"/>
      </w:pPr>
      <w:r>
        <w:rPr>
          <w:rFonts w:ascii="Calibri" w:cs="Calibri" w:eastAsia="Calibri" w:hAnsi="Calibri"/>
          <w:b/>
          <w:bCs/>
          <w:color w:val="333333"/>
          <w:sz w:val="24"/>
          <w:szCs w:val="24"/>
        </w:rPr>
        <w:t xml:space="preserve">Section 6.3  Performance-Based Vesting</w:t>
      </w:r>
    </w:p>
    <w:p>
      <w:pPr>
        <w:spacing w:after="160" w:before="0" w:line="276"/>
        <w:jc w:val="both"/>
      </w:pPr>
      <w:r>
        <w:rPr>
          <w:rFonts w:ascii="Calibri" w:cs="Calibri" w:eastAsia="Calibri" w:hAnsi="Calibri"/>
          <w:color w:val="000000"/>
          <w:sz w:val="24"/>
          <w:szCs w:val="24"/>
        </w:rPr>
        <w:t xml:space="preserve">Where the Award Agreement provides for performance-based vesting, Phantom Units shall vest upon the achievement of the Performance Goals specified in the Award Agreement. The Committee shall establish the Performance Goals at the time of grant (or within such period after the Grant Date as may be permitted under Section 409A) and shall specify: (a) the performance criteria to be measured; (b) the performance period over which achievement will be assessed; (c) the threshold, target, and maximum levels of performance (if applicable); (d) the method of measuring performance; and (e) the extent to which Phantom Units shall vest at each level of performance achievement. The Committee shall certify in writing the extent to which Performance Goals have been achieved prior to any settlement of performance-vested Phantom Units.</w:t>
      </w:r>
    </w:p>
    <w:p>
      <w:pPr>
        <w:pStyle w:val="Heading3"/>
        <w:spacing w:after="120" w:before="240"/>
      </w:pPr>
      <w:r>
        <w:rPr>
          <w:rFonts w:ascii="Calibri" w:cs="Calibri" w:eastAsia="Calibri" w:hAnsi="Calibri"/>
          <w:b/>
          <w:bCs/>
          <w:color w:val="333333"/>
          <w:sz w:val="24"/>
          <w:szCs w:val="24"/>
        </w:rPr>
        <w:t xml:space="preserve">Section 6.4  Cliff and Graded Vesting Options</w:t>
      </w:r>
    </w:p>
    <w:p>
      <w:pPr>
        <w:spacing w:after="160" w:before="0" w:line="276"/>
        <w:jc w:val="both"/>
      </w:pPr>
      <w:r>
        <w:rPr>
          <w:rFonts w:ascii="Calibri" w:cs="Calibri" w:eastAsia="Calibri" w:hAnsi="Calibri"/>
          <w:color w:val="000000"/>
          <w:sz w:val="24"/>
          <w:szCs w:val="24"/>
        </w:rPr>
        <w:t xml:space="preserve">The Committee may, in its discretion, impose a cliff vesting condition under which no Phantom Units vest until the completion of a specified initial period of continuous service (the "Cliff Period"), at which time a specified portion (or all) of the Phantom Units shall vest. The Committee may also impose graded (or ratable) vesting under which Phantom Units vest in installments over a specified period. The Cliff Period and graded vesting schedule shall be specified in the Award Agreement. A typical Cliff Period is </w:t>
      </w:r>
      <w:r>
        <w:rPr>
          <w:rFonts w:ascii="Calibri" w:cs="Calibri" w:eastAsia="Calibri" w:hAnsi="Calibri"/>
          <w:b/>
          <w:bCs/>
          <w:color w:val="2B4C7E"/>
          <w:sz w:val="24"/>
          <w:szCs w:val="24"/>
          <w:highlight w:val="yellow"/>
          <w:highlightCs w:val="yellow"/>
        </w:rPr>
        <w:t xml:space="preserve">[CLIFF PERIOD, E.G., ONE (1) YEAR]</w:t>
      </w:r>
      <w:r>
        <w:rPr>
          <w:rFonts w:ascii="Calibri" w:cs="Calibri" w:eastAsia="Calibri" w:hAnsi="Calibri"/>
          <w:color w:val="000000"/>
          <w:sz w:val="24"/>
          <w:szCs w:val="24"/>
        </w:rPr>
        <w:t xml:space="preserve">, with the remaining Phantom Units vesting in equal </w:t>
      </w:r>
      <w:r>
        <w:rPr>
          <w:rFonts w:ascii="Calibri" w:cs="Calibri" w:eastAsia="Calibri" w:hAnsi="Calibri"/>
          <w:b/>
          <w:bCs/>
          <w:color w:val="2B4C7E"/>
          <w:sz w:val="24"/>
          <w:szCs w:val="24"/>
          <w:highlight w:val="yellow"/>
          <w:highlightCs w:val="yellow"/>
        </w:rPr>
        <w:t xml:space="preserve">[MONTHLY/QUARTERLY/ANNUAL]</w:t>
      </w:r>
      <w:r>
        <w:rPr>
          <w:rFonts w:ascii="Calibri" w:cs="Calibri" w:eastAsia="Calibri" w:hAnsi="Calibri"/>
          <w:color w:val="000000"/>
          <w:sz w:val="24"/>
          <w:szCs w:val="24"/>
        </w:rPr>
        <w:t xml:space="preserve"> installments over the following </w:t>
      </w:r>
      <w:r>
        <w:rPr>
          <w:rFonts w:ascii="Calibri" w:cs="Calibri" w:eastAsia="Calibri" w:hAnsi="Calibri"/>
          <w:b/>
          <w:bCs/>
          <w:color w:val="2B4C7E"/>
          <w:sz w:val="24"/>
          <w:szCs w:val="24"/>
          <w:highlight w:val="yellow"/>
          <w:highlightCs w:val="yellow"/>
        </w:rPr>
        <w:t xml:space="preserve">[REMAINING VESTING PERIOD, E.G., THREE (3) YEARS]</w:t>
      </w:r>
      <w:r>
        <w:rPr>
          <w:rFonts w:ascii="Calibri" w:cs="Calibri" w:eastAsia="Calibri" w:hAnsi="Calibri"/>
          <w:color w:val="000000"/>
          <w:sz w:val="24"/>
          <w:szCs w:val="24"/>
        </w:rPr>
        <w:t xml:space="preserve">.</w:t>
      </w:r>
    </w:p>
    <w:p>
      <w:pPr>
        <w:pStyle w:val="Heading3"/>
        <w:spacing w:after="120" w:before="240"/>
      </w:pPr>
      <w:r>
        <w:rPr>
          <w:rFonts w:ascii="Calibri" w:cs="Calibri" w:eastAsia="Calibri" w:hAnsi="Calibri"/>
          <w:b/>
          <w:bCs/>
          <w:color w:val="333333"/>
          <w:sz w:val="24"/>
          <w:szCs w:val="24"/>
        </w:rPr>
        <w:t xml:space="preserve">Section 6.5  Acceleration Events</w:t>
      </w:r>
    </w:p>
    <w:p>
      <w:pPr>
        <w:spacing w:after="160" w:before="0" w:line="276"/>
        <w:jc w:val="both"/>
      </w:pPr>
      <w:r>
        <w:rPr>
          <w:rFonts w:ascii="Calibri" w:cs="Calibri" w:eastAsia="Calibri" w:hAnsi="Calibri"/>
          <w:color w:val="000000"/>
          <w:sz w:val="24"/>
          <w:szCs w:val="24"/>
        </w:rPr>
        <w:t xml:space="preserve">Unless otherwise provided in the applicable Award Agreement, the vesting of Phantom Units shall be accelerated upon the occurrence of any of the following events:</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b/>
          <w:bCs/>
          <w:sz w:val="24"/>
          <w:szCs w:val="24"/>
        </w:rPr>
        <w:t xml:space="preserve">Change of Control: </w:t>
      </w:r>
      <w:r>
        <w:rPr>
          <w:rFonts w:ascii="Calibri" w:cs="Calibri" w:eastAsia="Calibri" w:hAnsi="Calibri"/>
          <w:color w:val="000000"/>
          <w:sz w:val="24"/>
          <w:szCs w:val="24"/>
        </w:rPr>
        <w:t xml:space="preserve">All outstanding unvested Phantom Units shall become fully vested immediately prior to the consummation of a Change of Control, unless the Award Agreement provides for double-trigger vesting as described in Article VIII;</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b/>
          <w:bCs/>
          <w:sz w:val="24"/>
          <w:szCs w:val="24"/>
        </w:rPr>
        <w:t xml:space="preserve">Death: </w:t>
      </w:r>
      <w:r>
        <w:rPr>
          <w:rFonts w:ascii="Calibri" w:cs="Calibri" w:eastAsia="Calibri" w:hAnsi="Calibri"/>
          <w:color w:val="000000"/>
          <w:sz w:val="24"/>
          <w:szCs w:val="24"/>
        </w:rPr>
        <w:t xml:space="preserve">All outstanding unvested Phantom Units shall become fully vested upon the Participant's death;</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b/>
          <w:bCs/>
          <w:sz w:val="24"/>
          <w:szCs w:val="24"/>
        </w:rPr>
        <w:t xml:space="preserve">Disability: </w:t>
      </w:r>
      <w:r>
        <w:rPr>
          <w:rFonts w:ascii="Calibri" w:cs="Calibri" w:eastAsia="Calibri" w:hAnsi="Calibri"/>
          <w:color w:val="000000"/>
          <w:sz w:val="24"/>
          <w:szCs w:val="24"/>
        </w:rPr>
        <w:t xml:space="preserve">All outstanding unvested Phantom Units shall become fully vested upon the Participant's Disability; and</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b/>
          <w:bCs/>
          <w:sz w:val="24"/>
          <w:szCs w:val="24"/>
        </w:rPr>
        <w:t xml:space="preserve">Committee Discretion: </w:t>
      </w:r>
      <w:r>
        <w:rPr>
          <w:rFonts w:ascii="Calibri" w:cs="Calibri" w:eastAsia="Calibri" w:hAnsi="Calibri"/>
          <w:color w:val="000000"/>
          <w:sz w:val="24"/>
          <w:szCs w:val="24"/>
        </w:rPr>
        <w:t xml:space="preserve">The Committee may, in its sole discretion, accelerate the vesting of any or all outstanding Phantom Units at any time, for any reason or no reason, subject to compliance with Section 409A.</w:t>
      </w:r>
    </w:p>
    <w:p>
      <w:pPr>
        <w:pStyle w:val="Heading3"/>
        <w:spacing w:after="120" w:before="240"/>
      </w:pPr>
      <w:r>
        <w:rPr>
          <w:rFonts w:ascii="Calibri" w:cs="Calibri" w:eastAsia="Calibri" w:hAnsi="Calibri"/>
          <w:b/>
          <w:bCs/>
          <w:color w:val="333333"/>
          <w:sz w:val="24"/>
          <w:szCs w:val="24"/>
        </w:rPr>
        <w:t xml:space="preserve">Section 6.6  Forfeiture of Unvested Units</w:t>
      </w:r>
    </w:p>
    <w:p>
      <w:pPr>
        <w:spacing w:after="160" w:before="0" w:line="276"/>
        <w:jc w:val="both"/>
      </w:pPr>
      <w:r>
        <w:rPr>
          <w:rFonts w:ascii="Calibri" w:cs="Calibri" w:eastAsia="Calibri" w:hAnsi="Calibri"/>
          <w:color w:val="000000"/>
          <w:sz w:val="24"/>
          <w:szCs w:val="24"/>
        </w:rPr>
        <w:t xml:space="preserve">Except as otherwise provided in this Plan or in the applicable Award Agreement, any Phantom Units that are unvested as of the date of a Participant's Termination of Service shall be immediately and automatically forfeited, and the Participant shall have no further rights with respect to such forfeited Phantom Units. The Committee may, in its sole discretion, provide in the Award Agreement for a post-termination vesting period or for continued vesting following certain types of Termination of Service.</w:t>
      </w:r>
    </w:p>
    <w:p>
      <w:r>
        <w:br w:type="page"/>
      </w:r>
    </w:p>
    <w:p>
      <w:pPr>
        <w:pStyle w:val="Heading1"/>
        <w:spacing w:after="200" w:before="360"/>
      </w:pPr>
      <w:r>
        <w:rPr>
          <w:rFonts w:ascii="Calibri" w:cs="Calibri" w:eastAsia="Calibri" w:hAnsi="Calibri"/>
          <w:b/>
          <w:bCs/>
          <w:color w:val="333333"/>
          <w:sz w:val="28"/>
          <w:szCs w:val="28"/>
        </w:rPr>
        <w:t xml:space="preserve">ARTICLE VII: SETTLEMENT AND PAYMENT</w:t>
      </w:r>
    </w:p>
    <w:p>
      <w:pPr>
        <w:pStyle w:val="Heading3"/>
        <w:spacing w:after="120" w:before="240"/>
      </w:pPr>
      <w:r>
        <w:rPr>
          <w:rFonts w:ascii="Calibri" w:cs="Calibri" w:eastAsia="Calibri" w:hAnsi="Calibri"/>
          <w:b/>
          <w:bCs/>
          <w:color w:val="333333"/>
          <w:sz w:val="24"/>
          <w:szCs w:val="24"/>
        </w:rPr>
        <w:t xml:space="preserve">Section 7.1  Settlement Events</w:t>
      </w:r>
    </w:p>
    <w:p>
      <w:pPr>
        <w:spacing w:after="160" w:before="0" w:line="276"/>
        <w:jc w:val="both"/>
      </w:pPr>
      <w:r>
        <w:rPr>
          <w:rFonts w:ascii="Calibri" w:cs="Calibri" w:eastAsia="Calibri" w:hAnsi="Calibri"/>
          <w:color w:val="000000"/>
          <w:sz w:val="24"/>
          <w:szCs w:val="24"/>
        </w:rPr>
        <w:t xml:space="preserve">Vested Phantom Units shall be settled in cash upon the occurrence of a Settlement Event. Unless otherwise specified in the Award Agreement, the following shall constitute Settlement Events: (a) Termination of Service (as defined in Section 9.1); (b) a Change of Control (as defined in Article VIII); (c) a Scheduled Settlement Date specified in the Award Agreement; (d) death or Disability of the Participant; or (e) such other events as the Committee may designate in the Award Agreement.</w:t>
      </w:r>
    </w:p>
    <w:p>
      <w:pPr>
        <w:pStyle w:val="Heading3"/>
        <w:spacing w:after="120" w:before="240"/>
      </w:pPr>
      <w:r>
        <w:rPr>
          <w:rFonts w:ascii="Calibri" w:cs="Calibri" w:eastAsia="Calibri" w:hAnsi="Calibri"/>
          <w:b/>
          <w:bCs/>
          <w:color w:val="333333"/>
          <w:sz w:val="24"/>
          <w:szCs w:val="24"/>
        </w:rPr>
        <w:t xml:space="preserve">Section 7.2  Settlement Timing</w:t>
      </w:r>
    </w:p>
    <w:p>
      <w:pPr>
        <w:spacing w:after="160" w:before="0" w:line="276"/>
        <w:jc w:val="both"/>
      </w:pPr>
      <w:r>
        <w:rPr>
          <w:rFonts w:ascii="Calibri" w:cs="Calibri" w:eastAsia="Calibri" w:hAnsi="Calibri"/>
          <w:color w:val="000000"/>
          <w:sz w:val="24"/>
          <w:szCs w:val="24"/>
        </w:rPr>
        <w:t xml:space="preserve">Unless otherwise specified in the Award Agreement, settlement shall occur within </w:t>
      </w:r>
      <w:r>
        <w:rPr>
          <w:rFonts w:ascii="Calibri" w:cs="Calibri" w:eastAsia="Calibri" w:hAnsi="Calibri"/>
          <w:b/>
          <w:bCs/>
          <w:color w:val="2B4C7E"/>
          <w:sz w:val="24"/>
          <w:szCs w:val="24"/>
          <w:highlight w:val="yellow"/>
          <w:highlightCs w:val="yellow"/>
        </w:rPr>
        <w:t xml:space="preserve">[NUMBER, E.G., SIXTY (60)]</w:t>
      </w:r>
      <w:r>
        <w:rPr>
          <w:rFonts w:ascii="Calibri" w:cs="Calibri" w:eastAsia="Calibri" w:hAnsi="Calibri"/>
          <w:color w:val="000000"/>
          <w:sz w:val="24"/>
          <w:szCs w:val="24"/>
        </w:rPr>
        <w:t xml:space="preserve"> days following the applicable Settlement Event; provided, however, that if the settlement constitutes deferred compensation subject to Section 409A, settlement shall occur on the date or during the period specified in the Award Agreement that complies with Section 409A. In no event shall the Participant have the right to designate the taxable year in which settlement occurs. Notwithstanding any other provision of this Plan, if the Committee determines that the immediate settlement of vested Phantom Units would jeopardize the Company's ability to continue as a going concern, the Committee may, in its sole discretion, defer settlement for a period not to exceed </w:t>
      </w:r>
      <w:r>
        <w:rPr>
          <w:rFonts w:ascii="Calibri" w:cs="Calibri" w:eastAsia="Calibri" w:hAnsi="Calibri"/>
          <w:b/>
          <w:bCs/>
          <w:color w:val="2B4C7E"/>
          <w:sz w:val="24"/>
          <w:szCs w:val="24"/>
          <w:highlight w:val="yellow"/>
          <w:highlightCs w:val="yellow"/>
        </w:rPr>
        <w:t xml:space="preserve">[NUMBER, E.G., TWELVE (12)]</w:t>
      </w:r>
      <w:r>
        <w:rPr>
          <w:rFonts w:ascii="Calibri" w:cs="Calibri" w:eastAsia="Calibri" w:hAnsi="Calibri"/>
          <w:color w:val="000000"/>
          <w:sz w:val="24"/>
          <w:szCs w:val="24"/>
        </w:rPr>
        <w:t xml:space="preserve"> months, subject to the payment of interest at the applicable federal rate.</w:t>
      </w:r>
    </w:p>
    <w:p>
      <w:pPr>
        <w:pStyle w:val="Heading3"/>
        <w:spacing w:after="120" w:before="240"/>
      </w:pPr>
      <w:r>
        <w:rPr>
          <w:rFonts w:ascii="Calibri" w:cs="Calibri" w:eastAsia="Calibri" w:hAnsi="Calibri"/>
          <w:b/>
          <w:bCs/>
          <w:color w:val="333333"/>
          <w:sz w:val="24"/>
          <w:szCs w:val="24"/>
        </w:rPr>
        <w:t xml:space="preserve">Section 7.3  Cash Settlement Calculation</w:t>
      </w:r>
    </w:p>
    <w:p>
      <w:pPr>
        <w:spacing w:after="160" w:before="0" w:line="276"/>
        <w:jc w:val="both"/>
      </w:pPr>
      <w:r>
        <w:rPr>
          <w:rFonts w:ascii="Calibri" w:cs="Calibri" w:eastAsia="Calibri" w:hAnsi="Calibri"/>
          <w:color w:val="000000"/>
          <w:sz w:val="24"/>
          <w:szCs w:val="24"/>
        </w:rPr>
        <w:t xml:space="preserve">The cash settlement amount payable with respect to vested Phantom Units shall be calculated as follows:</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b/>
          <w:bCs/>
          <w:sz w:val="24"/>
          <w:szCs w:val="24"/>
        </w:rPr>
        <w:t xml:space="preserve">Full Value Units: </w:t>
      </w:r>
      <w:r>
        <w:rPr>
          <w:rFonts w:ascii="Calibri" w:cs="Calibri" w:eastAsia="Calibri" w:hAnsi="Calibri"/>
          <w:color w:val="000000"/>
          <w:sz w:val="24"/>
          <w:szCs w:val="24"/>
        </w:rPr>
        <w:t xml:space="preserve">Settlement Amount = Number of Vested Phantom Units x Fair Market Value per notional equity unit as of the Valuation Date.</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b/>
          <w:bCs/>
          <w:sz w:val="24"/>
          <w:szCs w:val="24"/>
        </w:rPr>
        <w:t xml:space="preserve">Appreciation Rights: </w:t>
      </w:r>
      <w:r>
        <w:rPr>
          <w:rFonts w:ascii="Calibri" w:cs="Calibri" w:eastAsia="Calibri" w:hAnsi="Calibri"/>
          <w:color w:val="000000"/>
          <w:sz w:val="24"/>
          <w:szCs w:val="24"/>
        </w:rPr>
        <w:t xml:space="preserve">Settlement Amount = Number of Vested Phantom Units x (Fair Market Value per notional equity unit as of the Valuation Date MINUS the Base Value). If the Fair Market Value on the Valuation Date does not exceed the Base Value, the settlement amount for Appreciation Rights shall be zero, and the Appreciation Rights shall terminate without any payment.</w:t>
      </w:r>
    </w:p>
    <w:p>
      <w:pPr>
        <w:spacing w:after="160" w:before="0" w:line="276"/>
        <w:jc w:val="both"/>
      </w:pPr>
      <w:r>
        <w:rPr>
          <w:rFonts w:ascii="Calibri" w:cs="Calibri" w:eastAsia="Calibri" w:hAnsi="Calibri"/>
          <w:color w:val="000000"/>
          <w:sz w:val="24"/>
          <w:szCs w:val="24"/>
        </w:rPr>
        <w:t xml:space="preserve">The Valuation Date for purposes of calculating the settlement amount shall be determined in accordance with Article XI and shall be the date specified in the Award Agreement or, if no date is specified, the date of the Settlement Event (or the most recent Valuation Date preceding the Settlement Event, as determined by the Committee).</w:t>
      </w:r>
    </w:p>
    <w:p>
      <w:pPr>
        <w:pStyle w:val="Heading3"/>
        <w:spacing w:after="120" w:before="240"/>
      </w:pPr>
      <w:r>
        <w:rPr>
          <w:rFonts w:ascii="Calibri" w:cs="Calibri" w:eastAsia="Calibri" w:hAnsi="Calibri"/>
          <w:b/>
          <w:bCs/>
          <w:color w:val="333333"/>
          <w:sz w:val="24"/>
          <w:szCs w:val="24"/>
        </w:rPr>
        <w:t xml:space="preserve">Section 7.4  Installment Payments</w:t>
      </w:r>
    </w:p>
    <w:p>
      <w:pPr>
        <w:spacing w:after="160" w:before="0" w:line="276"/>
        <w:jc w:val="both"/>
      </w:pPr>
      <w:r>
        <w:rPr>
          <w:rFonts w:ascii="Calibri" w:cs="Calibri" w:eastAsia="Calibri" w:hAnsi="Calibri"/>
          <w:color w:val="000000"/>
          <w:sz w:val="24"/>
          <w:szCs w:val="24"/>
        </w:rPr>
        <w:t xml:space="preserve">The Award Agreement may provide for settlement of vested Phantom Units in a single lump sum payment or in substantially equal installments over a period not to exceed </w:t>
      </w:r>
      <w:r>
        <w:rPr>
          <w:rFonts w:ascii="Calibri" w:cs="Calibri" w:eastAsia="Calibri" w:hAnsi="Calibri"/>
          <w:b/>
          <w:bCs/>
          <w:color w:val="2B4C7E"/>
          <w:sz w:val="24"/>
          <w:szCs w:val="24"/>
          <w:highlight w:val="yellow"/>
          <w:highlightCs w:val="yellow"/>
        </w:rPr>
        <w:t xml:space="preserve">[NUMBER, E.G., FIVE (5)]</w:t>
      </w:r>
      <w:r>
        <w:rPr>
          <w:rFonts w:ascii="Calibri" w:cs="Calibri" w:eastAsia="Calibri" w:hAnsi="Calibri"/>
          <w:color w:val="000000"/>
          <w:sz w:val="24"/>
          <w:szCs w:val="24"/>
        </w:rPr>
        <w:t xml:space="preserve"> years. If installment payments are elected in the Award Agreement, such installments shall be paid </w:t>
      </w:r>
      <w:r>
        <w:rPr>
          <w:rFonts w:ascii="Calibri" w:cs="Calibri" w:eastAsia="Calibri" w:hAnsi="Calibri"/>
          <w:b/>
          <w:bCs/>
          <w:color w:val="2B4C7E"/>
          <w:sz w:val="24"/>
          <w:szCs w:val="24"/>
          <w:highlight w:val="yellow"/>
          <w:highlightCs w:val="yellow"/>
        </w:rPr>
        <w:t xml:space="preserve">[MONTHLY/QUARTERLY/ANNUALLY]</w:t>
      </w:r>
      <w:r>
        <w:rPr>
          <w:rFonts w:ascii="Calibri" w:cs="Calibri" w:eastAsia="Calibri" w:hAnsi="Calibri"/>
          <w:color w:val="000000"/>
          <w:sz w:val="24"/>
          <w:szCs w:val="24"/>
        </w:rPr>
        <w:t xml:space="preserve"> and shall include interest on the unpaid balance at the rate of </w:t>
      </w:r>
      <w:r>
        <w:rPr>
          <w:rFonts w:ascii="Calibri" w:cs="Calibri" w:eastAsia="Calibri" w:hAnsi="Calibri"/>
          <w:b/>
          <w:bCs/>
          <w:color w:val="2B4C7E"/>
          <w:sz w:val="24"/>
          <w:szCs w:val="24"/>
          <w:highlight w:val="yellow"/>
          <w:highlightCs w:val="yellow"/>
        </w:rPr>
        <w:t xml:space="preserve">[INTEREST RATE, E.G., THE APPLICABLE FEDERAL RATE]</w:t>
      </w:r>
      <w:r>
        <w:rPr>
          <w:rFonts w:ascii="Calibri" w:cs="Calibri" w:eastAsia="Calibri" w:hAnsi="Calibri"/>
          <w:color w:val="000000"/>
          <w:sz w:val="24"/>
          <w:szCs w:val="24"/>
        </w:rPr>
        <w:t xml:space="preserve"> per annum. Each installment payment shall be treated as a separate payment for purposes of Section 409A.</w:t>
      </w:r>
    </w:p>
    <w:p>
      <w:pPr>
        <w:pStyle w:val="Heading3"/>
        <w:spacing w:after="120" w:before="240"/>
      </w:pPr>
      <w:r>
        <w:rPr>
          <w:rFonts w:ascii="Calibri" w:cs="Calibri" w:eastAsia="Calibri" w:hAnsi="Calibri"/>
          <w:b/>
          <w:bCs/>
          <w:color w:val="333333"/>
          <w:sz w:val="24"/>
          <w:szCs w:val="24"/>
        </w:rPr>
        <w:t xml:space="preserve">Section 7.5  Withholding</w:t>
      </w:r>
    </w:p>
    <w:p>
      <w:pPr>
        <w:spacing w:after="160" w:before="0" w:line="276"/>
        <w:jc w:val="both"/>
      </w:pPr>
      <w:r>
        <w:rPr>
          <w:rFonts w:ascii="Calibri" w:cs="Calibri" w:eastAsia="Calibri" w:hAnsi="Calibri"/>
          <w:color w:val="000000"/>
          <w:sz w:val="24"/>
          <w:szCs w:val="24"/>
        </w:rPr>
        <w:t xml:space="preserve">The Company shall be entitled to withhold from any cash settlement payment such amounts as may be required to satisfy all applicable federal, state, local, and foreign tax withholding obligations. The Company may also require the Participant to make arrangements satisfactory to the Company for the payment of any withholding tax obligations that cannot be satisfied through withholding from the settlement payment. The Participant shall bear all employment taxes (including the employee portion of FICA) and income taxes arising from the settlement of Phantom Units. If the Participant is classified as an independent contractor, the Company shall report the settlement payment on Form 1099-NEC (or applicable successor form).</w:t>
      </w:r>
    </w:p>
    <w:p>
      <w:pPr>
        <w:pStyle w:val="Heading3"/>
        <w:spacing w:after="120" w:before="240"/>
      </w:pPr>
      <w:r>
        <w:rPr>
          <w:rFonts w:ascii="Calibri" w:cs="Calibri" w:eastAsia="Calibri" w:hAnsi="Calibri"/>
          <w:b/>
          <w:bCs/>
          <w:color w:val="333333"/>
          <w:sz w:val="24"/>
          <w:szCs w:val="24"/>
        </w:rPr>
        <w:t xml:space="preserve">Section 7.6  Section 409A Compliance</w:t>
      </w:r>
    </w:p>
    <w:p>
      <w:pPr>
        <w:spacing w:after="160" w:before="0" w:line="276"/>
        <w:jc w:val="both"/>
      </w:pPr>
      <w:r>
        <w:rPr>
          <w:rFonts w:ascii="Calibri" w:cs="Calibri" w:eastAsia="Calibri" w:hAnsi="Calibri"/>
          <w:color w:val="000000"/>
          <w:sz w:val="24"/>
          <w:szCs w:val="24"/>
        </w:rPr>
        <w:t xml:space="preserve">It is the intention of the Company and each Participant that all Phantom Units granted under this Plan shall comply with, or be exempt from, the requirements of Section 409A. This Plan and all Award Agreements shall be interpreted and administered in a manner consistent with such intention. Notwithstanding any other provision of this Plan, the Company shall not be liable to any Participant or any other person for any tax, interest, or penalty imposed under Section 409A as a result of any grant, vesting, settlement, or other event under this Plan.</w:t>
      </w:r>
    </w:p>
    <w:p>
      <w:pPr>
        <w:pStyle w:val="Heading3"/>
        <w:spacing w:after="120" w:before="240"/>
      </w:pPr>
      <w:r>
        <w:rPr>
          <w:rFonts w:ascii="Calibri" w:cs="Calibri" w:eastAsia="Calibri" w:hAnsi="Calibri"/>
          <w:b/>
          <w:bCs/>
          <w:color w:val="333333"/>
          <w:sz w:val="24"/>
          <w:szCs w:val="24"/>
        </w:rPr>
        <w:t xml:space="preserve">Section 7.7  Six-Month Delay for Specified Employees</w:t>
      </w:r>
    </w:p>
    <w:p>
      <w:pPr>
        <w:spacing w:after="160" w:before="0" w:line="276"/>
        <w:jc w:val="both"/>
      </w:pPr>
      <w:r>
        <w:rPr>
          <w:rFonts w:ascii="Calibri" w:cs="Calibri" w:eastAsia="Calibri" w:hAnsi="Calibri"/>
          <w:color w:val="000000"/>
          <w:sz w:val="24"/>
          <w:szCs w:val="24"/>
        </w:rPr>
        <w:t xml:space="preserve">Notwithstanding any other provision of this Plan, if: (a) any Phantom Unit constitutes deferred compensation subject to Section 409A; (b) the settlement is triggered by the Participant's separation from service (within the meaning of Section 409A); and (c) the Participant is a "specified employee" (within the meaning of Section 409A(a)(2)(B)(i) and Treasury Regulation Section 1.409A-1(i)), then settlement shall not be made earlier than the first business day following the six (6)-month anniversary of the Participant's separation from service (or, if earlier, the date of the Participant's death). Any payments that would otherwise have been made during such six-month period shall be accumulated and paid in a single lump sum on the first business day following the expiration of such six-month period, together with interest at the rate of </w:t>
      </w:r>
      <w:r>
        <w:rPr>
          <w:rFonts w:ascii="Calibri" w:cs="Calibri" w:eastAsia="Calibri" w:hAnsi="Calibri"/>
          <w:b/>
          <w:bCs/>
          <w:color w:val="2B4C7E"/>
          <w:sz w:val="24"/>
          <w:szCs w:val="24"/>
          <w:highlight w:val="yellow"/>
          <w:highlightCs w:val="yellow"/>
        </w:rPr>
        <w:t xml:space="preserve">[INTEREST RATE, E.G., THE APPLICABLE FEDERAL RATE]</w:t>
      </w:r>
      <w:r>
        <w:rPr>
          <w:rFonts w:ascii="Calibri" w:cs="Calibri" w:eastAsia="Calibri" w:hAnsi="Calibri"/>
          <w:color w:val="000000"/>
          <w:sz w:val="24"/>
          <w:szCs w:val="24"/>
        </w:rPr>
        <w:t xml:space="preserve"> per annum on the delayed amount.</w:t>
      </w:r>
    </w:p>
    <w:p>
      <w:pPr>
        <w:pStyle w:val="Heading3"/>
        <w:spacing w:after="120" w:before="240"/>
      </w:pPr>
      <w:r>
        <w:rPr>
          <w:rFonts w:ascii="Calibri" w:cs="Calibri" w:eastAsia="Calibri" w:hAnsi="Calibri"/>
          <w:b/>
          <w:bCs/>
          <w:color w:val="333333"/>
          <w:sz w:val="24"/>
          <w:szCs w:val="24"/>
        </w:rPr>
        <w:t xml:space="preserve">Section 7.8  Maximum Settlement Amount</w:t>
      </w:r>
    </w:p>
    <w:p>
      <w:pPr>
        <w:spacing w:after="160" w:before="0" w:line="276"/>
        <w:jc w:val="both"/>
      </w:pPr>
      <w:r>
        <w:rPr>
          <w:rFonts w:ascii="Calibri" w:cs="Calibri" w:eastAsia="Calibri" w:hAnsi="Calibri"/>
          <w:color w:val="000000"/>
          <w:sz w:val="24"/>
          <w:szCs w:val="24"/>
        </w:rPr>
        <w:t xml:space="preserve">Notwithstanding any other provision of this Plan, the aggregate cash settlement amount payable to any single Participant under this Plan shall not exceed </w:t>
      </w:r>
      <w:r>
        <w:rPr>
          <w:rFonts w:ascii="Calibri" w:cs="Calibri" w:eastAsia="Calibri" w:hAnsi="Calibri"/>
          <w:b/>
          <w:bCs/>
          <w:color w:val="2B4C7E"/>
          <w:sz w:val="24"/>
          <w:szCs w:val="24"/>
          <w:highlight w:val="yellow"/>
          <w:highlightCs w:val="yellow"/>
        </w:rPr>
        <w:t xml:space="preserve">[MAXIMUM AGGREGATE SETTLEMENT AMOUNT, E.G., $[AMOUNT]]</w:t>
      </w:r>
      <w:r>
        <w:rPr>
          <w:rFonts w:ascii="Calibri" w:cs="Calibri" w:eastAsia="Calibri" w:hAnsi="Calibri"/>
          <w:color w:val="000000"/>
          <w:sz w:val="24"/>
          <w:szCs w:val="24"/>
        </w:rPr>
        <w:t xml:space="preserve"> (the "Individual Cap"). The Committee may adjust the Individual Cap from time to time in its sole discretion. In the event that the aggregate settlement amount payable to all Participants under this Plan exceeds </w:t>
      </w:r>
      <w:r>
        <w:rPr>
          <w:rFonts w:ascii="Calibri" w:cs="Calibri" w:eastAsia="Calibri" w:hAnsi="Calibri"/>
          <w:b/>
          <w:bCs/>
          <w:color w:val="2B4C7E"/>
          <w:sz w:val="24"/>
          <w:szCs w:val="24"/>
          <w:highlight w:val="yellow"/>
          <w:highlightCs w:val="yellow"/>
        </w:rPr>
        <w:t xml:space="preserve">[AGGREGATE PLAN CAP, E.G., $[AMOUNT] OR [PERCENTAGE]% OF TOTAL ENTERPRISE VALUE]</w:t>
      </w:r>
      <w:r>
        <w:rPr>
          <w:rFonts w:ascii="Calibri" w:cs="Calibri" w:eastAsia="Calibri" w:hAnsi="Calibri"/>
          <w:color w:val="000000"/>
          <w:sz w:val="24"/>
          <w:szCs w:val="24"/>
        </w:rPr>
        <w:t xml:space="preserve"> (the "Plan Cap"), the Committee shall have the authority to reduce settlement amounts on a pro rata basis or in such other manner as the Committee deems equitable.</w:t>
      </w:r>
    </w:p>
    <w:p>
      <w:r>
        <w:br w:type="page"/>
      </w:r>
    </w:p>
    <w:p>
      <w:pPr>
        <w:pStyle w:val="Heading1"/>
        <w:spacing w:after="200" w:before="360"/>
      </w:pPr>
      <w:r>
        <w:rPr>
          <w:rFonts w:ascii="Calibri" w:cs="Calibri" w:eastAsia="Calibri" w:hAnsi="Calibri"/>
          <w:b/>
          <w:bCs/>
          <w:color w:val="333333"/>
          <w:sz w:val="28"/>
          <w:szCs w:val="28"/>
        </w:rPr>
        <w:t xml:space="preserve">ARTICLE VIII: CHANGE OF CONTROL</w:t>
      </w:r>
    </w:p>
    <w:p>
      <w:pPr>
        <w:pStyle w:val="Heading3"/>
        <w:spacing w:after="120" w:before="240"/>
      </w:pPr>
      <w:r>
        <w:rPr>
          <w:rFonts w:ascii="Calibri" w:cs="Calibri" w:eastAsia="Calibri" w:hAnsi="Calibri"/>
          <w:b/>
          <w:bCs/>
          <w:color w:val="333333"/>
          <w:sz w:val="24"/>
          <w:szCs w:val="24"/>
        </w:rPr>
        <w:t xml:space="preserve">Section 8.1  Definition of Change of Control</w:t>
      </w:r>
    </w:p>
    <w:p>
      <w:pPr>
        <w:spacing w:after="160" w:before="0" w:line="276"/>
        <w:jc w:val="both"/>
      </w:pPr>
      <w:r>
        <w:rPr>
          <w:rFonts w:ascii="Calibri" w:cs="Calibri" w:eastAsia="Calibri" w:hAnsi="Calibri"/>
          <w:color w:val="000000"/>
          <w:sz w:val="24"/>
          <w:szCs w:val="24"/>
        </w:rPr>
        <w:t xml:space="preserve">For purposes of this Plan, a "Change of Control" shall mean the occurrence of any of the following events:</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b/>
          <w:bCs/>
          <w:sz w:val="24"/>
          <w:szCs w:val="24"/>
        </w:rPr>
        <w:t xml:space="preserve">Asset Sale: </w:t>
      </w:r>
      <w:r>
        <w:rPr>
          <w:rFonts w:ascii="Calibri" w:cs="Calibri" w:eastAsia="Calibri" w:hAnsi="Calibri"/>
          <w:color w:val="000000"/>
          <w:sz w:val="24"/>
          <w:szCs w:val="24"/>
        </w:rPr>
        <w:t xml:space="preserve">The sale, lease, exclusive license, or other disposition of all or substantially all of the assets of the Company in a single transaction or series of related transactions;</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b/>
          <w:bCs/>
          <w:sz w:val="24"/>
          <w:szCs w:val="24"/>
        </w:rPr>
        <w:t xml:space="preserve">Merger or Consolidation: </w:t>
      </w:r>
      <w:r>
        <w:rPr>
          <w:rFonts w:ascii="Calibri" w:cs="Calibri" w:eastAsia="Calibri" w:hAnsi="Calibri"/>
          <w:color w:val="000000"/>
          <w:sz w:val="24"/>
          <w:szCs w:val="24"/>
        </w:rPr>
        <w:t xml:space="preserve">The consummation of any merger, consolidation, reorganization, or similar transaction involving the Company, unless the holders of the Company's equity interests immediately prior to such transaction hold, directly or indirectly, more than fifty percent (50%) of the voting power of the surviving or resulting entity immediately after such transaction;</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b/>
          <w:bCs/>
          <w:sz w:val="24"/>
          <w:szCs w:val="24"/>
        </w:rPr>
        <w:t xml:space="preserve">Equity Change: </w:t>
      </w:r>
      <w:r>
        <w:rPr>
          <w:rFonts w:ascii="Calibri" w:cs="Calibri" w:eastAsia="Calibri" w:hAnsi="Calibri"/>
          <w:color w:val="000000"/>
          <w:sz w:val="24"/>
          <w:szCs w:val="24"/>
        </w:rPr>
        <w:t xml:space="preserve">Any transaction or series of related transactions (including any acquisition, recapitalization, or issuance of equity interests) in which any person or group of related persons (other than the Company's existing equity holders as of the Effective Date) acquires, directly or indirectly, beneficial ownership of more than </w:t>
      </w:r>
      <w:r>
        <w:rPr>
          <w:rFonts w:ascii="Calibri" w:cs="Calibri" w:eastAsia="Calibri" w:hAnsi="Calibri"/>
          <w:b/>
          <w:bCs/>
          <w:color w:val="2B4C7E"/>
          <w:sz w:val="24"/>
          <w:szCs w:val="24"/>
          <w:highlight w:val="yellow"/>
          <w:highlightCs w:val="yellow"/>
        </w:rPr>
        <w:t xml:space="preserve">[PERCENTAGE, E.G., FIFTY PERCENT (50%)]</w:t>
      </w:r>
      <w:r>
        <w:rPr>
          <w:rFonts w:ascii="Calibri" w:cs="Calibri" w:eastAsia="Calibri" w:hAnsi="Calibri"/>
          <w:color w:val="000000"/>
          <w:sz w:val="24"/>
          <w:szCs w:val="24"/>
        </w:rPr>
        <w:t xml:space="preserve"> of the total voting power or economic interest in the Company;</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b/>
          <w:bCs/>
          <w:sz w:val="24"/>
          <w:szCs w:val="24"/>
        </w:rPr>
        <w:t xml:space="preserve">Liquidation or Dissolution: </w:t>
      </w:r>
      <w:r>
        <w:rPr>
          <w:rFonts w:ascii="Calibri" w:cs="Calibri" w:eastAsia="Calibri" w:hAnsi="Calibri"/>
          <w:color w:val="000000"/>
          <w:sz w:val="24"/>
          <w:szCs w:val="24"/>
        </w:rPr>
        <w:t xml:space="preserve">The adoption of a plan of complete liquidation or dissolution of the Company; or</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b/>
          <w:bCs/>
          <w:sz w:val="24"/>
          <w:szCs w:val="24"/>
        </w:rPr>
        <w:t xml:space="preserve">IPO: </w:t>
      </w:r>
      <w:r>
        <w:rPr>
          <w:rFonts w:ascii="Calibri" w:cs="Calibri" w:eastAsia="Calibri" w:hAnsi="Calibri"/>
          <w:color w:val="000000"/>
          <w:sz w:val="24"/>
          <w:szCs w:val="24"/>
        </w:rPr>
        <w:t xml:space="preserve">The consummation of an initial public offering of the Company's equity securities pursuant to a registration statement filed under the Securities Act of 1933, as amended, if and to the extent specified as a Change of Control event in the applicable Award Agreement.</w:t>
      </w:r>
    </w:p>
    <w:p>
      <w:pPr>
        <w:pStyle w:val="Heading3"/>
        <w:spacing w:after="120" w:before="240"/>
      </w:pPr>
      <w:r>
        <w:rPr>
          <w:rFonts w:ascii="Calibri" w:cs="Calibri" w:eastAsia="Calibri" w:hAnsi="Calibri"/>
          <w:b/>
          <w:bCs/>
          <w:color w:val="333333"/>
          <w:sz w:val="24"/>
          <w:szCs w:val="24"/>
        </w:rPr>
        <w:t xml:space="preserve">Section 8.2  Accelerated Vesting Upon Change of Control</w:t>
      </w:r>
    </w:p>
    <w:p>
      <w:pPr>
        <w:spacing w:after="160" w:before="0" w:line="276"/>
        <w:jc w:val="both"/>
      </w:pPr>
      <w:r>
        <w:rPr>
          <w:rFonts w:ascii="Calibri" w:cs="Calibri" w:eastAsia="Calibri" w:hAnsi="Calibri"/>
          <w:color w:val="000000"/>
          <w:sz w:val="24"/>
          <w:szCs w:val="24"/>
        </w:rPr>
        <w:t xml:space="preserve">Unless the applicable Award Agreement provides otherwise, upon the occurrence of a Change of Control, all outstanding unvested Phantom Units shall become fully vested immediately prior to the consummation of such Change of Control ("single-trigger" acceleration). The Committee may provide in any Award Agreement for "double-trigger" acceleration as described in Section 8.5.</w:t>
      </w:r>
    </w:p>
    <w:p>
      <w:pPr>
        <w:pStyle w:val="Heading3"/>
        <w:spacing w:after="120" w:before="240"/>
      </w:pPr>
      <w:r>
        <w:rPr>
          <w:rFonts w:ascii="Calibri" w:cs="Calibri" w:eastAsia="Calibri" w:hAnsi="Calibri"/>
          <w:b/>
          <w:bCs/>
          <w:color w:val="333333"/>
          <w:sz w:val="24"/>
          <w:szCs w:val="24"/>
        </w:rPr>
        <w:t xml:space="preserve">Section 8.3  Settlement Mechanics</w:t>
      </w:r>
    </w:p>
    <w:p>
      <w:pPr>
        <w:spacing w:after="160" w:before="0" w:line="276"/>
        <w:jc w:val="both"/>
      </w:pPr>
      <w:r>
        <w:rPr>
          <w:rFonts w:ascii="Calibri" w:cs="Calibri" w:eastAsia="Calibri" w:hAnsi="Calibri"/>
          <w:color w:val="000000"/>
          <w:sz w:val="24"/>
          <w:szCs w:val="24"/>
        </w:rPr>
        <w:t xml:space="preserve">Upon a Change of Control, all vested Phantom Units (including Phantom Units that vest pursuant to Section 8.2) shall be settled in cash within </w:t>
      </w:r>
      <w:r>
        <w:rPr>
          <w:rFonts w:ascii="Calibri" w:cs="Calibri" w:eastAsia="Calibri" w:hAnsi="Calibri"/>
          <w:b/>
          <w:bCs/>
          <w:color w:val="2B4C7E"/>
          <w:sz w:val="24"/>
          <w:szCs w:val="24"/>
          <w:highlight w:val="yellow"/>
          <w:highlightCs w:val="yellow"/>
        </w:rPr>
        <w:t xml:space="preserve">[NUMBER, E.G., THIRTY (30)]</w:t>
      </w:r>
      <w:r>
        <w:rPr>
          <w:rFonts w:ascii="Calibri" w:cs="Calibri" w:eastAsia="Calibri" w:hAnsi="Calibri"/>
          <w:color w:val="000000"/>
          <w:sz w:val="24"/>
          <w:szCs w:val="24"/>
        </w:rPr>
        <w:t xml:space="preserve"> days following the consummation of the Change of Control (or such later date as may be required by Section 409A). The Fair Market Value for purposes of calculating the settlement amount shall be determined based on the per-unit consideration received or to be received by the Company's equity holders in connection with the Change of Control transaction. If the Change of Control consideration consists of property other than cash, the Committee shall determine the fair market value of such property for purposes of calculating the settlement amount.</w:t>
      </w:r>
    </w:p>
    <w:p>
      <w:pPr>
        <w:pStyle w:val="Heading3"/>
        <w:spacing w:after="120" w:before="240"/>
      </w:pPr>
      <w:r>
        <w:rPr>
          <w:rFonts w:ascii="Calibri" w:cs="Calibri" w:eastAsia="Calibri" w:hAnsi="Calibri"/>
          <w:b/>
          <w:bCs/>
          <w:color w:val="333333"/>
          <w:sz w:val="24"/>
          <w:szCs w:val="24"/>
        </w:rPr>
        <w:t xml:space="preserve">Section 8.4  Successor Assumption</w:t>
      </w:r>
    </w:p>
    <w:p>
      <w:pPr>
        <w:spacing w:after="160" w:before="0" w:line="276"/>
        <w:jc w:val="both"/>
      </w:pPr>
      <w:r>
        <w:rPr>
          <w:rFonts w:ascii="Calibri" w:cs="Calibri" w:eastAsia="Calibri" w:hAnsi="Calibri"/>
          <w:color w:val="000000"/>
          <w:sz w:val="24"/>
          <w:szCs w:val="24"/>
        </w:rPr>
        <w:t xml:space="preserve">In connection with a Change of Control, the Committee may, in its sole discretion, provide that: (a) the surviving or acquiring entity (the "Successor") shall assume or continue all outstanding Phantom Units upon substantially similar terms and conditions; (b) the Successor shall substitute equivalent phantom equity rights for the outstanding Phantom Units; or (c) the outstanding Phantom Units shall be settled in cash as provided in Section 8.3. If the Successor assumes or substitutes for the Phantom Units, references to the Company in this Plan and the Award Agreements shall be deemed to refer to the Successor, and the Fair Market Value shall be determined by reference to the equity of the Successor.</w:t>
      </w:r>
    </w:p>
    <w:p>
      <w:pPr>
        <w:pStyle w:val="Heading3"/>
        <w:spacing w:after="120" w:before="240"/>
      </w:pPr>
      <w:r>
        <w:rPr>
          <w:rFonts w:ascii="Calibri" w:cs="Calibri" w:eastAsia="Calibri" w:hAnsi="Calibri"/>
          <w:b/>
          <w:bCs/>
          <w:color w:val="333333"/>
          <w:sz w:val="24"/>
          <w:szCs w:val="24"/>
        </w:rPr>
        <w:t xml:space="preserve">Section 8.5  Double-Trigger Vesting</w:t>
      </w:r>
    </w:p>
    <w:p>
      <w:pPr>
        <w:spacing w:after="160" w:before="0" w:line="276"/>
        <w:jc w:val="both"/>
      </w:pPr>
      <w:r>
        <w:rPr>
          <w:rFonts w:ascii="Calibri" w:cs="Calibri" w:eastAsia="Calibri" w:hAnsi="Calibri"/>
          <w:color w:val="000000"/>
          <w:sz w:val="24"/>
          <w:szCs w:val="24"/>
        </w:rPr>
        <w:t xml:space="preserve">An Award Agreement may provide that, in the event of a Change of Control in which Phantom Units are assumed or substituted by a Successor, vesting shall not be accelerated solely by reason of the Change of Control but shall instead be accelerated only if, within </w:t>
      </w:r>
      <w:r>
        <w:rPr>
          <w:rFonts w:ascii="Calibri" w:cs="Calibri" w:eastAsia="Calibri" w:hAnsi="Calibri"/>
          <w:b/>
          <w:bCs/>
          <w:color w:val="2B4C7E"/>
          <w:sz w:val="24"/>
          <w:szCs w:val="24"/>
          <w:highlight w:val="yellow"/>
          <w:highlightCs w:val="yellow"/>
        </w:rPr>
        <w:t xml:space="preserve">[NUMBER, E.G., TWELVE (12)]</w:t>
      </w:r>
      <w:r>
        <w:rPr>
          <w:rFonts w:ascii="Calibri" w:cs="Calibri" w:eastAsia="Calibri" w:hAnsi="Calibri"/>
          <w:color w:val="000000"/>
          <w:sz w:val="24"/>
          <w:szCs w:val="24"/>
        </w:rPr>
        <w:t xml:space="preserve"> months following the consummation of the Change of Control, the Participant experiences: (a) an involuntary Termination of Service by the Company or the Successor without Cause; or (b) a voluntary Termination of Service by the Participant for Good Reason (each, a "Qualifying Termination"). Upon a Qualifying Termination, all outstanding unvested Phantom Units shall become fully vested immediately upon such termination, and settlement shall occur in accordance with Article VII.</w:t>
      </w:r>
    </w:p>
    <w:p>
      <w:r>
        <w:br w:type="page"/>
      </w:r>
    </w:p>
    <w:p>
      <w:pPr>
        <w:pStyle w:val="Heading1"/>
        <w:spacing w:after="200" w:before="360"/>
      </w:pPr>
      <w:r>
        <w:rPr>
          <w:rFonts w:ascii="Calibri" w:cs="Calibri" w:eastAsia="Calibri" w:hAnsi="Calibri"/>
          <w:b/>
          <w:bCs/>
          <w:color w:val="333333"/>
          <w:sz w:val="28"/>
          <w:szCs w:val="28"/>
        </w:rPr>
        <w:t xml:space="preserve">ARTICLE IX: TERMINATION OF SERVICE</w:t>
      </w:r>
    </w:p>
    <w:p>
      <w:pPr>
        <w:pStyle w:val="Heading3"/>
        <w:spacing w:after="120" w:before="240"/>
      </w:pPr>
      <w:r>
        <w:rPr>
          <w:rFonts w:ascii="Calibri" w:cs="Calibri" w:eastAsia="Calibri" w:hAnsi="Calibri"/>
          <w:b/>
          <w:bCs/>
          <w:color w:val="333333"/>
          <w:sz w:val="24"/>
          <w:szCs w:val="24"/>
        </w:rPr>
        <w:t xml:space="preserve">Section 9.1  Termination of Service Defined</w:t>
      </w:r>
    </w:p>
    <w:p>
      <w:pPr>
        <w:spacing w:after="160" w:before="0" w:line="276"/>
        <w:jc w:val="both"/>
      </w:pPr>
      <w:r>
        <w:rPr>
          <w:rFonts w:ascii="Calibri" w:cs="Calibri" w:eastAsia="Calibri" w:hAnsi="Calibri"/>
          <w:color w:val="000000"/>
          <w:sz w:val="24"/>
          <w:szCs w:val="24"/>
        </w:rPr>
        <w:t xml:space="preserve">For purposes of this Plan, "Termination of Service" means the cessation of a Participant's service as a Service Provider to the Company and all Affiliates for any reason, whether voluntary or involuntary. For Participants who are employees, Termination of Service shall mean a "separation from service" within the meaning of Section 409A. For Participants who are independent contractors, Termination of Service shall mean the expiration or termination of the Participant's contractual relationship with the Company and all Affiliates (subject to the default period rules under Section 409A). A Participant shall not be deemed to have experienced a Termination of Service solely by reason of a transfer between the Company and an Affiliate, or between Affiliates, or a change in the capacity in which the Participant provides services.</w:t>
      </w:r>
    </w:p>
    <w:p>
      <w:pPr>
        <w:pStyle w:val="Heading3"/>
        <w:spacing w:after="120" w:before="240"/>
      </w:pPr>
      <w:r>
        <w:rPr>
          <w:rFonts w:ascii="Calibri" w:cs="Calibri" w:eastAsia="Calibri" w:hAnsi="Calibri"/>
          <w:b/>
          <w:bCs/>
          <w:color w:val="333333"/>
          <w:sz w:val="24"/>
          <w:szCs w:val="24"/>
        </w:rPr>
        <w:t xml:space="preserve">Section 9.2  Voluntary Resignation</w:t>
      </w:r>
    </w:p>
    <w:p>
      <w:pPr>
        <w:spacing w:after="160" w:before="0" w:line="276"/>
        <w:jc w:val="both"/>
      </w:pPr>
      <w:r>
        <w:rPr>
          <w:rFonts w:ascii="Calibri" w:cs="Calibri" w:eastAsia="Calibri" w:hAnsi="Calibri"/>
          <w:color w:val="000000"/>
          <w:sz w:val="24"/>
          <w:szCs w:val="24"/>
        </w:rPr>
        <w:t xml:space="preserve">In the event of a Participant's voluntary Termination of Service (other than for Good Reason), all unvested Phantom Units shall be immediately and automatically forfeited as of the date of termination. Subject to Section 7.7 (six-month delay for specified employees) and the terms of the Award Agreement, vested Phantom Units shall be settled in cash within </w:t>
      </w:r>
      <w:r>
        <w:rPr>
          <w:rFonts w:ascii="Calibri" w:cs="Calibri" w:eastAsia="Calibri" w:hAnsi="Calibri"/>
          <w:b/>
          <w:bCs/>
          <w:color w:val="2B4C7E"/>
          <w:sz w:val="24"/>
          <w:szCs w:val="24"/>
          <w:highlight w:val="yellow"/>
          <w:highlightCs w:val="yellow"/>
        </w:rPr>
        <w:t xml:space="preserve">[NUMBER, E.G., SIXTY (60)]</w:t>
      </w:r>
      <w:r>
        <w:rPr>
          <w:rFonts w:ascii="Calibri" w:cs="Calibri" w:eastAsia="Calibri" w:hAnsi="Calibri"/>
          <w:color w:val="000000"/>
          <w:sz w:val="24"/>
          <w:szCs w:val="24"/>
        </w:rPr>
        <w:t xml:space="preserve"> days following the date of termination. If the Award Agreement provides for settlement upon a Scheduled Settlement Date or a Change of Control (rather than upon Termination of Service), vested Phantom Units shall remain outstanding and shall be settled on the earliest applicable Settlement Event.</w:t>
      </w:r>
    </w:p>
    <w:p>
      <w:pPr>
        <w:pStyle w:val="Heading3"/>
        <w:spacing w:after="120" w:before="240"/>
      </w:pPr>
      <w:r>
        <w:rPr>
          <w:rFonts w:ascii="Calibri" w:cs="Calibri" w:eastAsia="Calibri" w:hAnsi="Calibri"/>
          <w:b/>
          <w:bCs/>
          <w:color w:val="333333"/>
          <w:sz w:val="24"/>
          <w:szCs w:val="24"/>
        </w:rPr>
        <w:t xml:space="preserve">Section 9.3  Involuntary Termination Without Cause</w:t>
      </w:r>
    </w:p>
    <w:p>
      <w:pPr>
        <w:spacing w:after="160" w:before="0" w:line="276"/>
        <w:jc w:val="both"/>
      </w:pPr>
      <w:r>
        <w:rPr>
          <w:rFonts w:ascii="Calibri" w:cs="Calibri" w:eastAsia="Calibri" w:hAnsi="Calibri"/>
          <w:color w:val="000000"/>
          <w:sz w:val="24"/>
          <w:szCs w:val="24"/>
        </w:rPr>
        <w:t xml:space="preserve">In the event of a Participant's involuntary Termination of Service by the Company without Cause, all unvested Phantom Units shall be immediately forfeited unless the Award Agreement provides otherwise (e.g., partial acceleration or continued vesting for a specified period following termination). Vested Phantom Units shall be settled in cash within </w:t>
      </w:r>
      <w:r>
        <w:rPr>
          <w:rFonts w:ascii="Calibri" w:cs="Calibri" w:eastAsia="Calibri" w:hAnsi="Calibri"/>
          <w:b/>
          <w:bCs/>
          <w:color w:val="2B4C7E"/>
          <w:sz w:val="24"/>
          <w:szCs w:val="24"/>
          <w:highlight w:val="yellow"/>
          <w:highlightCs w:val="yellow"/>
        </w:rPr>
        <w:t xml:space="preserve">[NUMBER, E.G., SIXTY (60)]</w:t>
      </w:r>
      <w:r>
        <w:rPr>
          <w:rFonts w:ascii="Calibri" w:cs="Calibri" w:eastAsia="Calibri" w:hAnsi="Calibri"/>
          <w:color w:val="000000"/>
          <w:sz w:val="24"/>
          <w:szCs w:val="24"/>
        </w:rPr>
        <w:t xml:space="preserve"> days following the date of termination, subject to Section 7.7 and the terms of the Award Agreement. The Committee may, in its sole discretion, provide for the acceleration of unvested Phantom Units upon involuntary termination without Cause, either in the Award Agreement or at the time of termination.</w:t>
      </w:r>
    </w:p>
    <w:p>
      <w:pPr>
        <w:pStyle w:val="Heading3"/>
        <w:spacing w:after="120" w:before="240"/>
      </w:pPr>
      <w:r>
        <w:rPr>
          <w:rFonts w:ascii="Calibri" w:cs="Calibri" w:eastAsia="Calibri" w:hAnsi="Calibri"/>
          <w:b/>
          <w:bCs/>
          <w:color w:val="333333"/>
          <w:sz w:val="24"/>
          <w:szCs w:val="24"/>
        </w:rPr>
        <w:t xml:space="preserve">Section 9.4  Termination for Cause</w:t>
      </w:r>
    </w:p>
    <w:p>
      <w:pPr>
        <w:spacing w:after="160" w:before="0" w:line="276"/>
        <w:jc w:val="both"/>
      </w:pPr>
      <w:r>
        <w:rPr>
          <w:rFonts w:ascii="Calibri" w:cs="Calibri" w:eastAsia="Calibri" w:hAnsi="Calibri"/>
          <w:color w:val="000000"/>
          <w:sz w:val="24"/>
          <w:szCs w:val="24"/>
        </w:rPr>
        <w:t xml:space="preserve">In the event of a Participant's Termination of Service for Cause, all Phantom Units (whether vested or unvested) shall be immediately and automatically forfeited as of the date of termination, and the Participant shall have no further rights to any settlement payment under this Plan. If any settlement payment has been made to the Participant within the twelve (12)-month period preceding a determination of Cause, the Participant shall be obligated to repay such amount to the Company in full, together with interest at the rate specified in Section 7.4, within thirty (30) days of the Company's written demand.</w:t>
      </w:r>
    </w:p>
    <w:p>
      <w:pPr>
        <w:pStyle w:val="Heading3"/>
        <w:spacing w:after="120" w:before="240"/>
      </w:pPr>
      <w:r>
        <w:rPr>
          <w:rFonts w:ascii="Calibri" w:cs="Calibri" w:eastAsia="Calibri" w:hAnsi="Calibri"/>
          <w:b/>
          <w:bCs/>
          <w:color w:val="333333"/>
          <w:sz w:val="24"/>
          <w:szCs w:val="24"/>
        </w:rPr>
        <w:t xml:space="preserve">Section 9.5  Death</w:t>
      </w:r>
    </w:p>
    <w:p>
      <w:pPr>
        <w:spacing w:after="160" w:before="0" w:line="276"/>
        <w:jc w:val="both"/>
      </w:pPr>
      <w:r>
        <w:rPr>
          <w:rFonts w:ascii="Calibri" w:cs="Calibri" w:eastAsia="Calibri" w:hAnsi="Calibri"/>
          <w:color w:val="000000"/>
          <w:sz w:val="24"/>
          <w:szCs w:val="24"/>
        </w:rPr>
        <w:t xml:space="preserve">In the event of a Participant's death, all outstanding unvested Phantom Units shall become fully vested as of the date of death (unless the Award Agreement provides otherwise), and all vested Phantom Units shall be settled in cash within </w:t>
      </w:r>
      <w:r>
        <w:rPr>
          <w:rFonts w:ascii="Calibri" w:cs="Calibri" w:eastAsia="Calibri" w:hAnsi="Calibri"/>
          <w:b/>
          <w:bCs/>
          <w:color w:val="2B4C7E"/>
          <w:sz w:val="24"/>
          <w:szCs w:val="24"/>
          <w:highlight w:val="yellow"/>
          <w:highlightCs w:val="yellow"/>
        </w:rPr>
        <w:t xml:space="preserve">[NUMBER, E.G., NINETY (90)]</w:t>
      </w:r>
      <w:r>
        <w:rPr>
          <w:rFonts w:ascii="Calibri" w:cs="Calibri" w:eastAsia="Calibri" w:hAnsi="Calibri"/>
          <w:color w:val="000000"/>
          <w:sz w:val="24"/>
          <w:szCs w:val="24"/>
        </w:rPr>
        <w:t xml:space="preserve"> days following the date of death. Payment shall be made to the Participant's designated beneficiary (as specified in writing on file with the Company) or, in the absence of a valid beneficiary designation, to the Participant's estate.</w:t>
      </w:r>
    </w:p>
    <w:p>
      <w:pPr>
        <w:pStyle w:val="Heading3"/>
        <w:spacing w:after="120" w:before="240"/>
      </w:pPr>
      <w:r>
        <w:rPr>
          <w:rFonts w:ascii="Calibri" w:cs="Calibri" w:eastAsia="Calibri" w:hAnsi="Calibri"/>
          <w:b/>
          <w:bCs/>
          <w:color w:val="333333"/>
          <w:sz w:val="24"/>
          <w:szCs w:val="24"/>
        </w:rPr>
        <w:t xml:space="preserve">Section 9.6  Disability</w:t>
      </w:r>
    </w:p>
    <w:p>
      <w:pPr>
        <w:spacing w:after="160" w:before="0" w:line="276"/>
        <w:jc w:val="both"/>
      </w:pPr>
      <w:r>
        <w:rPr>
          <w:rFonts w:ascii="Calibri" w:cs="Calibri" w:eastAsia="Calibri" w:hAnsi="Calibri"/>
          <w:color w:val="000000"/>
          <w:sz w:val="24"/>
          <w:szCs w:val="24"/>
        </w:rPr>
        <w:t xml:space="preserve">In the event of a Participant's Disability, all outstanding unvested Phantom Units shall become fully vested as of the date the Committee determines that the Participant has a Disability (unless the Award Agreement provides otherwise), and all vested Phantom Units shall be settled in cash within </w:t>
      </w:r>
      <w:r>
        <w:rPr>
          <w:rFonts w:ascii="Calibri" w:cs="Calibri" w:eastAsia="Calibri" w:hAnsi="Calibri"/>
          <w:b/>
          <w:bCs/>
          <w:color w:val="2B4C7E"/>
          <w:sz w:val="24"/>
          <w:szCs w:val="24"/>
          <w:highlight w:val="yellow"/>
          <w:highlightCs w:val="yellow"/>
        </w:rPr>
        <w:t xml:space="preserve">[NUMBER, E.G., NINETY (90)]</w:t>
      </w:r>
      <w:r>
        <w:rPr>
          <w:rFonts w:ascii="Calibri" w:cs="Calibri" w:eastAsia="Calibri" w:hAnsi="Calibri"/>
          <w:color w:val="000000"/>
          <w:sz w:val="24"/>
          <w:szCs w:val="24"/>
        </w:rPr>
        <w:t xml:space="preserve"> days following such determination, subject to Section 7.7 and compliance with Section 409A.</w:t>
      </w:r>
    </w:p>
    <w:p>
      <w:pPr>
        <w:pStyle w:val="Heading3"/>
        <w:spacing w:after="120" w:before="240"/>
      </w:pPr>
      <w:r>
        <w:rPr>
          <w:rFonts w:ascii="Calibri" w:cs="Calibri" w:eastAsia="Calibri" w:hAnsi="Calibri"/>
          <w:b/>
          <w:bCs/>
          <w:color w:val="333333"/>
          <w:sz w:val="24"/>
          <w:szCs w:val="24"/>
        </w:rPr>
        <w:t xml:space="preserve">Section 9.7  Retirement</w:t>
      </w:r>
    </w:p>
    <w:p>
      <w:pPr>
        <w:spacing w:after="160" w:before="0" w:line="276"/>
        <w:jc w:val="both"/>
      </w:pPr>
      <w:r>
        <w:rPr>
          <w:rFonts w:ascii="Calibri" w:cs="Calibri" w:eastAsia="Calibri" w:hAnsi="Calibri"/>
          <w:color w:val="000000"/>
          <w:sz w:val="24"/>
          <w:szCs w:val="24"/>
        </w:rPr>
        <w:t xml:space="preserve">If the Award Agreement or a Company policy provides for special treatment upon a Participant's retirement (as defined therein), the terms of such Award Agreement or policy shall govern the treatment of Phantom Units upon retirement. In the absence of any such provision, a Participant's retirement shall be treated as a voluntary Termination of Service under Section 9.2. The Committee may define "Retirement" for purposes of this Plan as the Participant's Termination of Service after reaching age </w:t>
      </w:r>
      <w:r>
        <w:rPr>
          <w:rFonts w:ascii="Calibri" w:cs="Calibri" w:eastAsia="Calibri" w:hAnsi="Calibri"/>
          <w:b/>
          <w:bCs/>
          <w:color w:val="2B4C7E"/>
          <w:sz w:val="24"/>
          <w:szCs w:val="24"/>
          <w:highlight w:val="yellow"/>
          <w:highlightCs w:val="yellow"/>
        </w:rPr>
        <w:t xml:space="preserve">[AGE, E.G., SIXTY-FIVE (65)]</w:t>
      </w:r>
      <w:r>
        <w:rPr>
          <w:rFonts w:ascii="Calibri" w:cs="Calibri" w:eastAsia="Calibri" w:hAnsi="Calibri"/>
          <w:color w:val="000000"/>
          <w:sz w:val="24"/>
          <w:szCs w:val="24"/>
        </w:rPr>
        <w:t xml:space="preserve"> with at least </w:t>
      </w:r>
      <w:r>
        <w:rPr>
          <w:rFonts w:ascii="Calibri" w:cs="Calibri" w:eastAsia="Calibri" w:hAnsi="Calibri"/>
          <w:b/>
          <w:bCs/>
          <w:color w:val="2B4C7E"/>
          <w:sz w:val="24"/>
          <w:szCs w:val="24"/>
          <w:highlight w:val="yellow"/>
          <w:highlightCs w:val="yellow"/>
        </w:rPr>
        <w:t xml:space="preserve">[YEARS, E.G., FIVE (5)]</w:t>
      </w:r>
      <w:r>
        <w:rPr>
          <w:rFonts w:ascii="Calibri" w:cs="Calibri" w:eastAsia="Calibri" w:hAnsi="Calibri"/>
          <w:color w:val="000000"/>
          <w:sz w:val="24"/>
          <w:szCs w:val="24"/>
        </w:rPr>
        <w:t xml:space="preserve"> years of continuous service.</w:t>
      </w:r>
    </w:p>
    <w:p>
      <w:pPr>
        <w:pStyle w:val="Heading3"/>
        <w:spacing w:after="120" w:before="240"/>
      </w:pPr>
      <w:r>
        <w:rPr>
          <w:rFonts w:ascii="Calibri" w:cs="Calibri" w:eastAsia="Calibri" w:hAnsi="Calibri"/>
          <w:b/>
          <w:bCs/>
          <w:color w:val="333333"/>
          <w:sz w:val="24"/>
          <w:szCs w:val="24"/>
        </w:rPr>
        <w:t xml:space="preserve">Section 9.8  Effect on Vested and Unvested Units</w:t>
      </w:r>
    </w:p>
    <w:p>
      <w:pPr>
        <w:spacing w:after="160" w:before="0" w:line="276"/>
        <w:jc w:val="both"/>
      </w:pPr>
      <w:r>
        <w:rPr>
          <w:rFonts w:ascii="Calibri" w:cs="Calibri" w:eastAsia="Calibri" w:hAnsi="Calibri"/>
          <w:color w:val="000000"/>
          <w:sz w:val="24"/>
          <w:szCs w:val="24"/>
        </w:rPr>
        <w:t xml:space="preserve">For the avoidance of doubt, upon any Termination of Service: (a) all unvested Phantom Units shall be treated as set forth in this Article IX and the applicable Award Agreement; (b) all vested but unsettled Phantom Units shall remain outstanding and shall be settled in accordance with this Plan and the applicable Award Agreement; and (c) the Participant's rights with respect to settled Phantom Units shall be determined in accordance with the terms of this Plan. Nothing in this Article IX shall limit the Company's rights under Article X (Forfeiture and Clawback).</w:t>
      </w:r>
    </w:p>
    <w:p>
      <w:r>
        <w:br w:type="page"/>
      </w:r>
    </w:p>
    <w:p>
      <w:pPr>
        <w:pStyle w:val="Heading1"/>
        <w:spacing w:after="200" w:before="360"/>
      </w:pPr>
      <w:r>
        <w:rPr>
          <w:rFonts w:ascii="Calibri" w:cs="Calibri" w:eastAsia="Calibri" w:hAnsi="Calibri"/>
          <w:b/>
          <w:bCs/>
          <w:color w:val="333333"/>
          <w:sz w:val="28"/>
          <w:szCs w:val="28"/>
        </w:rPr>
        <w:t xml:space="preserve">ARTICLE X: FORFEITURE AND CLAWBACK</w:t>
      </w:r>
    </w:p>
    <w:p>
      <w:pPr>
        <w:pStyle w:val="Heading3"/>
        <w:spacing w:after="120" w:before="240"/>
      </w:pPr>
      <w:r>
        <w:rPr>
          <w:rFonts w:ascii="Calibri" w:cs="Calibri" w:eastAsia="Calibri" w:hAnsi="Calibri"/>
          <w:b/>
          <w:bCs/>
          <w:color w:val="333333"/>
          <w:sz w:val="24"/>
          <w:szCs w:val="24"/>
        </w:rPr>
        <w:t xml:space="preserve">Section 10.1  Forfeiture Events</w:t>
      </w:r>
    </w:p>
    <w:p>
      <w:pPr>
        <w:spacing w:after="160" w:before="0" w:line="276"/>
        <w:jc w:val="both"/>
      </w:pPr>
      <w:r>
        <w:rPr>
          <w:rFonts w:ascii="Calibri" w:cs="Calibri" w:eastAsia="Calibri" w:hAnsi="Calibri"/>
          <w:color w:val="000000"/>
          <w:sz w:val="24"/>
          <w:szCs w:val="24"/>
        </w:rPr>
        <w:t xml:space="preserve">In addition to the forfeiture provisions set forth in Articles VI and IX, all Phantom Units (whether vested or unvested) and any unpaid settlement amounts shall be subject to forfeiture upon the occurrence of any of the following events (each, a "Forfeiture Event"):</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b/>
          <w:bCs/>
          <w:sz w:val="24"/>
          <w:szCs w:val="24"/>
        </w:rPr>
        <w:t xml:space="preserve">Cause: </w:t>
      </w:r>
      <w:r>
        <w:rPr>
          <w:rFonts w:ascii="Calibri" w:cs="Calibri" w:eastAsia="Calibri" w:hAnsi="Calibri"/>
          <w:color w:val="000000"/>
          <w:sz w:val="24"/>
          <w:szCs w:val="24"/>
        </w:rPr>
        <w:t xml:space="preserve">The Participant's Termination of Service for Cause, as determined by the Committee;</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b/>
          <w:bCs/>
          <w:sz w:val="24"/>
          <w:szCs w:val="24"/>
        </w:rPr>
        <w:t xml:space="preserve">Breach of Restrictive Covenants: </w:t>
      </w:r>
      <w:r>
        <w:rPr>
          <w:rFonts w:ascii="Calibri" w:cs="Calibri" w:eastAsia="Calibri" w:hAnsi="Calibri"/>
          <w:color w:val="000000"/>
          <w:sz w:val="24"/>
          <w:szCs w:val="24"/>
        </w:rPr>
        <w:t xml:space="preserve">The Participant's breach of any non-competition, non-solicitation, non-disparagement, or similar restrictive covenant obligation to the Company or any Affiliate;</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b/>
          <w:bCs/>
          <w:sz w:val="24"/>
          <w:szCs w:val="24"/>
        </w:rPr>
        <w:t xml:space="preserve">Breach of Confidentiality: </w:t>
      </w:r>
      <w:r>
        <w:rPr>
          <w:rFonts w:ascii="Calibri" w:cs="Calibri" w:eastAsia="Calibri" w:hAnsi="Calibri"/>
          <w:color w:val="000000"/>
          <w:sz w:val="24"/>
          <w:szCs w:val="24"/>
        </w:rPr>
        <w:t xml:space="preserve">The Participant's unauthorized use or disclosure of the Company's Confidential Information (as defined in the Award Agreement or any separate confidentiality agreement);</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b/>
          <w:bCs/>
          <w:sz w:val="24"/>
          <w:szCs w:val="24"/>
        </w:rPr>
        <w:t xml:space="preserve">Detrimental Conduct: </w:t>
      </w:r>
      <w:r>
        <w:rPr>
          <w:rFonts w:ascii="Calibri" w:cs="Calibri" w:eastAsia="Calibri" w:hAnsi="Calibri"/>
          <w:color w:val="000000"/>
          <w:sz w:val="24"/>
          <w:szCs w:val="24"/>
        </w:rPr>
        <w:t xml:space="preserve">The Participant's engagement in conduct that the Committee determines, in its sole discretion, is materially detrimental to the business or reputation of the Company; or</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b/>
          <w:bCs/>
          <w:sz w:val="24"/>
          <w:szCs w:val="24"/>
        </w:rPr>
        <w:t xml:space="preserve">Violation of Company Policies: </w:t>
      </w:r>
      <w:r>
        <w:rPr>
          <w:rFonts w:ascii="Calibri" w:cs="Calibri" w:eastAsia="Calibri" w:hAnsi="Calibri"/>
          <w:color w:val="000000"/>
          <w:sz w:val="24"/>
          <w:szCs w:val="24"/>
        </w:rPr>
        <w:t xml:space="preserve">The Participant's material violation of any written Company policy, including but not limited to the Company's code of conduct, anti-harassment policy, or compliance program.</w:t>
      </w:r>
    </w:p>
    <w:p>
      <w:pPr>
        <w:pStyle w:val="Heading3"/>
        <w:spacing w:after="120" w:before="240"/>
      </w:pPr>
      <w:r>
        <w:rPr>
          <w:rFonts w:ascii="Calibri" w:cs="Calibri" w:eastAsia="Calibri" w:hAnsi="Calibri"/>
          <w:b/>
          <w:bCs/>
          <w:color w:val="333333"/>
          <w:sz w:val="24"/>
          <w:szCs w:val="24"/>
        </w:rPr>
        <w:t xml:space="preserve">Section 10.2  Non-Competition</w:t>
      </w:r>
    </w:p>
    <w:p>
      <w:pPr>
        <w:spacing w:after="160" w:before="0" w:line="276"/>
        <w:jc w:val="both"/>
      </w:pPr>
      <w:r>
        <w:rPr>
          <w:rFonts w:ascii="Calibri" w:cs="Calibri" w:eastAsia="Calibri" w:hAnsi="Calibri"/>
          <w:color w:val="000000"/>
          <w:sz w:val="24"/>
          <w:szCs w:val="24"/>
        </w:rPr>
        <w:t xml:space="preserve">Unless prohibited by applicable law, if a Participant, during the period of service and for a period of </w:t>
      </w:r>
      <w:r>
        <w:rPr>
          <w:rFonts w:ascii="Calibri" w:cs="Calibri" w:eastAsia="Calibri" w:hAnsi="Calibri"/>
          <w:b/>
          <w:bCs/>
          <w:color w:val="2B4C7E"/>
          <w:sz w:val="24"/>
          <w:szCs w:val="24"/>
          <w:highlight w:val="yellow"/>
          <w:highlightCs w:val="yellow"/>
        </w:rPr>
        <w:t xml:space="preserve">[NON-COMPETE PERIOD, E.G., TWELVE (12) MONTHS]</w:t>
      </w:r>
      <w:r>
        <w:rPr>
          <w:rFonts w:ascii="Calibri" w:cs="Calibri" w:eastAsia="Calibri" w:hAnsi="Calibri"/>
          <w:color w:val="000000"/>
          <w:sz w:val="24"/>
          <w:szCs w:val="24"/>
        </w:rPr>
        <w:t xml:space="preserve"> following Termination of Service (the "Restricted Period"), directly or indirectly engages in, owns, manages, operates, controls, or participates in any business that competes with the business of the Company or its Affiliates in </w:t>
      </w:r>
      <w:r>
        <w:rPr>
          <w:rFonts w:ascii="Calibri" w:cs="Calibri" w:eastAsia="Calibri" w:hAnsi="Calibri"/>
          <w:b/>
          <w:bCs/>
          <w:color w:val="2B4C7E"/>
          <w:sz w:val="24"/>
          <w:szCs w:val="24"/>
          <w:highlight w:val="yellow"/>
          <w:highlightCs w:val="yellow"/>
        </w:rPr>
        <w:t xml:space="preserve">[GEOGRAPHIC SCOPE, E.G., THE UNITED STATES]</w:t>
      </w:r>
      <w:r>
        <w:rPr>
          <w:rFonts w:ascii="Calibri" w:cs="Calibri" w:eastAsia="Calibri" w:hAnsi="Calibri"/>
          <w:color w:val="000000"/>
          <w:sz w:val="24"/>
          <w:szCs w:val="24"/>
        </w:rPr>
        <w:t xml:space="preserve"> (a "Competing Business"), then: (a) all outstanding Phantom Units (whether vested or unvested) shall be immediately forfeited; and (b) the Participant shall be obligated to repay to the Company any settlement amounts received during the twelve (12)-month period preceding the date on which the Participant first engaged in the competitive activity. The Committee shall determine, in its sole discretion, whether a Participant has engaged in a Competing Business.</w:t>
      </w:r>
    </w:p>
    <w:p>
      <w:pPr>
        <w:pStyle w:val="Heading3"/>
        <w:spacing w:after="120" w:before="240"/>
      </w:pPr>
      <w:r>
        <w:rPr>
          <w:rFonts w:ascii="Calibri" w:cs="Calibri" w:eastAsia="Calibri" w:hAnsi="Calibri"/>
          <w:b/>
          <w:bCs/>
          <w:color w:val="333333"/>
          <w:sz w:val="24"/>
          <w:szCs w:val="24"/>
        </w:rPr>
        <w:t xml:space="preserve">Section 10.3  Non-Solicitation</w:t>
      </w:r>
    </w:p>
    <w:p>
      <w:pPr>
        <w:spacing w:after="160" w:before="0" w:line="276"/>
        <w:jc w:val="both"/>
      </w:pPr>
      <w:r>
        <w:rPr>
          <w:rFonts w:ascii="Calibri" w:cs="Calibri" w:eastAsia="Calibri" w:hAnsi="Calibri"/>
          <w:color w:val="000000"/>
          <w:sz w:val="24"/>
          <w:szCs w:val="24"/>
        </w:rPr>
        <w:t xml:space="preserve">Unless prohibited by applicable law, if a Participant, during the Restricted Period, directly or indirectly: (a) solicits, recruits, or hires (or attempts to solicit, recruit, or hire) any employee, consultant, or independent contractor of the Company or any Affiliate; or (b) solicits, induces, or encourages any customer, client, vendor, or business partner of the Company or any Affiliate to reduce, terminate, or divert business from the Company, then all outstanding Phantom Units shall be immediately forfeited, and the Participant shall be obligated to repay settlement amounts as provided in Section 10.2.</w:t>
      </w:r>
    </w:p>
    <w:p>
      <w:pPr>
        <w:pStyle w:val="Heading3"/>
        <w:spacing w:after="120" w:before="240"/>
      </w:pPr>
      <w:r>
        <w:rPr>
          <w:rFonts w:ascii="Calibri" w:cs="Calibri" w:eastAsia="Calibri" w:hAnsi="Calibri"/>
          <w:b/>
          <w:bCs/>
          <w:color w:val="333333"/>
          <w:sz w:val="24"/>
          <w:szCs w:val="24"/>
        </w:rPr>
        <w:t xml:space="preserve">Section 10.4  Confidentiality Breach</w:t>
      </w:r>
    </w:p>
    <w:p>
      <w:pPr>
        <w:spacing w:after="160" w:before="0" w:line="276"/>
        <w:jc w:val="both"/>
      </w:pPr>
      <w:r>
        <w:rPr>
          <w:rFonts w:ascii="Calibri" w:cs="Calibri" w:eastAsia="Calibri" w:hAnsi="Calibri"/>
          <w:color w:val="000000"/>
          <w:sz w:val="24"/>
          <w:szCs w:val="24"/>
        </w:rPr>
        <w:t xml:space="preserve">If a Participant, at any time during or after service, uses or discloses Confidential Information in violation of any confidentiality obligation to the Company (whether under the Award Agreement, a separate confidentiality or proprietary information agreement, or applicable law), all outstanding Phantom Units shall be immediately forfeited, and the Participant shall be obligated to repay settlement amounts as provided in Section 10.2. Nothing in this Section 10.4 shall limit the Company's right to seek injunctive relief or other remedies available at law or in equity.</w:t>
      </w:r>
    </w:p>
    <w:p>
      <w:pPr>
        <w:pStyle w:val="Heading3"/>
        <w:spacing w:after="120" w:before="240"/>
      </w:pPr>
      <w:r>
        <w:rPr>
          <w:rFonts w:ascii="Calibri" w:cs="Calibri" w:eastAsia="Calibri" w:hAnsi="Calibri"/>
          <w:b/>
          <w:bCs/>
          <w:color w:val="333333"/>
          <w:sz w:val="24"/>
          <w:szCs w:val="24"/>
        </w:rPr>
        <w:t xml:space="preserve">Section 10.5  Financial Restatement Clawback</w:t>
      </w:r>
    </w:p>
    <w:p>
      <w:pPr>
        <w:spacing w:after="160" w:before="0" w:line="276"/>
        <w:jc w:val="both"/>
      </w:pPr>
      <w:r>
        <w:rPr>
          <w:rFonts w:ascii="Calibri" w:cs="Calibri" w:eastAsia="Calibri" w:hAnsi="Calibri"/>
          <w:color w:val="000000"/>
          <w:sz w:val="24"/>
          <w:szCs w:val="24"/>
        </w:rPr>
        <w:t xml:space="preserve">If the Company is required to prepare an accounting restatement of its financial statements due to material noncompliance with any financial reporting requirement, and the Committee determines that a Participant's fraud or intentional misconduct was a contributing factor to such restatement, the Company shall have the right to recover from the Participant any settlement amounts paid during the </w:t>
      </w:r>
      <w:r>
        <w:rPr>
          <w:rFonts w:ascii="Calibri" w:cs="Calibri" w:eastAsia="Calibri" w:hAnsi="Calibri"/>
          <w:b/>
          <w:bCs/>
          <w:color w:val="2B4C7E"/>
          <w:sz w:val="24"/>
          <w:szCs w:val="24"/>
          <w:highlight w:val="yellow"/>
          <w:highlightCs w:val="yellow"/>
        </w:rPr>
        <w:t xml:space="preserve">[LOOKBACK PERIOD, E.G., THREE (3) YEAR]</w:t>
      </w:r>
      <w:r>
        <w:rPr>
          <w:rFonts w:ascii="Calibri" w:cs="Calibri" w:eastAsia="Calibri" w:hAnsi="Calibri"/>
          <w:color w:val="000000"/>
          <w:sz w:val="24"/>
          <w:szCs w:val="24"/>
        </w:rPr>
        <w:t xml:space="preserve"> period preceding the date on which the Company first disclosed (or was required to disclose) the need for such restatement, to the extent that such settlement amounts exceeded the amounts that would have been paid based on the restated financial results.</w:t>
      </w:r>
    </w:p>
    <w:p>
      <w:pPr>
        <w:pStyle w:val="Heading3"/>
        <w:spacing w:after="120" w:before="240"/>
      </w:pPr>
      <w:r>
        <w:rPr>
          <w:rFonts w:ascii="Calibri" w:cs="Calibri" w:eastAsia="Calibri" w:hAnsi="Calibri"/>
          <w:b/>
          <w:bCs/>
          <w:color w:val="333333"/>
          <w:sz w:val="24"/>
          <w:szCs w:val="24"/>
        </w:rPr>
        <w:t xml:space="preserve">Section 10.6  Dodd-Frank Compliance</w:t>
      </w:r>
    </w:p>
    <w:p>
      <w:pPr>
        <w:spacing w:after="160" w:before="0" w:line="276"/>
        <w:jc w:val="both"/>
      </w:pPr>
      <w:r>
        <w:rPr>
          <w:rFonts w:ascii="Calibri" w:cs="Calibri" w:eastAsia="Calibri" w:hAnsi="Calibri"/>
          <w:color w:val="000000"/>
          <w:sz w:val="24"/>
          <w:szCs w:val="24"/>
        </w:rPr>
        <w:t xml:space="preserve">This Plan and all awards granted hereunder shall be subject to any clawback, recoupment, or compensation recovery policy that the Company may adopt from time to time, including any policy adopted to comply with the requirements of Section 954 of the Dodd-Frank Wall Street Reform and Consumer Protection Act of 2010, Rule 10D-1 promulgated by the Securities and Exchange Commission thereunder, or any applicable stock exchange listing standards. To the extent required by applicable law or regulation, the Company shall have the right to recover any settlement amounts paid under this Plan in accordance with such policy, and each Participant's acceptance of Phantom Units shall constitute the Participant's agreement to be bound by any such policy.</w:t>
      </w:r>
    </w:p>
    <w:p>
      <w:pPr>
        <w:pStyle w:val="Heading3"/>
        <w:spacing w:after="120" w:before="240"/>
      </w:pPr>
      <w:r>
        <w:rPr>
          <w:rFonts w:ascii="Calibri" w:cs="Calibri" w:eastAsia="Calibri" w:hAnsi="Calibri"/>
          <w:b/>
          <w:bCs/>
          <w:color w:val="333333"/>
          <w:sz w:val="24"/>
          <w:szCs w:val="24"/>
        </w:rPr>
        <w:t xml:space="preserve">Section 10.7  Repayment Obligation</w:t>
      </w:r>
    </w:p>
    <w:p>
      <w:pPr>
        <w:spacing w:after="160" w:before="0" w:line="276"/>
        <w:jc w:val="both"/>
      </w:pPr>
      <w:r>
        <w:rPr>
          <w:rFonts w:ascii="Calibri" w:cs="Calibri" w:eastAsia="Calibri" w:hAnsi="Calibri"/>
          <w:color w:val="000000"/>
          <w:sz w:val="24"/>
          <w:szCs w:val="24"/>
        </w:rPr>
        <w:t xml:space="preserve">In the event that a Participant is required to repay settlement amounts to the Company under this Article X, such repayment shall be due within </w:t>
      </w:r>
      <w:r>
        <w:rPr>
          <w:rFonts w:ascii="Calibri" w:cs="Calibri" w:eastAsia="Calibri" w:hAnsi="Calibri"/>
          <w:b/>
          <w:bCs/>
          <w:color w:val="2B4C7E"/>
          <w:sz w:val="24"/>
          <w:szCs w:val="24"/>
          <w:highlight w:val="yellow"/>
          <w:highlightCs w:val="yellow"/>
        </w:rPr>
        <w:t xml:space="preserve">[NUMBER, E.G., THIRTY (30)]</w:t>
      </w:r>
      <w:r>
        <w:rPr>
          <w:rFonts w:ascii="Calibri" w:cs="Calibri" w:eastAsia="Calibri" w:hAnsi="Calibri"/>
          <w:color w:val="000000"/>
          <w:sz w:val="24"/>
          <w:szCs w:val="24"/>
        </w:rPr>
        <w:t xml:space="preserve"> days of the Company's written demand. If the Participant fails to make such repayment, the Company shall be entitled to offset the repayment amount against any other amounts owed to the Participant by the Company and to pursue all available legal remedies, including the recovery of costs and attorneys' fees.</w:t>
      </w:r>
    </w:p>
    <w:p>
      <w:r>
        <w:br w:type="page"/>
      </w:r>
    </w:p>
    <w:p>
      <w:pPr>
        <w:pStyle w:val="Heading1"/>
        <w:spacing w:after="200" w:before="360"/>
      </w:pPr>
      <w:r>
        <w:rPr>
          <w:rFonts w:ascii="Calibri" w:cs="Calibri" w:eastAsia="Calibri" w:hAnsi="Calibri"/>
          <w:b/>
          <w:bCs/>
          <w:color w:val="333333"/>
          <w:sz w:val="28"/>
          <w:szCs w:val="28"/>
        </w:rPr>
        <w:t xml:space="preserve">ARTICLE XI: VALUATION</w:t>
      </w:r>
    </w:p>
    <w:p>
      <w:pPr>
        <w:pStyle w:val="Heading3"/>
        <w:spacing w:after="120" w:before="240"/>
      </w:pPr>
      <w:r>
        <w:rPr>
          <w:rFonts w:ascii="Calibri" w:cs="Calibri" w:eastAsia="Calibri" w:hAnsi="Calibri"/>
          <w:b/>
          <w:bCs/>
          <w:color w:val="333333"/>
          <w:sz w:val="24"/>
          <w:szCs w:val="24"/>
        </w:rPr>
        <w:t xml:space="preserve">Section 11.1  Valuation Methods</w:t>
      </w:r>
    </w:p>
    <w:p>
      <w:pPr>
        <w:spacing w:after="160" w:before="0" w:line="276"/>
        <w:jc w:val="both"/>
      </w:pPr>
      <w:r>
        <w:rPr>
          <w:rFonts w:ascii="Calibri" w:cs="Calibri" w:eastAsia="Calibri" w:hAnsi="Calibri"/>
          <w:color w:val="000000"/>
          <w:sz w:val="24"/>
          <w:szCs w:val="24"/>
        </w:rPr>
        <w:t xml:space="preserve">The Committee shall determine the Fair Market Value of the Company (and a notional equity unit thereof) using one or more of the following methods, as it deems appropriate in its sole discretion:</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b/>
          <w:bCs/>
          <w:sz w:val="24"/>
          <w:szCs w:val="24"/>
        </w:rPr>
        <w:t xml:space="preserve">Independent Appraisal: </w:t>
      </w:r>
      <w:r>
        <w:rPr>
          <w:rFonts w:ascii="Calibri" w:cs="Calibri" w:eastAsia="Calibri" w:hAnsi="Calibri"/>
          <w:color w:val="000000"/>
          <w:sz w:val="24"/>
          <w:szCs w:val="24"/>
        </w:rPr>
        <w:t xml:space="preserve">An appraisal conducted by a qualified independent valuation firm selected by the Committee, using generally accepted valuation methodologies (including, but not limited to, discounted cash flow analysis, comparable company analysis, and precedent transaction analysis);</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b/>
          <w:bCs/>
          <w:sz w:val="24"/>
          <w:szCs w:val="24"/>
        </w:rPr>
        <w:t xml:space="preserve">Formula-Based Approach: </w:t>
      </w:r>
      <w:r>
        <w:rPr>
          <w:rFonts w:ascii="Calibri" w:cs="Calibri" w:eastAsia="Calibri" w:hAnsi="Calibri"/>
          <w:color w:val="000000"/>
          <w:sz w:val="24"/>
          <w:szCs w:val="24"/>
        </w:rPr>
        <w:t xml:space="defaul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b/>
          <w:bCs/>
          <w:sz w:val="24"/>
          <w:szCs w:val="24"/>
        </w:rPr>
        <w:t xml:space="preserve">Board Determination: </w:t>
      </w:r>
      <w:r>
        <w:rPr>
          <w:rFonts w:ascii="Calibri" w:cs="Calibri" w:eastAsia="Calibri" w:hAnsi="Calibri"/>
          <w:color w:val="000000"/>
          <w:sz w:val="24"/>
          <w:szCs w:val="24"/>
        </w:rPr>
        <w:t xml:space="preserve">A determination by the Committee in good faith, based upon all available information, including the Company's financial statements, projections, comparable market data, and such other factors as the Committee deems relevant; or</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b/>
          <w:bCs/>
          <w:sz w:val="24"/>
          <w:szCs w:val="24"/>
        </w:rPr>
        <w:t xml:space="preserve">Transaction-Based Valuation: </w:t>
      </w:r>
      <w:r>
        <w:rPr>
          <w:rFonts w:ascii="Calibri" w:cs="Calibri" w:eastAsia="Calibri" w:hAnsi="Calibri"/>
          <w:color w:val="000000"/>
          <w:sz w:val="24"/>
          <w:szCs w:val="24"/>
        </w:rPr>
        <w:t xml:space="preserve">In the context of a Change of Control or other liquidity event, the per-unit consideration received or to be received by the Company's equity holders in such transaction.</w:t>
      </w:r>
    </w:p>
    <w:p>
      <w:pPr>
        <w:pStyle w:val="Heading3"/>
        <w:spacing w:after="120" w:before="240"/>
      </w:pPr>
      <w:r>
        <w:rPr>
          <w:rFonts w:ascii="Calibri" w:cs="Calibri" w:eastAsia="Calibri" w:hAnsi="Calibri"/>
          <w:b/>
          <w:bCs/>
          <w:color w:val="333333"/>
          <w:sz w:val="24"/>
          <w:szCs w:val="24"/>
        </w:rPr>
        <w:t xml:space="preserve">Section 11.2  Valuation Frequency</w:t>
      </w:r>
    </w:p>
    <w:p>
      <w:pPr>
        <w:spacing w:after="160" w:before="0" w:line="276"/>
        <w:jc w:val="both"/>
      </w:pPr>
      <w:r>
        <w:rPr>
          <w:rFonts w:ascii="Calibri" w:cs="Calibri" w:eastAsia="Calibri" w:hAnsi="Calibri"/>
          <w:color w:val="000000"/>
          <w:sz w:val="24"/>
          <w:szCs w:val="24"/>
        </w:rPr>
        <w:t xml:space="preserve">Unless the Committee determines otherwise, a formal valuation of the Company shall be conducted at least </w:t>
      </w:r>
      <w:r>
        <w:rPr>
          <w:rFonts w:ascii="Calibri" w:cs="Calibri" w:eastAsia="Calibri" w:hAnsi="Calibri"/>
          <w:b/>
          <w:bCs/>
          <w:color w:val="2B4C7E"/>
          <w:sz w:val="24"/>
          <w:szCs w:val="24"/>
          <w:highlight w:val="yellow"/>
          <w:highlightCs w:val="yellow"/>
        </w:rPr>
        <w:t xml:space="preserve">[FREQUENCY, E.G., ANNUALLY]</w:t>
      </w:r>
      <w:r>
        <w:rPr>
          <w:rFonts w:ascii="Calibri" w:cs="Calibri" w:eastAsia="Calibri" w:hAnsi="Calibri"/>
          <w:color w:val="000000"/>
          <w:sz w:val="24"/>
          <w:szCs w:val="24"/>
        </w:rPr>
        <w:t xml:space="preserve">, as of </w:t>
      </w:r>
      <w:r>
        <w:rPr>
          <w:rFonts w:ascii="Calibri" w:cs="Calibri" w:eastAsia="Calibri" w:hAnsi="Calibri"/>
          <w:b/>
          <w:bCs/>
          <w:color w:val="2B4C7E"/>
          <w:sz w:val="24"/>
          <w:szCs w:val="24"/>
          <w:highlight w:val="yellow"/>
          <w:highlightCs w:val="yellow"/>
        </w:rPr>
        <w:t xml:space="preserve">[VALUATION DATE, E.G., DECEMBER 31]</w:t>
      </w:r>
      <w:r>
        <w:rPr>
          <w:rFonts w:ascii="Calibri" w:cs="Calibri" w:eastAsia="Calibri" w:hAnsi="Calibri"/>
          <w:color w:val="000000"/>
          <w:sz w:val="24"/>
          <w:szCs w:val="24"/>
        </w:rPr>
        <w:t xml:space="preserve"> of each Plan Year (or such other date as the Committee may designate). The Committee may cause additional interim valuations to be conducted at any time, including in connection with a Settlement Event, a grant of new Phantom Units, or a material change in the Company's business or financial condition. The most recent valuation shall be used for all purposes under this Plan until a new valuation is completed.</w:t>
      </w:r>
    </w:p>
    <w:p>
      <w:pPr>
        <w:pStyle w:val="Heading3"/>
        <w:spacing w:after="120" w:before="240"/>
      </w:pPr>
      <w:r>
        <w:rPr>
          <w:rFonts w:ascii="Calibri" w:cs="Calibri" w:eastAsia="Calibri" w:hAnsi="Calibri"/>
          <w:b/>
          <w:bCs/>
          <w:color w:val="333333"/>
          <w:sz w:val="24"/>
          <w:szCs w:val="24"/>
        </w:rPr>
        <w:t xml:space="preserve">Section 11.3  Dispute Resolution</w:t>
      </w:r>
    </w:p>
    <w:p>
      <w:pPr>
        <w:spacing w:after="160" w:before="0" w:line="276"/>
        <w:jc w:val="both"/>
      </w:pPr>
      <w:r>
        <w:rPr>
          <w:rFonts w:ascii="Calibri" w:cs="Calibri" w:eastAsia="Calibri" w:hAnsi="Calibri"/>
          <w:color w:val="000000"/>
          <w:sz w:val="24"/>
          <w:szCs w:val="24"/>
        </w:rPr>
        <w:t xml:space="preserve">If a Participant disputes the Fair Market Value determination made by the Committee, the Participant may, within </w:t>
      </w:r>
      <w:r>
        <w:rPr>
          <w:rFonts w:ascii="Calibri" w:cs="Calibri" w:eastAsia="Calibri" w:hAnsi="Calibri"/>
          <w:b/>
          <w:bCs/>
          <w:color w:val="2B4C7E"/>
          <w:sz w:val="24"/>
          <w:szCs w:val="24"/>
          <w:highlight w:val="yellow"/>
          <w:highlightCs w:val="yellow"/>
        </w:rPr>
        <w:t xml:space="preserve">[NUMBER, E.G., THIRTY (30)]</w:t>
      </w:r>
      <w:r>
        <w:rPr>
          <w:rFonts w:ascii="Calibri" w:cs="Calibri" w:eastAsia="Calibri" w:hAnsi="Calibri"/>
          <w:color w:val="000000"/>
          <w:sz w:val="24"/>
          <w:szCs w:val="24"/>
        </w:rPr>
        <w:t xml:space="preserve"> days after receiving notice of the valuation, submit a written objection to the Committee specifying the basis for the dispute and the Participant's proposed valuation. The Committee shall review the objection and may, in its sole discretion: (a) affirm the original valuation; (b) revise the valuation; or (c) submit the matter to a mutually agreed-upon independent valuation firm (or, if the parties cannot agree, a firm selected by </w:t>
      </w:r>
      <w:r>
        <w:rPr>
          <w:rFonts w:ascii="Calibri" w:cs="Calibri" w:eastAsia="Calibri" w:hAnsi="Calibri"/>
          <w:b/>
          <w:bCs/>
          <w:color w:val="2B4C7E"/>
          <w:sz w:val="24"/>
          <w:szCs w:val="24"/>
          <w:highlight w:val="yellow"/>
          <w:highlightCs w:val="yellow"/>
        </w:rPr>
        <w:t xml:space="preserve">[SELECTING AUTHORITY, E.G., THE AMERICAN ARBITRATION ASSOCIATION]</w:t>
      </w:r>
      <w:r>
        <w:rPr>
          <w:rFonts w:ascii="Calibri" w:cs="Calibri" w:eastAsia="Calibri" w:hAnsi="Calibri"/>
          <w:color w:val="000000"/>
          <w:sz w:val="24"/>
          <w:szCs w:val="24"/>
        </w:rPr>
        <w:t xml:space="preserve">), whose determination shall be final and binding. The cost of any independent valuation firm engaged pursuant to this Section 11.3 shall be borne </w:t>
      </w:r>
      <w:r>
        <w:rPr>
          <w:rFonts w:ascii="Calibri" w:cs="Calibri" w:eastAsia="Calibri" w:hAnsi="Calibri"/>
          <w:b/>
          <w:bCs/>
          <w:color w:val="2B4C7E"/>
          <w:sz w:val="24"/>
          <w:szCs w:val="24"/>
          <w:highlight w:val="yellow"/>
          <w:highlightCs w:val="yellow"/>
        </w:rPr>
        <w:t xml:space="preserve">[COST ALLOCATION, E.G., EQUALLY BY THE COMPANY AND THE PARTICIPANT]</w:t>
      </w:r>
      <w:r>
        <w:rPr>
          <w:rFonts w:ascii="Calibri" w:cs="Calibri" w:eastAsia="Calibri" w:hAnsi="Calibri"/>
          <w:color w:val="000000"/>
          <w:sz w:val="24"/>
          <w:szCs w:val="24"/>
        </w:rPr>
        <w:t xml:space="preserve">.</w:t>
      </w:r>
    </w:p>
    <w:p>
      <w:pPr>
        <w:pStyle w:val="Heading3"/>
        <w:spacing w:after="120" w:before="240"/>
      </w:pPr>
      <w:r>
        <w:rPr>
          <w:rFonts w:ascii="Calibri" w:cs="Calibri" w:eastAsia="Calibri" w:hAnsi="Calibri"/>
          <w:b/>
          <w:bCs/>
          <w:color w:val="333333"/>
          <w:sz w:val="24"/>
          <w:szCs w:val="24"/>
        </w:rPr>
        <w:t xml:space="preserve">Section 11.4  Information Rights</w:t>
      </w:r>
    </w:p>
    <w:p>
      <w:pPr>
        <w:spacing w:after="160" w:before="0" w:line="276"/>
        <w:jc w:val="both"/>
      </w:pPr>
      <w:r>
        <w:rPr>
          <w:rFonts w:ascii="Calibri" w:cs="Calibri" w:eastAsia="Calibri" w:hAnsi="Calibri"/>
          <w:color w:val="000000"/>
          <w:sz w:val="24"/>
          <w:szCs w:val="24"/>
        </w:rPr>
        <w:t xml:space="preserve">To the extent required by the Award Agreement or applicable law, the Company shall provide each Participant with: (a) notice of each valuation determination within </w:t>
      </w:r>
      <w:r>
        <w:rPr>
          <w:rFonts w:ascii="Calibri" w:cs="Calibri" w:eastAsia="Calibri" w:hAnsi="Calibri"/>
          <w:b/>
          <w:bCs/>
          <w:color w:val="2B4C7E"/>
          <w:sz w:val="24"/>
          <w:szCs w:val="24"/>
          <w:highlight w:val="yellow"/>
          <w:highlightCs w:val="yellow"/>
        </w:rPr>
        <w:t xml:space="preserve">[NUMBER, E.G., THIRTY (30)]</w:t>
      </w:r>
      <w:r>
        <w:rPr>
          <w:rFonts w:ascii="Calibri" w:cs="Calibri" w:eastAsia="Calibri" w:hAnsi="Calibri"/>
          <w:color w:val="000000"/>
          <w:sz w:val="24"/>
          <w:szCs w:val="24"/>
        </w:rPr>
        <w:t xml:space="preserve"> days of its completion; (b) a summary of the valuation methodology used; and (c) the Fair Market Value per notional equity unit as of the applicable Valuation Date. The Company shall not be required to disclose proprietary financial information, trade secrets, or detailed valuation reports to any Participant, except to the extent required by applicable law or as determined by the Committee in its sole discretion. Each Participant receiving valuation information shall be bound by the confidentiality obligations set forth in the Award Agreement with respect to such information.</w:t>
      </w:r>
    </w:p>
    <w:p>
      <w:pPr>
        <w:pStyle w:val="Heading3"/>
        <w:spacing w:after="120" w:before="240"/>
      </w:pPr>
      <w:r>
        <w:rPr>
          <w:rFonts w:ascii="Calibri" w:cs="Calibri" w:eastAsia="Calibri" w:hAnsi="Calibri"/>
          <w:b/>
          <w:bCs/>
          <w:color w:val="333333"/>
          <w:sz w:val="24"/>
          <w:szCs w:val="24"/>
        </w:rPr>
        <w:t xml:space="preserve">Section 11.5  Section 409A Valuation Requirements</w:t>
      </w:r>
    </w:p>
    <w:p>
      <w:pPr>
        <w:spacing w:after="160" w:before="0" w:line="276"/>
        <w:jc w:val="both"/>
      </w:pPr>
      <w:r>
        <w:rPr>
          <w:rFonts w:ascii="Calibri" w:cs="Calibri" w:eastAsia="Calibri" w:hAnsi="Calibri"/>
          <w:color w:val="000000"/>
          <w:sz w:val="24"/>
          <w:szCs w:val="24"/>
        </w:rPr>
        <w:t xml:space="preserve">To the extent that any Phantom Unit constitutes deferred compensation subject to Section 409A, all valuations under this Article XI shall comply with the requirements of Treasury Regulation Section 1.409A-1(b)(5)(iv), including the use of a reasonable valuation method applied consistently. The Committee may, in its sole discretion, engage a qualified independent valuation firm to provide a valuation that satisfies the safe harbor provisions of such regulation. A valuation shall be deemed reasonable if it takes into account all available information material to the value of the Company, is performed by a person or persons with significant knowledge and experience in performing such valuations, and is updated no less frequently than every twelve (12) months.</w:t>
      </w:r>
    </w:p>
    <w:p>
      <w:r>
        <w:br w:type="page"/>
      </w:r>
    </w:p>
    <w:p>
      <w:pPr>
        <w:pStyle w:val="Heading1"/>
        <w:spacing w:after="200" w:before="360"/>
      </w:pPr>
      <w:r>
        <w:rPr>
          <w:rFonts w:ascii="Calibri" w:cs="Calibri" w:eastAsia="Calibri" w:hAnsi="Calibri"/>
          <w:b/>
          <w:bCs/>
          <w:color w:val="333333"/>
          <w:sz w:val="28"/>
          <w:szCs w:val="28"/>
        </w:rPr>
        <w:t xml:space="preserve">ARTICLE XII: NO EQUITY RIGHTS</w:t>
      </w:r>
    </w:p>
    <w:p>
      <w:pPr>
        <w:pStyle w:val="Heading3"/>
        <w:spacing w:after="120" w:before="240"/>
      </w:pPr>
      <w:r>
        <w:rPr>
          <w:rFonts w:ascii="Calibri" w:cs="Calibri" w:eastAsia="Calibri" w:hAnsi="Calibri"/>
          <w:b/>
          <w:bCs/>
          <w:color w:val="333333"/>
          <w:sz w:val="24"/>
          <w:szCs w:val="24"/>
        </w:rPr>
        <w:t xml:space="preserve">Section 12.1  Unsecured Creditor Status</w:t>
      </w:r>
    </w:p>
    <w:p>
      <w:pPr>
        <w:spacing w:after="160" w:before="0" w:line="276"/>
        <w:jc w:val="both"/>
      </w:pPr>
      <w:r>
        <w:rPr>
          <w:rFonts w:ascii="Calibri" w:cs="Calibri" w:eastAsia="Calibri" w:hAnsi="Calibri"/>
          <w:color w:val="000000"/>
          <w:sz w:val="24"/>
          <w:szCs w:val="24"/>
        </w:rPr>
        <w:t xml:space="preserve">A Participant's rights under this Plan and any Award Agreement shall be solely those of an unsecured general creditor of the Company. The Company's obligation to pay settlement amounts under this Plan constitutes a mere promise to pay cash in the future, and the Participant shall have no right, title, or interest in or to any specific assets of the Company. No Phantom Unit shall create or be deemed to create any trust, escrow, or other fiduciary relationship between the Company and any Participant. The Company shall not be required to set aside, segregate, or earmark any funds or assets for the purpose of making settlement payments under this Plan.</w:t>
      </w:r>
    </w:p>
    <w:p>
      <w:pPr>
        <w:pStyle w:val="Heading3"/>
        <w:spacing w:after="120" w:before="240"/>
      </w:pPr>
      <w:r>
        <w:rPr>
          <w:rFonts w:ascii="Calibri" w:cs="Calibri" w:eastAsia="Calibri" w:hAnsi="Calibri"/>
          <w:b/>
          <w:bCs/>
          <w:color w:val="333333"/>
          <w:sz w:val="24"/>
          <w:szCs w:val="24"/>
        </w:rPr>
        <w:t xml:space="preserve">Section 12.2  No Voting Rights</w:t>
      </w:r>
    </w:p>
    <w:p>
      <w:pPr>
        <w:spacing w:after="160" w:before="0" w:line="276"/>
        <w:jc w:val="both"/>
      </w:pPr>
      <w:r>
        <w:rPr>
          <w:rFonts w:ascii="Calibri" w:cs="Calibri" w:eastAsia="Calibri" w:hAnsi="Calibri"/>
          <w:color w:val="000000"/>
          <w:sz w:val="24"/>
          <w:szCs w:val="24"/>
        </w:rPr>
        <w:t xml:space="preserve">Phantom Units shall not entitle any Participant to vote on any matter submitted to the Company's equity holders, whether at a meeting or by written consent. Participants shall have no right to attend or participate in any meeting of the Company's equity holders, and the Company shall have no obligation to provide Participants with notice of any such meeting or to furnish any proxy materials or other information distributed to equity holders.</w:t>
      </w:r>
    </w:p>
    <w:p>
      <w:pPr>
        <w:pStyle w:val="Heading3"/>
        <w:spacing w:after="120" w:before="240"/>
      </w:pPr>
      <w:r>
        <w:rPr>
          <w:rFonts w:ascii="Calibri" w:cs="Calibri" w:eastAsia="Calibri" w:hAnsi="Calibri"/>
          <w:b/>
          <w:bCs/>
          <w:color w:val="333333"/>
          <w:sz w:val="24"/>
          <w:szCs w:val="24"/>
        </w:rPr>
        <w:t xml:space="preserve">Section 12.3  No Dividend or Distribution Rights</w:t>
      </w:r>
    </w:p>
    <w:p>
      <w:pPr>
        <w:spacing w:after="160" w:before="0" w:line="276"/>
        <w:jc w:val="both"/>
      </w:pPr>
      <w:r>
        <w:rPr>
          <w:rFonts w:ascii="Calibri" w:cs="Calibri" w:eastAsia="Calibri" w:hAnsi="Calibri"/>
          <w:color w:val="000000"/>
          <w:sz w:val="24"/>
          <w:szCs w:val="24"/>
        </w:rPr>
        <w:t xml:space="preserve">Unless the Award Agreement expressly provides for dividend equivalent rights, Phantom Units shall not entitle any Participant to receive any dividends, distributions, or other payments made with respect to the Company's actual equity interests. The Committee may, in its sole discretion, provide in the Award Agreement for the payment of dividend equivalents (either in cash or in additional Phantom Units) with respect to Phantom Units, subject to the same vesting conditions and settlement terms as the underlying Phantom Units and in compliance with Section 409A.</w:t>
      </w:r>
    </w:p>
    <w:p>
      <w:pPr>
        <w:pStyle w:val="Heading3"/>
        <w:spacing w:after="120" w:before="240"/>
      </w:pPr>
      <w:r>
        <w:rPr>
          <w:rFonts w:ascii="Calibri" w:cs="Calibri" w:eastAsia="Calibri" w:hAnsi="Calibri"/>
          <w:b/>
          <w:bCs/>
          <w:color w:val="333333"/>
          <w:sz w:val="24"/>
          <w:szCs w:val="24"/>
        </w:rPr>
        <w:t xml:space="preserve">Section 12.4  No Ownership Rights</w:t>
      </w:r>
    </w:p>
    <w:p>
      <w:pPr>
        <w:spacing w:after="160" w:before="0" w:line="276"/>
        <w:jc w:val="both"/>
      </w:pPr>
      <w:r>
        <w:rPr>
          <w:rFonts w:ascii="Calibri" w:cs="Calibri" w:eastAsia="Calibri" w:hAnsi="Calibri"/>
          <w:color w:val="000000"/>
          <w:sz w:val="24"/>
          <w:szCs w:val="24"/>
        </w:rPr>
        <w:t xml:space="preserve">Phantom Units are contractual rights and do not represent actual equity interests, membership interests, stock, or any other form of ownership in the Company. No Participant shall have any right to acquire actual equity interests in the Company by virtue of holding Phantom Units. The existence of this Plan and the grant of Phantom Units shall not affect in any way the right or power of the Company or its equity holders to make or authorize any adjustments, recapitalizations, reorganizations, or other changes in the Company's capital structure or its business, or any merger or consolidation of the Company, or any issuance of bonds, debentures, or equity interests, or the dissolution or liquidation of the Company, or any sale or transfer of any of its assets or business.</w:t>
      </w:r>
    </w:p>
    <w:p>
      <w:pPr>
        <w:pStyle w:val="Heading3"/>
        <w:spacing w:after="120" w:before="240"/>
      </w:pPr>
      <w:r>
        <w:rPr>
          <w:rFonts w:ascii="Calibri" w:cs="Calibri" w:eastAsia="Calibri" w:hAnsi="Calibri"/>
          <w:b/>
          <w:bCs/>
          <w:color w:val="333333"/>
          <w:sz w:val="24"/>
          <w:szCs w:val="24"/>
        </w:rPr>
        <w:t xml:space="preserve">Section 12.5  No Transfer of Units</w:t>
      </w:r>
    </w:p>
    <w:p>
      <w:pPr>
        <w:spacing w:after="160" w:before="0" w:line="276"/>
        <w:jc w:val="both"/>
      </w:pPr>
      <w:r>
        <w:rPr>
          <w:rFonts w:ascii="Calibri" w:cs="Calibri" w:eastAsia="Calibri" w:hAnsi="Calibri"/>
          <w:color w:val="000000"/>
          <w:sz w:val="24"/>
          <w:szCs w:val="24"/>
        </w:rPr>
        <w:t xml:space="preserve">Phantom Units are personal to the Participant and may not be sold, transferred, assigned, pledged, hypothecated, encumbered, or otherwise disposed of, whether voluntarily or involuntarily, by operation of law or otherwise, except by will or the laws of descent and distribution. Any attempt to transfer Phantom Units in violation of this Section 12.5 shall be null and void and of no effect, and the Company shall not recognize or give effect to any such transfer. The Committee may, in its sole discretion, permit a Participant to designate a beneficiary to receive settlement payments in the event of the Participant's death, as provided in Article XV.</w:t>
      </w:r>
    </w:p>
    <w:p>
      <w:pPr>
        <w:pStyle w:val="Heading3"/>
        <w:spacing w:after="120" w:before="240"/>
      </w:pPr>
      <w:r>
        <w:rPr>
          <w:rFonts w:ascii="Calibri" w:cs="Calibri" w:eastAsia="Calibri" w:hAnsi="Calibri"/>
          <w:b/>
          <w:bCs/>
          <w:color w:val="333333"/>
          <w:sz w:val="24"/>
          <w:szCs w:val="24"/>
        </w:rPr>
        <w:t xml:space="preserve">Section 12.6  Bookkeeping Entries Only</w:t>
      </w:r>
    </w:p>
    <w:p>
      <w:pPr>
        <w:spacing w:after="160" w:before="0" w:line="276"/>
        <w:jc w:val="both"/>
      </w:pPr>
      <w:r>
        <w:rPr>
          <w:rFonts w:ascii="Calibri" w:cs="Calibri" w:eastAsia="Calibri" w:hAnsi="Calibri"/>
          <w:color w:val="000000"/>
          <w:sz w:val="24"/>
          <w:szCs w:val="24"/>
        </w:rPr>
        <w:t xml:space="preserve">Phantom Units are bookkeeping entries maintained by the Company on the Phantom Unit Ledger and do not represent actual equity interests or securities of the Company. The Company shall not issue any certificates, membership interest certificates, or other instruments representing Phantom Units. The Company's records (including the Phantom Unit Ledger) shall be the sole evidence of the existence, terms, and status of Phantom Units granted under this Plan.</w:t>
      </w:r>
    </w:p>
    <w:p>
      <w:r>
        <w:br w:type="page"/>
      </w:r>
    </w:p>
    <w:p>
      <w:pPr>
        <w:pStyle w:val="Heading1"/>
        <w:spacing w:after="200" w:before="360"/>
      </w:pPr>
      <w:r>
        <w:rPr>
          <w:rFonts w:ascii="Calibri" w:cs="Calibri" w:eastAsia="Calibri" w:hAnsi="Calibri"/>
          <w:b/>
          <w:bCs/>
          <w:color w:val="333333"/>
          <w:sz w:val="28"/>
          <w:szCs w:val="28"/>
        </w:rPr>
        <w:t xml:space="preserve">ARTICLE XIII: TAX MATTERS</w:t>
      </w:r>
    </w:p>
    <w:p>
      <w:pPr>
        <w:pStyle w:val="Heading3"/>
        <w:spacing w:after="120" w:before="240"/>
      </w:pPr>
      <w:r>
        <w:rPr>
          <w:rFonts w:ascii="Calibri" w:cs="Calibri" w:eastAsia="Calibri" w:hAnsi="Calibri"/>
          <w:b/>
          <w:bCs/>
          <w:color w:val="333333"/>
          <w:sz w:val="24"/>
          <w:szCs w:val="24"/>
        </w:rPr>
        <w:t xml:space="preserve">Section 13.1  Section 409A Compliance</w:t>
      </w:r>
    </w:p>
    <w:p>
      <w:pPr>
        <w:spacing w:after="160" w:before="0" w:line="276"/>
        <w:jc w:val="both"/>
      </w:pPr>
      <w:r>
        <w:rPr>
          <w:rFonts w:ascii="Calibri" w:cs="Calibri" w:eastAsia="Calibri" w:hAnsi="Calibri"/>
          <w:color w:val="000000"/>
          <w:sz w:val="24"/>
          <w:szCs w:val="24"/>
        </w:rPr>
        <w:t xml:space="preserve">This Plan and all Award Agreements are intended to comply with the requirements of Section 409A, or to be exempt from Section 409A, to the maximum extent permitted by applicable law. This Plan and all Award Agreements shall be interpreted, administered, and operated in a manner consistent with this intention. Notwithstanding any other provision of this Plan, the Committee may, in its sole discretion, amend this Plan or any Award Agreement, or take such other action as it deems necessary or desirable, to ensure compliance with Section 409A or to prevent any Participant from being subject to any additional tax, interest, or penalty under Section 409A; provided, however, that the Company shall have no obligation to make any such amendment or take any such action, and shall not be liable to any Participant for any failure to do so.</w:t>
      </w:r>
    </w:p>
    <w:p>
      <w:pPr>
        <w:pStyle w:val="Heading3"/>
        <w:spacing w:after="120" w:before="240"/>
      </w:pPr>
      <w:r>
        <w:rPr>
          <w:rFonts w:ascii="Calibri" w:cs="Calibri" w:eastAsia="Calibri" w:hAnsi="Calibri"/>
          <w:b/>
          <w:bCs/>
          <w:color w:val="333333"/>
          <w:sz w:val="24"/>
          <w:szCs w:val="24"/>
        </w:rPr>
        <w:t xml:space="preserve">Section 13.2  Constructive Receipt</w:t>
      </w:r>
    </w:p>
    <w:p>
      <w:pPr>
        <w:spacing w:after="160" w:before="0" w:line="276"/>
        <w:jc w:val="both"/>
      </w:pPr>
      <w:r>
        <w:rPr>
          <w:rFonts w:ascii="Calibri" w:cs="Calibri" w:eastAsia="Calibri" w:hAnsi="Calibri"/>
          <w:color w:val="000000"/>
          <w:sz w:val="24"/>
          <w:szCs w:val="24"/>
        </w:rPr>
        <w:t xml:space="preserve">The Plan is designed to avoid constructive receipt of income by Participants prior to the actual settlement of vested Phantom Units. To that end: (a) Participants shall have no right to accelerate or defer the timing of settlement payments, except to the extent specifically provided in the Award Agreement in compliance with Section 409A; (b) the Company shall not establish any trust, escrow, or similar arrangement to fund its obligations under this Plan (except a "rabbi trust" that remains subject to the claims of the Company's general creditors); and (c) any election regarding the timing or form of settlement shall be made in accordance with the requirements of Section 409A.</w:t>
      </w:r>
    </w:p>
    <w:p>
      <w:pPr>
        <w:pStyle w:val="Heading3"/>
        <w:spacing w:after="120" w:before="240"/>
      </w:pPr>
      <w:r>
        <w:rPr>
          <w:rFonts w:ascii="Calibri" w:cs="Calibri" w:eastAsia="Calibri" w:hAnsi="Calibri"/>
          <w:b/>
          <w:bCs/>
          <w:color w:val="333333"/>
          <w:sz w:val="24"/>
          <w:szCs w:val="24"/>
        </w:rPr>
        <w:t xml:space="preserve">Section 13.3  Tax Withholding</w:t>
      </w:r>
    </w:p>
    <w:p>
      <w:pPr>
        <w:spacing w:after="160" w:before="0" w:line="276"/>
        <w:jc w:val="both"/>
      </w:pPr>
      <w:r>
        <w:rPr>
          <w:rFonts w:ascii="Calibri" w:cs="Calibri" w:eastAsia="Calibri" w:hAnsi="Calibri"/>
          <w:color w:val="000000"/>
          <w:sz w:val="24"/>
          <w:szCs w:val="24"/>
        </w:rPr>
        <w:t xml:space="preserve">The Company shall withhold from any settlement payment all amounts required to be withheld under applicable federal, state, local, and foreign tax laws. If the Participant is an employee, the Company shall withhold applicable income taxes, FICA taxes (Social Security and Medicare), and any other employment taxes. If the Participant is an independent contractor, the Company shall report the settlement payment as non-employee compensation and issue Form 1099-NEC (or any applicable successor form). The Company may require the Participant to satisfy any withholding obligation that exceeds the settlement payment amount by making a cash payment to the Company or by other means satisfactory to the Company.</w:t>
      </w:r>
    </w:p>
    <w:p>
      <w:pPr>
        <w:pStyle w:val="Heading3"/>
        <w:spacing w:after="120" w:before="240"/>
      </w:pPr>
      <w:r>
        <w:rPr>
          <w:rFonts w:ascii="Calibri" w:cs="Calibri" w:eastAsia="Calibri" w:hAnsi="Calibri"/>
          <w:b/>
          <w:bCs/>
          <w:color w:val="333333"/>
          <w:sz w:val="24"/>
          <w:szCs w:val="24"/>
        </w:rPr>
        <w:t xml:space="preserve">Section 13.4  Tax Reporting</w:t>
      </w:r>
    </w:p>
    <w:p>
      <w:pPr>
        <w:spacing w:after="160" w:before="0" w:line="276"/>
        <w:jc w:val="both"/>
      </w:pPr>
      <w:r>
        <w:rPr>
          <w:rFonts w:ascii="Calibri" w:cs="Calibri" w:eastAsia="Calibri" w:hAnsi="Calibri"/>
          <w:color w:val="000000"/>
          <w:sz w:val="24"/>
          <w:szCs w:val="24"/>
        </w:rPr>
        <w:t xml:space="preserve">The Company shall comply with all applicable tax reporting requirements in connection with the grant, vesting, and settlement of Phantom Units, including the filing of any required Forms W-2, 1099-NEC, or other information returns. The Participant shall be solely responsible for the payment of all taxes (including income taxes, self-employment taxes, and any excise taxes or penalties) arising from or related to the grant, vesting, and settlement of Phantom Units, and shall indemnify and hold harmless the Company from and against any liability for such taxes, interest, or penalties.</w:t>
      </w:r>
    </w:p>
    <w:p>
      <w:pPr>
        <w:pStyle w:val="Heading3"/>
        <w:spacing w:after="120" w:before="240"/>
      </w:pPr>
      <w:r>
        <w:rPr>
          <w:rFonts w:ascii="Calibri" w:cs="Calibri" w:eastAsia="Calibri" w:hAnsi="Calibri"/>
          <w:b/>
          <w:bCs/>
          <w:color w:val="333333"/>
          <w:sz w:val="24"/>
          <w:szCs w:val="24"/>
        </w:rPr>
        <w:t xml:space="preserve">Section 13.5  No Tax Advice</w:t>
      </w:r>
    </w:p>
    <w:p>
      <w:pPr>
        <w:spacing w:after="160" w:before="0" w:line="276"/>
        <w:jc w:val="both"/>
      </w:pPr>
      <w:r>
        <w:rPr>
          <w:rFonts w:ascii="Calibri" w:cs="Calibri" w:eastAsia="Calibri" w:hAnsi="Calibri"/>
          <w:color w:val="000000"/>
          <w:sz w:val="24"/>
          <w:szCs w:val="24"/>
        </w:rPr>
        <w:t xml:space="preserve">The Company, the Board, the Committee, and their respective officers, employees, agents, and advisors do not provide tax advice to Participants. Each Participant is encouraged to consult with the Participant's own tax advisor regarding the tax consequences of participating in this Plan, including the application of Section 409A, the timing of income recognition, and the availability of any deductions or credits. Nothing in this Plan or any Award Agreement shall be construed as a representation or guarantee regarding the tax treatment of any Phantom Unit or settlement payment.</w:t>
      </w:r>
    </w:p>
    <w:p>
      <w:pPr>
        <w:pStyle w:val="Heading3"/>
        <w:spacing w:after="120" w:before="240"/>
      </w:pPr>
      <w:r>
        <w:rPr>
          <w:rFonts w:ascii="Calibri" w:cs="Calibri" w:eastAsia="Calibri" w:hAnsi="Calibri"/>
          <w:b/>
          <w:bCs/>
          <w:color w:val="333333"/>
          <w:sz w:val="24"/>
          <w:szCs w:val="24"/>
        </w:rPr>
        <w:t xml:space="preserve">Section 13.6  Participant Responsibility</w:t>
      </w:r>
    </w:p>
    <w:p>
      <w:pPr>
        <w:spacing w:after="160" w:before="0" w:line="276"/>
        <w:jc w:val="both"/>
      </w:pPr>
      <w:r>
        <w:rPr>
          <w:rFonts w:ascii="Calibri" w:cs="Calibri" w:eastAsia="Calibri" w:hAnsi="Calibri"/>
          <w:color w:val="000000"/>
          <w:sz w:val="24"/>
          <w:szCs w:val="24"/>
        </w:rPr>
        <w:t xml:space="preserve">Each Participant shall be solely responsible for: (a) the payment of all taxes, interest, and penalties arising from or related to the Participant's participation in this Plan; (b) the timely and accurate filing of all tax returns and other reports required in connection with the grant, vesting, and settlement of Phantom Units; and (c) compliance with all applicable tax laws and regulations. The Company shall not be liable to any Participant for any adverse tax consequences resulting from the Participant's participation in this Plan, including any additional tax, interest, or penalty imposed under Section 409A.</w:t>
      </w:r>
    </w:p>
    <w:p>
      <w:r>
        <w:br w:type="page"/>
      </w:r>
    </w:p>
    <w:p>
      <w:pPr>
        <w:pStyle w:val="Heading1"/>
        <w:spacing w:after="200" w:before="360"/>
      </w:pPr>
      <w:r>
        <w:rPr>
          <w:rFonts w:ascii="Calibri" w:cs="Calibri" w:eastAsia="Calibri" w:hAnsi="Calibri"/>
          <w:b/>
          <w:bCs/>
          <w:color w:val="333333"/>
          <w:sz w:val="28"/>
          <w:szCs w:val="28"/>
        </w:rPr>
        <w:t xml:space="preserve">ARTICLE XIV: AMENDMENT AND TERMINATION</w:t>
      </w:r>
    </w:p>
    <w:p>
      <w:pPr>
        <w:pStyle w:val="Heading3"/>
        <w:spacing w:after="120" w:before="240"/>
      </w:pPr>
      <w:r>
        <w:rPr>
          <w:rFonts w:ascii="Calibri" w:cs="Calibri" w:eastAsia="Calibri" w:hAnsi="Calibri"/>
          <w:b/>
          <w:bCs/>
          <w:color w:val="333333"/>
          <w:sz w:val="24"/>
          <w:szCs w:val="24"/>
        </w:rPr>
        <w:t xml:space="preserve">Section 14.1  Board Authority to Amend</w:t>
      </w:r>
    </w:p>
    <w:p>
      <w:pPr>
        <w:spacing w:after="160" w:before="0" w:line="276"/>
        <w:jc w:val="both"/>
      </w:pPr>
      <w:r>
        <w:rPr>
          <w:rFonts w:ascii="Calibri" w:cs="Calibri" w:eastAsia="Calibri" w:hAnsi="Calibri"/>
          <w:color w:val="000000"/>
          <w:sz w:val="24"/>
          <w:szCs w:val="24"/>
        </w:rPr>
        <w:t xml:space="preserve">The Board shall have the right at any time, and from time to time, to amend, modify, suspend, or terminate this Plan, in whole or in part, for any reason or no reason, without the consent of any Participant; provided, however, that no such amendment, modification, suspension, or termination shall: (a) materially and adversely affect the rights of any Participant with respect to Phantom Units already granted without the written consent of such Participant (unless such amendment is necessary to comply with applicable law, including Section 409A); or (b) increase the maximum number of Phantom Units that may be granted under this Plan without the approval of the Company's equity holders (if such approval is required by the Company's organizational documents or applicable law).</w:t>
      </w:r>
    </w:p>
    <w:p>
      <w:pPr>
        <w:pStyle w:val="Heading3"/>
        <w:spacing w:after="120" w:before="240"/>
      </w:pPr>
      <w:r>
        <w:rPr>
          <w:rFonts w:ascii="Calibri" w:cs="Calibri" w:eastAsia="Calibri" w:hAnsi="Calibri"/>
          <w:b/>
          <w:bCs/>
          <w:color w:val="333333"/>
          <w:sz w:val="24"/>
          <w:szCs w:val="24"/>
        </w:rPr>
        <w:t xml:space="preserve">Section 14.2  Participant Consent for Adverse Changes</w:t>
      </w:r>
    </w:p>
    <w:p>
      <w:pPr>
        <w:spacing w:after="160" w:before="0" w:line="276"/>
        <w:jc w:val="both"/>
      </w:pPr>
      <w:r>
        <w:rPr>
          <w:rFonts w:ascii="Calibri" w:cs="Calibri" w:eastAsia="Calibri" w:hAnsi="Calibri"/>
          <w:color w:val="000000"/>
          <w:sz w:val="24"/>
          <w:szCs w:val="24"/>
        </w:rPr>
        <w:t xml:space="preserve">If any amendment, modification, or termination of this Plan would materially and adversely affect the rights of a Participant with respect to outstanding Phantom Units, the Company shall provide written notice to such Participant and obtain the Participant's written consent prior to implementing such change, unless the Committee determines that such change is necessary to comply with applicable law (including Section 409A), to preserve the intended tax treatment of the Phantom Units, or to correct an administrative error. For purposes of this Section 14.2, a change shall be deemed "materially adverse" if it: (a) reduces the number of vested Phantom Units; (b) reduces the settlement amount otherwise payable; (c) extends the settlement date beyond the date otherwise applicable; (d) adds new forfeiture conditions to vested Phantom Units; or (e) otherwise materially diminishes the value of the Participant's rights under the Plan or the Award Agreement.</w:t>
      </w:r>
    </w:p>
    <w:p>
      <w:pPr>
        <w:pStyle w:val="Heading3"/>
        <w:spacing w:after="120" w:before="240"/>
      </w:pPr>
      <w:r>
        <w:rPr>
          <w:rFonts w:ascii="Calibri" w:cs="Calibri" w:eastAsia="Calibri" w:hAnsi="Calibri"/>
          <w:b/>
          <w:bCs/>
          <w:color w:val="333333"/>
          <w:sz w:val="24"/>
          <w:szCs w:val="24"/>
        </w:rPr>
        <w:t xml:space="preserve">Section 14.3  Plan Termination and Acceleration</w:t>
      </w:r>
    </w:p>
    <w:p>
      <w:pPr>
        <w:spacing w:after="160" w:before="0" w:line="276"/>
        <w:jc w:val="both"/>
      </w:pPr>
      <w:r>
        <w:rPr>
          <w:rFonts w:ascii="Calibri" w:cs="Calibri" w:eastAsia="Calibri" w:hAnsi="Calibri"/>
          <w:color w:val="000000"/>
          <w:sz w:val="24"/>
          <w:szCs w:val="24"/>
        </w:rPr>
        <w:t xml:space="preserve">The Board may terminate this Plan and accelerate the settlement of all outstanding Phantom Units in accordance with the requirements of Treasury Regulation Section 1.409A-3(j)(4)(ix), which generally permits plan termination and acceleration of payments if:</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The termination does not occur proximate to a downturn in the Company's financial health;</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All Phantom Units under the Plan (and all similar arrangements maintained by the Company) are terminated and liquidated;</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No payments (other than payments that would have been made without regard to the termination) are made within twelve (12) months of the termination;</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All payments are made within twenty-four (24) months of the termination; and</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color w:val="000000"/>
          <w:sz w:val="24"/>
          <w:szCs w:val="24"/>
        </w:rPr>
        <w:t xml:space="preserve">The Company does not adopt a new arrangement that would be aggregated with the terminated Plan under Section 409A within three (3) years following the termination.</w:t>
      </w:r>
    </w:p>
    <w:p>
      <w:pPr>
        <w:spacing w:after="160" w:before="0" w:line="276"/>
        <w:jc w:val="both"/>
      </w:pPr>
      <w:r>
        <w:rPr>
          <w:rFonts w:ascii="Calibri" w:cs="Calibri" w:eastAsia="Calibri" w:hAnsi="Calibri"/>
          <w:color w:val="000000"/>
          <w:sz w:val="24"/>
          <w:szCs w:val="24"/>
        </w:rPr>
        <w:t xml:space="preserve">The Board may also terminate the Plan and accelerate settlement in connection with a Change of Control or upon the occurrence of other events permitted under Section 409A.</w:t>
      </w:r>
    </w:p>
    <w:p>
      <w:pPr>
        <w:pStyle w:val="Heading3"/>
        <w:spacing w:after="120" w:before="240"/>
      </w:pPr>
      <w:r>
        <w:rPr>
          <w:rFonts w:ascii="Calibri" w:cs="Calibri" w:eastAsia="Calibri" w:hAnsi="Calibri"/>
          <w:b/>
          <w:bCs/>
          <w:color w:val="333333"/>
          <w:sz w:val="24"/>
          <w:szCs w:val="24"/>
        </w:rPr>
        <w:t xml:space="preserve">Section 14.4  Effect of Termination</w:t>
      </w:r>
    </w:p>
    <w:p>
      <w:pPr>
        <w:spacing w:after="160" w:before="0" w:line="276"/>
        <w:jc w:val="both"/>
      </w:pPr>
      <w:r>
        <w:rPr>
          <w:rFonts w:ascii="Calibri" w:cs="Calibri" w:eastAsia="Calibri" w:hAnsi="Calibri"/>
          <w:color w:val="000000"/>
          <w:sz w:val="24"/>
          <w:szCs w:val="24"/>
        </w:rPr>
        <w:t xml:space="preserve">Upon termination of this Plan, no further grants of Phantom Units shall be made. Phantom Units outstanding at the time of termination shall continue to be governed by the terms of this Plan and the applicable Award Agreements until settled, forfeited, or expired. The Company's obligations with respect to outstanding Phantom Units shall survive the termination of this Plan.</w:t>
      </w:r>
    </w:p>
    <w:p>
      <w:r>
        <w:br w:type="page"/>
      </w:r>
    </w:p>
    <w:p>
      <w:pPr>
        <w:pStyle w:val="Heading1"/>
        <w:spacing w:after="200" w:before="360"/>
      </w:pPr>
      <w:r>
        <w:rPr>
          <w:rFonts w:ascii="Calibri" w:cs="Calibri" w:eastAsia="Calibri" w:hAnsi="Calibri"/>
          <w:b/>
          <w:bCs/>
          <w:color w:val="333333"/>
          <w:sz w:val="28"/>
          <w:szCs w:val="28"/>
        </w:rPr>
        <w:t xml:space="preserve">ARTICLE XV: GENERAL PROVISIONS</w:t>
      </w:r>
    </w:p>
    <w:p>
      <w:pPr>
        <w:pStyle w:val="Heading3"/>
        <w:spacing w:after="120" w:before="240"/>
      </w:pPr>
      <w:r>
        <w:rPr>
          <w:rFonts w:ascii="Calibri" w:cs="Calibri" w:eastAsia="Calibri" w:hAnsi="Calibri"/>
          <w:b/>
          <w:bCs/>
          <w:color w:val="333333"/>
          <w:sz w:val="24"/>
          <w:szCs w:val="24"/>
        </w:rPr>
        <w:t xml:space="preserve">Section 15.1  Unfunded Plan</w:t>
      </w:r>
    </w:p>
    <w:p>
      <w:pPr>
        <w:spacing w:after="160" w:before="0" w:line="276"/>
        <w:jc w:val="both"/>
      </w:pPr>
      <w:r>
        <w:rPr>
          <w:rFonts w:ascii="Calibri" w:cs="Calibri" w:eastAsia="Calibri" w:hAnsi="Calibri"/>
          <w:color w:val="000000"/>
          <w:sz w:val="24"/>
          <w:szCs w:val="24"/>
        </w:rPr>
        <w:t xml:space="preserve">This Plan is an unfunded obligation of the Company. The Company shall not be required to establish any trust, escrow, or other fund or account for the purpose of funding its obligations under this Plan. The Company may, in its sole discretion, establish a grantor trust (commonly referred to as a "rabbi trust") to assist in meeting its obligations under this Plan; provided, however, that the assets of any such trust shall remain subject to the claims of the Company's general creditors in the event of the Company's insolvency or bankruptcy, and no Participant shall have any security interest in or lien upon the assets of any such trust.</w:t>
      </w:r>
    </w:p>
    <w:p>
      <w:pPr>
        <w:pStyle w:val="Heading3"/>
        <w:spacing w:after="120" w:before="240"/>
      </w:pPr>
      <w:r>
        <w:rPr>
          <w:rFonts w:ascii="Calibri" w:cs="Calibri" w:eastAsia="Calibri" w:hAnsi="Calibri"/>
          <w:b/>
          <w:bCs/>
          <w:color w:val="333333"/>
          <w:sz w:val="24"/>
          <w:szCs w:val="24"/>
        </w:rPr>
        <w:t xml:space="preserve">Section 15.2  Assignment Restrictions</w:t>
      </w:r>
    </w:p>
    <w:p>
      <w:pPr>
        <w:spacing w:after="160" w:before="0" w:line="276"/>
        <w:jc w:val="both"/>
      </w:pPr>
      <w:r>
        <w:rPr>
          <w:rFonts w:ascii="Calibri" w:cs="Calibri" w:eastAsia="Calibri" w:hAnsi="Calibri"/>
          <w:color w:val="000000"/>
          <w:sz w:val="24"/>
          <w:szCs w:val="24"/>
        </w:rPr>
        <w:t xml:space="preserve">The Company may assign its rights and obligations under this Plan to any successor entity (whether by merger, consolidation, sale of assets, or otherwise) without the consent of any Participant. No Participant may assign, transfer, pledge, or otherwise dispose of any rights under this Plan or any Award Agreement, except by will or the laws of descent and distribution. Any purported assignment in violation of this Section 15.2 shall be null and void.</w:t>
      </w:r>
    </w:p>
    <w:p>
      <w:pPr>
        <w:pStyle w:val="Heading3"/>
        <w:spacing w:after="120" w:before="240"/>
      </w:pPr>
      <w:r>
        <w:rPr>
          <w:rFonts w:ascii="Calibri" w:cs="Calibri" w:eastAsia="Calibri" w:hAnsi="Calibri"/>
          <w:b/>
          <w:bCs/>
          <w:color w:val="333333"/>
          <w:sz w:val="24"/>
          <w:szCs w:val="24"/>
        </w:rPr>
        <w:t xml:space="preserve">Section 15.3  Beneficiary Designation</w:t>
      </w:r>
    </w:p>
    <w:p>
      <w:pPr>
        <w:spacing w:after="160" w:before="0" w:line="276"/>
        <w:jc w:val="both"/>
      </w:pPr>
      <w:r>
        <w:rPr>
          <w:rFonts w:ascii="Calibri" w:cs="Calibri" w:eastAsia="Calibri" w:hAnsi="Calibri"/>
          <w:color w:val="000000"/>
          <w:sz w:val="24"/>
          <w:szCs w:val="24"/>
        </w:rPr>
        <w:t xml:space="preserve">Each Participant may designate one or more beneficiaries to receive settlement payments in the event of the Participant's death. A beneficiary designation shall be made in writing on a form prescribed by the Committee and shall be effective only when filed with the Company. A Participant may change or revoke a beneficiary designation at any time by filing a new beneficiary designation form with the Company. If a Participant dies without a valid beneficiary designation on file, or if the designated beneficiary predeceases the Participant, settlement payments shall be made to the Participant's estate.</w:t>
      </w:r>
    </w:p>
    <w:p>
      <w:pPr>
        <w:pStyle w:val="Heading3"/>
        <w:spacing w:after="120" w:before="240"/>
      </w:pPr>
      <w:r>
        <w:rPr>
          <w:rFonts w:ascii="Calibri" w:cs="Calibri" w:eastAsia="Calibri" w:hAnsi="Calibri"/>
          <w:b/>
          <w:bCs/>
          <w:color w:val="333333"/>
          <w:sz w:val="24"/>
          <w:szCs w:val="24"/>
        </w:rPr>
        <w:t xml:space="preserve">Section 15.4  Governing Law</w:t>
      </w:r>
    </w:p>
    <w:p>
      <w:pPr>
        <w:spacing w:after="160" w:before="0" w:line="276"/>
        <w:jc w:val="both"/>
      </w:pPr>
      <w:r>
        <w:rPr>
          <w:rFonts w:ascii="Calibri" w:cs="Calibri" w:eastAsia="Calibri" w:hAnsi="Calibri"/>
          <w:color w:val="000000"/>
          <w:sz w:val="24"/>
          <w:szCs w:val="24"/>
        </w:rPr>
        <w:t xml:space="preserve">This Plan and all Award Agreements shall be governed by and construed in accordance with the laws of the State of </w:t>
      </w:r>
      <w:r>
        <w:rPr>
          <w:rFonts w:ascii="Calibri" w:cs="Calibri" w:eastAsia="Calibri" w:hAnsi="Calibri"/>
          <w:b/>
          <w:bCs/>
          <w:color w:val="2B4C7E"/>
          <w:sz w:val="24"/>
          <w:szCs w:val="24"/>
          <w:highlight w:val="yellow"/>
          <w:highlightCs w:val="yellow"/>
        </w:rPr>
        <w:t xml:space="preserve">[GOVERNING LAW STATE]</w:t>
      </w:r>
      <w:r>
        <w:rPr>
          <w:rFonts w:ascii="Calibri" w:cs="Calibri" w:eastAsia="Calibri" w:hAnsi="Calibri"/>
          <w:color w:val="000000"/>
          <w:sz w:val="24"/>
          <w:szCs w:val="24"/>
        </w:rPr>
        <w:t xml:space="preserve">, without regard to its principles of conflicts of law. Any dispute arising out of or relating to this Plan or any Award Agreement shall be resolved exclusively in the state or federal courts located in </w:t>
      </w:r>
      <w:r>
        <w:rPr>
          <w:rFonts w:ascii="Calibri" w:cs="Calibri" w:eastAsia="Calibri" w:hAnsi="Calibri"/>
          <w:b/>
          <w:bCs/>
          <w:color w:val="2B4C7E"/>
          <w:sz w:val="24"/>
          <w:szCs w:val="24"/>
          <w:highlight w:val="yellow"/>
          <w:highlightCs w:val="yellow"/>
        </w:rPr>
        <w:t xml:space="preserve">[JURISDICTION, E.G., [COUNTY], [STATE]]</w:t>
      </w:r>
      <w:r>
        <w:rPr>
          <w:rFonts w:ascii="Calibri" w:cs="Calibri" w:eastAsia="Calibri" w:hAnsi="Calibri"/>
          <w:color w:val="000000"/>
          <w:sz w:val="24"/>
          <w:szCs w:val="24"/>
        </w:rPr>
        <w:t xml:space="preserve">, and each party hereby consents to the personal jurisdiction and venue of such courts.</w:t>
      </w:r>
    </w:p>
    <w:p>
      <w:pPr>
        <w:pStyle w:val="Heading3"/>
        <w:spacing w:after="120" w:before="240"/>
      </w:pPr>
      <w:r>
        <w:rPr>
          <w:rFonts w:ascii="Calibri" w:cs="Calibri" w:eastAsia="Calibri" w:hAnsi="Calibri"/>
          <w:b/>
          <w:bCs/>
          <w:color w:val="333333"/>
          <w:sz w:val="24"/>
          <w:szCs w:val="24"/>
        </w:rPr>
        <w:t xml:space="preserve">Section 15.5  Severability</w:t>
      </w:r>
    </w:p>
    <w:p>
      <w:pPr>
        <w:spacing w:after="160" w:before="0" w:line="276"/>
        <w:jc w:val="both"/>
      </w:pPr>
      <w:r>
        <w:rPr>
          <w:rFonts w:ascii="Calibri" w:cs="Calibri" w:eastAsia="Calibri" w:hAnsi="Calibri"/>
          <w:color w:val="000000"/>
          <w:sz w:val="24"/>
          <w:szCs w:val="24"/>
        </w:rPr>
        <w:t xml:space="preserve">If any provision of this Plan or any Award Agreement is held to be invalid, illegal, or unenforceable by a court of competent jurisdiction, such provision shall be modified to the minimum extent necessary to make it valid, legal, and enforceable, or if such modification is not possible, such provision shall be severed from this Plan or Award Agreement, and the remaining provisions shall continue in full force and effect. The invalidity of any provision shall not affect the validity of any other provision of this Plan.</w:t>
      </w:r>
    </w:p>
    <w:p>
      <w:pPr>
        <w:pStyle w:val="Heading3"/>
        <w:spacing w:after="120" w:before="240"/>
      </w:pPr>
      <w:r>
        <w:rPr>
          <w:rFonts w:ascii="Calibri" w:cs="Calibri" w:eastAsia="Calibri" w:hAnsi="Calibri"/>
          <w:b/>
          <w:bCs/>
          <w:color w:val="333333"/>
          <w:sz w:val="24"/>
          <w:szCs w:val="24"/>
        </w:rPr>
        <w:t xml:space="preserve">Section 15.6  Clawback Policy</w:t>
      </w:r>
    </w:p>
    <w:p>
      <w:pPr>
        <w:spacing w:after="160" w:before="0" w:line="276"/>
        <w:jc w:val="both"/>
      </w:pPr>
      <w:r>
        <w:rPr>
          <w:rFonts w:ascii="Calibri" w:cs="Calibri" w:eastAsia="Calibri" w:hAnsi="Calibri"/>
          <w:color w:val="000000"/>
          <w:sz w:val="24"/>
          <w:szCs w:val="24"/>
        </w:rPr>
        <w:t xml:space="preserve">All Phantom Units and settlement payments under this Plan shall be subject to any clawback, recoupment, or compensation recovery policy that the Company has adopted or may adopt in the future, including any policy required by applicable law, regulation, or stock exchange listing standard. By accepting Phantom Units under this Plan, each Participant agrees to be bound by any such policy and to return any settlement amounts that the Company is required to recover pursuant to any such policy.</w:t>
      </w:r>
    </w:p>
    <w:p>
      <w:pPr>
        <w:pStyle w:val="Heading3"/>
        <w:spacing w:after="120" w:before="240"/>
      </w:pPr>
      <w:r>
        <w:rPr>
          <w:rFonts w:ascii="Calibri" w:cs="Calibri" w:eastAsia="Calibri" w:hAnsi="Calibri"/>
          <w:b/>
          <w:bCs/>
          <w:color w:val="333333"/>
          <w:sz w:val="24"/>
          <w:szCs w:val="24"/>
        </w:rPr>
        <w:t xml:space="preserve">Section 15.7  Entire Agreement</w:t>
      </w:r>
    </w:p>
    <w:p>
      <w:pPr>
        <w:spacing w:after="160" w:before="0" w:line="276"/>
        <w:jc w:val="both"/>
      </w:pPr>
      <w:r>
        <w:rPr>
          <w:rFonts w:ascii="Calibri" w:cs="Calibri" w:eastAsia="Calibri" w:hAnsi="Calibri"/>
          <w:color w:val="000000"/>
          <w:sz w:val="24"/>
          <w:szCs w:val="24"/>
        </w:rPr>
        <w:t xml:space="preserve">This Plan and the applicable Award Agreement constitute the entire agreement between the Company and each Participant with respect to the subject matter hereof and supersede all prior and contemporaneous agreements, representations, and understandings, whether written or oral, relating to Phantom Units. No provision of this Plan or any Award Agreement may be modified, waived, or discharged unless such modification, waiver, or discharge is agreed to in writing and signed by the Company and the Participant.</w:t>
      </w:r>
    </w:p>
    <w:p>
      <w:pPr>
        <w:pStyle w:val="Heading3"/>
        <w:spacing w:after="120" w:before="240"/>
      </w:pPr>
      <w:r>
        <w:rPr>
          <w:rFonts w:ascii="Calibri" w:cs="Calibri" w:eastAsia="Calibri" w:hAnsi="Calibri"/>
          <w:b/>
          <w:bCs/>
          <w:color w:val="333333"/>
          <w:sz w:val="24"/>
          <w:szCs w:val="24"/>
        </w:rPr>
        <w:t xml:space="preserve">Section 15.8  Notices</w:t>
      </w:r>
    </w:p>
    <w:p>
      <w:pPr>
        <w:spacing w:after="160" w:before="0" w:line="276"/>
        <w:jc w:val="both"/>
      </w:pPr>
      <w:r>
        <w:rPr>
          <w:rFonts w:ascii="Calibri" w:cs="Calibri" w:eastAsia="Calibri" w:hAnsi="Calibri"/>
          <w:color w:val="000000"/>
          <w:sz w:val="24"/>
          <w:szCs w:val="24"/>
        </w:rPr>
        <w:t xml:space="preserve">All notices and other communications under this Plan and any Award Agreement shall be in writing and shall be deemed given when: (a) delivered personally; (b) sent by overnight courier (with confirmation of delivery); (c) sent by certified or registered mail, return receipt requested, postage prepaid; or (d) sent by electronic mail (with confirmation of receipt). Notices to the Company shall be directed to </w:t>
      </w:r>
      <w:r>
        <w:rPr>
          <w:rFonts w:ascii="Calibri" w:cs="Calibri" w:eastAsia="Calibri" w:hAnsi="Calibri"/>
          <w:b/>
          <w:bCs/>
          <w:color w:val="2B4C7E"/>
          <w:sz w:val="24"/>
          <w:szCs w:val="24"/>
          <w:highlight w:val="yellow"/>
          <w:highlightCs w:val="yellow"/>
        </w:rPr>
        <w:t xml:space="preserve">[COMPANY ADDRESS]</w:t>
      </w:r>
      <w:r>
        <w:rPr>
          <w:rFonts w:ascii="Calibri" w:cs="Calibri" w:eastAsia="Calibri" w:hAnsi="Calibri"/>
          <w:color w:val="000000"/>
          <w:sz w:val="24"/>
          <w:szCs w:val="24"/>
        </w:rPr>
        <w:t xml:space="preserve">, Attention: </w:t>
      </w:r>
      <w:r>
        <w:rPr>
          <w:rFonts w:ascii="Calibri" w:cs="Calibri" w:eastAsia="Calibri" w:hAnsi="Calibri"/>
          <w:b/>
          <w:bCs/>
          <w:color w:val="2B4C7E"/>
          <w:sz w:val="24"/>
          <w:szCs w:val="24"/>
          <w:highlight w:val="yellow"/>
          <w:highlightCs w:val="yellow"/>
        </w:rPr>
        <w:t xml:space="preserve">[TITLE, E.G., GENERAL COUNSEL]</w:t>
      </w:r>
      <w:r>
        <w:rPr>
          <w:rFonts w:ascii="Calibri" w:cs="Calibri" w:eastAsia="Calibri" w:hAnsi="Calibri"/>
          <w:color w:val="000000"/>
          <w:sz w:val="24"/>
          <w:szCs w:val="24"/>
        </w:rPr>
        <w:t xml:space="preserve">. Notices to Participants shall be directed to the address or email address on file with the Company.</w:t>
      </w:r>
    </w:p>
    <w:p>
      <w:pPr>
        <w:pStyle w:val="Heading3"/>
        <w:spacing w:after="120" w:before="240"/>
      </w:pPr>
      <w:r>
        <w:rPr>
          <w:rFonts w:ascii="Calibri" w:cs="Calibri" w:eastAsia="Calibri" w:hAnsi="Calibri"/>
          <w:b/>
          <w:bCs/>
          <w:color w:val="333333"/>
          <w:sz w:val="24"/>
          <w:szCs w:val="24"/>
        </w:rPr>
        <w:t xml:space="preserve">Section 15.9  No Right to Continued Service</w:t>
      </w:r>
    </w:p>
    <w:p>
      <w:pPr>
        <w:spacing w:after="160" w:before="0" w:line="276"/>
        <w:jc w:val="both"/>
      </w:pPr>
      <w:r>
        <w:rPr>
          <w:rFonts w:ascii="Calibri" w:cs="Calibri" w:eastAsia="Calibri" w:hAnsi="Calibri"/>
          <w:color w:val="000000"/>
          <w:sz w:val="24"/>
          <w:szCs w:val="24"/>
        </w:rPr>
        <w:t xml:space="preserve">Nothing in this Plan or any Award Agreement shall confer upon any Participant any right to continue as a Service Provider to the Company or any Affiliate, or shall interfere with or restrict the right of the Company or any Affiliate to terminate the Participant's service at any time, with or without Cause, subject to the terms of any separate employment or service agreement between the Participant and the Company.</w:t>
      </w:r>
    </w:p>
    <w:p>
      <w:pPr>
        <w:pStyle w:val="Heading3"/>
        <w:spacing w:after="120" w:before="240"/>
      </w:pPr>
      <w:r>
        <w:rPr>
          <w:rFonts w:ascii="Calibri" w:cs="Calibri" w:eastAsia="Calibri" w:hAnsi="Calibri"/>
          <w:b/>
          <w:bCs/>
          <w:color w:val="333333"/>
          <w:sz w:val="24"/>
          <w:szCs w:val="24"/>
        </w:rPr>
        <w:t xml:space="preserve">Section 15.10  Headings</w:t>
      </w:r>
    </w:p>
    <w:p>
      <w:pPr>
        <w:spacing w:after="160" w:before="0" w:line="276"/>
        <w:jc w:val="both"/>
      </w:pPr>
      <w:r>
        <w:rPr>
          <w:rFonts w:ascii="Calibri" w:cs="Calibri" w:eastAsia="Calibri" w:hAnsi="Calibri"/>
          <w:color w:val="000000"/>
          <w:sz w:val="24"/>
          <w:szCs w:val="24"/>
        </w:rPr>
        <w:t xml:space="preserve">The headings in this Plan are for convenience of reference only and shall not affect the interpretation of any provision of this Plan.</w:t>
      </w:r>
    </w:p>
    <w:p>
      <w:pPr>
        <w:pStyle w:val="Heading3"/>
        <w:spacing w:after="120" w:before="240"/>
      </w:pPr>
      <w:r>
        <w:rPr>
          <w:rFonts w:ascii="Calibri" w:cs="Calibri" w:eastAsia="Calibri" w:hAnsi="Calibri"/>
          <w:b/>
          <w:bCs/>
          <w:color w:val="333333"/>
          <w:sz w:val="24"/>
          <w:szCs w:val="24"/>
        </w:rPr>
        <w:t xml:space="preserve">Section 15.11  Counterparts and Electronic Signatures</w:t>
      </w:r>
    </w:p>
    <w:p>
      <w:pPr>
        <w:spacing w:after="160" w:before="0" w:line="276"/>
        <w:jc w:val="both"/>
      </w:pPr>
      <w:r>
        <w:rPr>
          <w:rFonts w:ascii="Calibri" w:cs="Calibri" w:eastAsia="Calibri" w:hAnsi="Calibri"/>
          <w:color w:val="000000"/>
          <w:sz w:val="24"/>
          <w:szCs w:val="24"/>
        </w:rPr>
        <w:t xml:space="preserve">Award Agreements may be executed in one or more counterparts, each of which shall be deemed an original and all of which together shall constitute one and the same instrument. Award Agreements and other documents under this Plan may be executed by electronic signature, which shall be deemed an original signature for all purposes.</w:t>
      </w:r>
    </w:p>
    <w:p>
      <w:pPr>
        <w:spacing w:after="0"/>
      </w:pPr>
    </w:p>
    <w:p>
      <w:pPr>
        <w:pBdr>
          <w:bottom w:val="single" w:color="808080" w:sz="1" w:space="4"/>
        </w:pBdr>
        <w:spacing w:after="160" w:before="0" w:line="276"/>
        <w:jc w:val="both"/>
      </w:pPr>
      <w:r>
        <w:rPr>
          <w:rFonts w:ascii="Calibri" w:cs="Calibri" w:eastAsia="Calibri" w:hAnsi="Calibri"/>
          <w:color w:val="000000"/>
          <w:sz w:val="24"/>
          <w:szCs w:val="24"/>
        </w:rPr>
        <w:t xml:space="preserve"/>
      </w:r>
    </w:p>
    <w:p>
      <w:pPr>
        <w:spacing w:after="0"/>
      </w:pPr>
    </w:p>
    <w:p>
      <w:pPr>
        <w:spacing w:after="160"/>
        <w:jc w:val="center"/>
      </w:pPr>
      <w:r>
        <w:rPr>
          <w:rFonts w:ascii="Calibri" w:cs="Calibri" w:eastAsia="Calibri" w:hAnsi="Calibri"/>
          <w:b/>
          <w:bCs/>
          <w:color w:val="808080"/>
          <w:sz w:val="24"/>
          <w:szCs w:val="24"/>
        </w:rPr>
        <w:t xml:space="preserve">[SIGNATURE PAGE FOLLOWS]</w:t>
      </w:r>
    </w:p>
    <w:p>
      <w:r>
        <w:br w:type="page"/>
      </w:r>
    </w:p>
    <w:p>
      <w:pPr>
        <w:spacing w:after="360"/>
        <w:jc w:val="center"/>
      </w:pPr>
      <w:r>
        <w:rPr>
          <w:rFonts w:ascii="Calibri" w:cs="Calibri" w:eastAsia="Calibri" w:hAnsi="Calibri"/>
          <w:b/>
          <w:bCs/>
          <w:color w:val="333333"/>
          <w:sz w:val="28"/>
          <w:szCs w:val="28"/>
        </w:rPr>
        <w:t xml:space="preserve">SIGNATURE PAGE</w:t>
      </w:r>
    </w:p>
    <w:p>
      <w:pPr>
        <w:spacing w:after="160" w:before="0" w:line="276"/>
        <w:jc w:val="both"/>
      </w:pPr>
      <w:r>
        <w:rPr>
          <w:rFonts w:ascii="Calibri" w:cs="Calibri" w:eastAsia="Calibri" w:hAnsi="Calibri"/>
          <w:color w:val="000000"/>
          <w:sz w:val="24"/>
          <w:szCs w:val="24"/>
        </w:rPr>
        <w:t xml:space="preserve">IN WITNESS WHEREOF, the Company has caused this Phantom Equity Plan to be executed by its duly authorized representative, effective as of the Effective Date set forth above.</w:t>
      </w:r>
    </w:p>
    <w:p>
      <w:pPr>
        <w:spacing w:after="0"/>
      </w:pPr>
    </w:p>
    <w:p>
      <w:pPr>
        <w:spacing w:after="160" w:before="0" w:line="276"/>
        <w:jc w:val="both"/>
      </w:pPr>
      <w:r>
        <w:rPr>
          <w:rFonts w:ascii="Calibri" w:cs="Calibri" w:eastAsia="Calibri" w:hAnsi="Calibri"/>
          <w:b/>
          <w:bCs/>
          <w:sz w:val="24"/>
          <w:szCs w:val="24"/>
        </w:rPr>
        <w:t xml:space="preserve">COMPANY:</w:t>
      </w:r>
    </w:p>
    <w:p>
      <w:pPr>
        <w:spacing w:after="0"/>
      </w:pPr>
    </w:p>
    <w:p>
      <w:pPr>
        <w:spacing w:after="160" w:before="0" w:line="276"/>
        <w:jc w:val="both"/>
      </w:pPr>
      <w:r>
        <w:rPr>
          <w:rFonts w:ascii="Calibri" w:cs="Calibri" w:eastAsia="Calibri" w:hAnsi="Calibri"/>
          <w:b/>
          <w:bCs/>
          <w:color w:val="2B4C7E"/>
          <w:sz w:val="24"/>
          <w:szCs w:val="24"/>
          <w:highlight w:val="yellow"/>
          <w:highlightCs w:val="yellow"/>
        </w:rPr>
        <w:t xml:space="preserve">[COMPANY NAME]</w:t>
      </w:r>
    </w:p>
    <w:p>
      <w:pPr>
        <w:spacing w:after="160" w:before="0" w:line="276"/>
        <w:jc w:val="both"/>
      </w:pPr>
      <w:r>
        <w:rPr>
          <w:rFonts w:ascii="Calibri" w:cs="Calibri" w:eastAsia="Calibri" w:hAnsi="Calibri"/>
          <w:color w:val="000000"/>
          <w:sz w:val="24"/>
          <w:szCs w:val="24"/>
        </w:rPr>
        <w:t xml:space="preserve">a </w:t>
      </w:r>
      <w:r>
        <w:rPr>
          <w:rFonts w:ascii="Calibri" w:cs="Calibri" w:eastAsia="Calibri" w:hAnsi="Calibri"/>
          <w:b/>
          <w:bCs/>
          <w:color w:val="2B4C7E"/>
          <w:sz w:val="24"/>
          <w:szCs w:val="24"/>
          <w:highlight w:val="yellow"/>
          <w:highlightCs w:val="yellow"/>
        </w:rPr>
        <w:t xml:space="preserve">[STATE]</w:t>
      </w:r>
      <w:r>
        <w:rPr>
          <w:rFonts w:ascii="Calibri" w:cs="Calibri" w:eastAsia="Calibri" w:hAnsi="Calibri"/>
          <w:color w:val="000000"/>
          <w:sz w:val="24"/>
          <w:szCs w:val="24"/>
        </w:rPr>
        <w:t xml:space="preserve"> </w:t>
      </w:r>
      <w:r>
        <w:rPr>
          <w:rFonts w:ascii="Calibri" w:cs="Calibri" w:eastAsia="Calibri" w:hAnsi="Calibri"/>
          <w:b/>
          <w:bCs/>
          <w:color w:val="2B4C7E"/>
          <w:sz w:val="24"/>
          <w:szCs w:val="24"/>
          <w:highlight w:val="yellow"/>
          <w:highlightCs w:val="yellow"/>
        </w:rPr>
        <w:t xml:space="preserve">[CORPORATION/LIMITED LIABILITY COMPANY]</w:t>
      </w:r>
    </w:p>
    <w:p>
      <w:pPr>
        <w:spacing w:after="0"/>
      </w:pPr>
    </w:p>
    <w:p>
      <w:pPr>
        <w:spacing w:after="0"/>
      </w:pPr>
    </w:p>
    <w:p>
      <w:pPr>
        <w:spacing w:after="160" w:before="0" w:line="276"/>
        <w:jc w:val="both"/>
      </w:pPr>
      <w:r>
        <w:rPr>
          <w:rFonts w:ascii="Calibri" w:cs="Calibri" w:eastAsia="Calibri" w:hAnsi="Calibri"/>
          <w:color w:val="000000"/>
          <w:sz w:val="24"/>
          <w:szCs w:val="24"/>
        </w:rPr>
        <w:t xml:space="preserve">By: _____________________________________________</w:t>
      </w:r>
    </w:p>
    <w:p>
      <w:pPr>
        <w:spacing w:after="160" w:before="0" w:line="276"/>
        <w:jc w:val="both"/>
      </w:pPr>
      <w:r>
        <w:rPr>
          <w:rFonts w:ascii="Calibri" w:cs="Calibri" w:eastAsia="Calibri" w:hAnsi="Calibri"/>
          <w:color w:val="000000"/>
          <w:sz w:val="24"/>
          <w:szCs w:val="24"/>
        </w:rPr>
        <w:t xml:space="preserve">Name: </w:t>
      </w:r>
      <w:r>
        <w:rPr>
          <w:rFonts w:ascii="Calibri" w:cs="Calibri" w:eastAsia="Calibri" w:hAnsi="Calibri"/>
          <w:b/>
          <w:bCs/>
          <w:color w:val="2B4C7E"/>
          <w:sz w:val="24"/>
          <w:szCs w:val="24"/>
          <w:highlight w:val="yellow"/>
          <w:highlightCs w:val="yellow"/>
        </w:rPr>
        <w:t xml:space="preserve">[AUTHORIZED SIGNATORY NAME]</w:t>
      </w:r>
    </w:p>
    <w:p>
      <w:pPr>
        <w:spacing w:after="160" w:before="0" w:line="276"/>
        <w:jc w:val="both"/>
      </w:pPr>
      <w:r>
        <w:rPr>
          <w:rFonts w:ascii="Calibri" w:cs="Calibri" w:eastAsia="Calibri" w:hAnsi="Calibri"/>
          <w:color w:val="000000"/>
          <w:sz w:val="24"/>
          <w:szCs w:val="24"/>
        </w:rPr>
        <w:t xml:space="preserve">Title: </w:t>
      </w:r>
      <w:r>
        <w:rPr>
          <w:rFonts w:ascii="Calibri" w:cs="Calibri" w:eastAsia="Calibri" w:hAnsi="Calibri"/>
          <w:b/>
          <w:bCs/>
          <w:color w:val="2B4C7E"/>
          <w:sz w:val="24"/>
          <w:szCs w:val="24"/>
          <w:highlight w:val="yellow"/>
          <w:highlightCs w:val="yellow"/>
        </w:rPr>
        <w:t xml:space="preserve">[AUTHORIZED SIGNATORY TITLE]</w:t>
      </w:r>
    </w:p>
    <w:p>
      <w:pPr>
        <w:spacing w:after="160" w:before="0" w:line="276"/>
        <w:jc w:val="both"/>
      </w:pPr>
      <w:r>
        <w:rPr>
          <w:rFonts w:ascii="Calibri" w:cs="Calibri" w:eastAsia="Calibri" w:hAnsi="Calibri"/>
          <w:color w:val="000000"/>
          <w:sz w:val="24"/>
          <w:szCs w:val="24"/>
        </w:rPr>
        <w:t xml:space="preserve">Date: </w:t>
      </w:r>
      <w:r>
        <w:rPr>
          <w:rFonts w:ascii="Calibri" w:cs="Calibri" w:eastAsia="Calibri" w:hAnsi="Calibri"/>
          <w:b/>
          <w:bCs/>
          <w:color w:val="2B4C7E"/>
          <w:sz w:val="24"/>
          <w:szCs w:val="24"/>
          <w:highlight w:val="yellow"/>
          <w:highlightCs w:val="yellow"/>
        </w:rPr>
        <w:t xml:space="preserve">[DATE]</w:t>
      </w:r>
    </w:p>
    <w:p>
      <w:pPr>
        <w:spacing w:after="0"/>
      </w:pPr>
    </w:p>
    <w:p>
      <w:pPr>
        <w:spacing w:after="0"/>
      </w:pPr>
    </w:p>
    <w:p>
      <w:pPr>
        <w:spacing w:after="160" w:before="0" w:line="276"/>
        <w:jc w:val="both"/>
      </w:pPr>
      <w:r>
        <w:rPr>
          <w:rFonts w:ascii="Calibri" w:cs="Calibri" w:eastAsia="Calibri" w:hAnsi="Calibri"/>
          <w:b/>
          <w:bCs/>
          <w:sz w:val="24"/>
          <w:szCs w:val="24"/>
        </w:rPr>
        <w:t xml:space="preserve">ACKNOWLEDGED AND APPROVED:</w:t>
      </w:r>
    </w:p>
    <w:p>
      <w:pPr>
        <w:spacing w:after="0"/>
      </w:pPr>
    </w:p>
    <w:p>
      <w:pPr>
        <w:spacing w:after="160" w:before="0" w:line="276"/>
        <w:jc w:val="both"/>
      </w:pPr>
      <w:r>
        <w:rPr>
          <w:rFonts w:ascii="Calibri" w:cs="Calibri" w:eastAsia="Calibri" w:hAnsi="Calibri"/>
          <w:b/>
          <w:bCs/>
          <w:color w:val="2B4C7E"/>
          <w:sz w:val="24"/>
          <w:szCs w:val="24"/>
          <w:highlight w:val="yellow"/>
          <w:highlightCs w:val="yellow"/>
        </w:rPr>
        <w:t xml:space="preserve">[BOARD CHAIR / MANAGING MEMBER NAME]</w:t>
      </w:r>
    </w:p>
    <w:p>
      <w:pPr>
        <w:spacing w:after="160" w:before="0" w:line="276"/>
        <w:jc w:val="both"/>
      </w:pPr>
      <w:r>
        <w:rPr>
          <w:rFonts w:ascii="Calibri" w:cs="Calibri" w:eastAsia="Calibri" w:hAnsi="Calibri"/>
          <w:color w:val="000000"/>
          <w:sz w:val="24"/>
          <w:szCs w:val="24"/>
        </w:rPr>
        <w:t xml:space="preserve">Title: </w:t>
      </w:r>
      <w:r>
        <w:rPr>
          <w:rFonts w:ascii="Calibri" w:cs="Calibri" w:eastAsia="Calibri" w:hAnsi="Calibri"/>
          <w:b/>
          <w:bCs/>
          <w:color w:val="2B4C7E"/>
          <w:sz w:val="24"/>
          <w:szCs w:val="24"/>
          <w:highlight w:val="yellow"/>
          <w:highlightCs w:val="yellow"/>
        </w:rPr>
        <w:t xml:space="preserve">[TITLE]</w:t>
      </w:r>
    </w:p>
    <w:p>
      <w:pPr>
        <w:spacing w:after="0"/>
      </w:pPr>
    </w:p>
    <w:p>
      <w:pPr>
        <w:spacing w:after="0"/>
      </w:pPr>
    </w:p>
    <w:p>
      <w:pPr>
        <w:spacing w:after="160" w:before="0" w:line="276"/>
        <w:jc w:val="both"/>
      </w:pPr>
      <w:r>
        <w:rPr>
          <w:rFonts w:ascii="Calibri" w:cs="Calibri" w:eastAsia="Calibri" w:hAnsi="Calibri"/>
          <w:color w:val="000000"/>
          <w:sz w:val="24"/>
          <w:szCs w:val="24"/>
        </w:rPr>
        <w:t xml:space="preserve">By: _____________________________________________</w:t>
      </w:r>
    </w:p>
    <w:p>
      <w:pPr>
        <w:spacing w:after="160" w:before="0" w:line="276"/>
        <w:jc w:val="both"/>
      </w:pPr>
      <w:r>
        <w:rPr>
          <w:rFonts w:ascii="Calibri" w:cs="Calibri" w:eastAsia="Calibri" w:hAnsi="Calibri"/>
          <w:color w:val="000000"/>
          <w:sz w:val="24"/>
          <w:szCs w:val="24"/>
        </w:rPr>
        <w:t xml:space="preserve">Date: </w:t>
      </w:r>
      <w:r>
        <w:rPr>
          <w:rFonts w:ascii="Calibri" w:cs="Calibri" w:eastAsia="Calibri" w:hAnsi="Calibri"/>
          <w:b/>
          <w:bCs/>
          <w:color w:val="2B4C7E"/>
          <w:sz w:val="24"/>
          <w:szCs w:val="24"/>
          <w:highlight w:val="yellow"/>
          <w:highlightCs w:val="yellow"/>
        </w:rPr>
        <w:t xml:space="preserve">[DATE]</w:t>
      </w:r>
    </w:p>
    <w:p>
      <w:r>
        <w:br w:type="page"/>
      </w:r>
    </w:p>
    <w:p>
      <w:pPr>
        <w:pStyle w:val="Heading1"/>
        <w:spacing w:after="200" w:before="360"/>
      </w:pPr>
      <w:r>
        <w:rPr>
          <w:rFonts w:ascii="Calibri" w:cs="Calibri" w:eastAsia="Calibri" w:hAnsi="Calibri"/>
          <w:b/>
          <w:bCs/>
          <w:color w:val="333333"/>
          <w:sz w:val="28"/>
          <w:szCs w:val="28"/>
        </w:rPr>
        <w:t xml:space="preserve">EXHIBIT A: FORM OF PHANTOM EQUITY AWARD AGREEMENT</w:t>
      </w:r>
    </w:p>
    <w:p>
      <w:pPr>
        <w:spacing w:after="0"/>
      </w:pPr>
    </w:p>
    <w:p>
      <w:pPr>
        <w:spacing w:after="200"/>
        <w:jc w:val="center"/>
      </w:pPr>
      <w:r>
        <w:rPr>
          <w:rFonts w:ascii="Calibri" w:cs="Calibri" w:eastAsia="Calibri" w:hAnsi="Calibri"/>
          <w:b/>
          <w:bCs/>
          <w:color w:val="333333"/>
          <w:sz w:val="28"/>
          <w:szCs w:val="28"/>
        </w:rPr>
        <w:t xml:space="preserve">PHANTOM EQUITY AWARD AGREEMENT</w:t>
      </w:r>
    </w:p>
    <w:p>
      <w:pPr>
        <w:spacing w:after="120"/>
        <w:jc w:val="center"/>
      </w:pPr>
      <w:r>
        <w:rPr>
          <w:rFonts w:ascii="Calibri" w:cs="Calibri" w:eastAsia="Calibri" w:hAnsi="Calibri"/>
          <w:color w:val="000000"/>
          <w:sz w:val="24"/>
          <w:szCs w:val="24"/>
        </w:rPr>
        <w:t xml:space="preserve">under the</w:t>
      </w:r>
    </w:p>
    <w:p>
      <w:pPr>
        <w:spacing w:after="120"/>
        <w:jc w:val="center"/>
      </w:pPr>
      <w:r>
        <w:rPr>
          <w:rFonts w:ascii="Calibri" w:cs="Calibri" w:eastAsia="Calibri" w:hAnsi="Calibri"/>
          <w:b/>
          <w:bCs/>
          <w:color w:val="2B4C7E"/>
          <w:sz w:val="24"/>
          <w:szCs w:val="24"/>
          <w:highlight w:val="yellow"/>
          <w:highlightCs w:val="yellow"/>
        </w:rPr>
        <w:t xml:space="preserve">[COMPANY NAME]</w:t>
      </w:r>
      <w:r>
        <w:rPr>
          <w:rFonts w:ascii="Calibri" w:cs="Calibri" w:eastAsia="Calibri" w:hAnsi="Calibri"/>
          <w:color w:val="000000"/>
          <w:sz w:val="24"/>
          <w:szCs w:val="24"/>
        </w:rPr>
        <w:t xml:space="preserve"> Phantom Equity Plan</w:t>
      </w:r>
    </w:p>
    <w:p>
      <w:pPr>
        <w:spacing w:after="0"/>
      </w:pPr>
    </w:p>
    <w:p>
      <w:pPr>
        <w:spacing w:after="160" w:before="0" w:line="276"/>
        <w:jc w:val="both"/>
      </w:pPr>
      <w:r>
        <w:rPr>
          <w:rFonts w:ascii="Calibri" w:cs="Calibri" w:eastAsia="Calibri" w:hAnsi="Calibri"/>
          <w:color w:val="000000"/>
          <w:sz w:val="24"/>
          <w:szCs w:val="24"/>
        </w:rPr>
        <w:t xml:space="preserve">This Phantom Equity Award Agreement (this "Agreement") is entered into as of </w:t>
      </w:r>
      <w:r>
        <w:rPr>
          <w:rFonts w:ascii="Calibri" w:cs="Calibri" w:eastAsia="Calibri" w:hAnsi="Calibri"/>
          <w:b/>
          <w:bCs/>
          <w:color w:val="2B4C7E"/>
          <w:sz w:val="24"/>
          <w:szCs w:val="24"/>
          <w:highlight w:val="yellow"/>
          <w:highlightCs w:val="yellow"/>
        </w:rPr>
        <w:t xml:space="preserve">[GRANT DATE]</w:t>
      </w:r>
      <w:r>
        <w:rPr>
          <w:rFonts w:ascii="Calibri" w:cs="Calibri" w:eastAsia="Calibri" w:hAnsi="Calibri"/>
          <w:color w:val="000000"/>
          <w:sz w:val="24"/>
          <w:szCs w:val="24"/>
        </w:rPr>
        <w:t xml:space="preserve"> (the "Grant Date"), by and between </w:t>
      </w:r>
      <w:r>
        <w:rPr>
          <w:rFonts w:ascii="Calibri" w:cs="Calibri" w:eastAsia="Calibri" w:hAnsi="Calibri"/>
          <w:b/>
          <w:bCs/>
          <w:color w:val="2B4C7E"/>
          <w:sz w:val="24"/>
          <w:szCs w:val="24"/>
          <w:highlight w:val="yellow"/>
          <w:highlightCs w:val="yellow"/>
        </w:rPr>
        <w:t xml:space="preserve">[COMPANY NAME]</w:t>
      </w:r>
      <w:r>
        <w:rPr>
          <w:rFonts w:ascii="Calibri" w:cs="Calibri" w:eastAsia="Calibri" w:hAnsi="Calibri"/>
          <w:color w:val="000000"/>
          <w:sz w:val="24"/>
          <w:szCs w:val="24"/>
        </w:rPr>
        <w:t xml:space="preserve">, a </w:t>
      </w:r>
      <w:r>
        <w:rPr>
          <w:rFonts w:ascii="Calibri" w:cs="Calibri" w:eastAsia="Calibri" w:hAnsi="Calibri"/>
          <w:b/>
          <w:bCs/>
          <w:color w:val="2B4C7E"/>
          <w:sz w:val="24"/>
          <w:szCs w:val="24"/>
          <w:highlight w:val="yellow"/>
          <w:highlightCs w:val="yellow"/>
        </w:rPr>
        <w:t xml:space="preserve">[STATE]</w:t>
      </w:r>
      <w:r>
        <w:rPr>
          <w:rFonts w:ascii="Calibri" w:cs="Calibri" w:eastAsia="Calibri" w:hAnsi="Calibri"/>
          <w:color w:val="000000"/>
          <w:sz w:val="24"/>
          <w:szCs w:val="24"/>
        </w:rPr>
        <w:t xml:space="preserve"> </w:t>
      </w:r>
      <w:r>
        <w:rPr>
          <w:rFonts w:ascii="Calibri" w:cs="Calibri" w:eastAsia="Calibri" w:hAnsi="Calibri"/>
          <w:b/>
          <w:bCs/>
          <w:color w:val="2B4C7E"/>
          <w:sz w:val="24"/>
          <w:szCs w:val="24"/>
          <w:highlight w:val="yellow"/>
          <w:highlightCs w:val="yellow"/>
        </w:rPr>
        <w:t xml:space="preserve">[CORPORATION/LLC]</w:t>
      </w:r>
      <w:r>
        <w:rPr>
          <w:rFonts w:ascii="Calibri" w:cs="Calibri" w:eastAsia="Calibri" w:hAnsi="Calibri"/>
          <w:color w:val="000000"/>
          <w:sz w:val="24"/>
          <w:szCs w:val="24"/>
        </w:rPr>
        <w:t xml:space="preserve"> (the "Company"), and the individual identified below (the "Participant").</w:t>
      </w:r>
    </w:p>
    <w:p>
      <w:pPr>
        <w:spacing w:after="0"/>
      </w:pPr>
    </w:p>
    <w:p>
      <w:pPr>
        <w:pStyle w:val="Heading3"/>
        <w:spacing w:after="120" w:before="240"/>
      </w:pPr>
      <w:r>
        <w:rPr>
          <w:rFonts w:ascii="Calibri" w:cs="Calibri" w:eastAsia="Calibri" w:hAnsi="Calibri"/>
          <w:b/>
          <w:bCs/>
          <w:color w:val="333333"/>
          <w:sz w:val="24"/>
          <w:szCs w:val="24"/>
        </w:rPr>
        <w:t xml:space="preserve">1.  Participant Information</w:t>
      </w:r>
    </w:p>
    <w:p>
      <w:pPr>
        <w:spacing w:after="160" w:before="0" w:line="276"/>
        <w:jc w:val="both"/>
      </w:pPr>
      <w:r>
        <w:rPr>
          <w:rFonts w:ascii="Calibri" w:cs="Calibri" w:eastAsia="Calibri" w:hAnsi="Calibri"/>
          <w:color w:val="000000"/>
          <w:sz w:val="24"/>
          <w:szCs w:val="24"/>
        </w:rPr>
        <w:t xml:space="preserve">Name: </w:t>
      </w:r>
      <w:r>
        <w:rPr>
          <w:rFonts w:ascii="Calibri" w:cs="Calibri" w:eastAsia="Calibri" w:hAnsi="Calibri"/>
          <w:b/>
          <w:bCs/>
          <w:color w:val="2B4C7E"/>
          <w:sz w:val="24"/>
          <w:szCs w:val="24"/>
          <w:highlight w:val="yellow"/>
          <w:highlightCs w:val="yellow"/>
        </w:rPr>
        <w:t xml:space="preserve">[PARTICIPANT NAME]</w:t>
      </w:r>
    </w:p>
    <w:p>
      <w:pPr>
        <w:spacing w:after="160" w:before="0" w:line="276"/>
        <w:jc w:val="both"/>
      </w:pPr>
      <w:r>
        <w:rPr>
          <w:rFonts w:ascii="Calibri" w:cs="Calibri" w:eastAsia="Calibri" w:hAnsi="Calibri"/>
          <w:color w:val="000000"/>
          <w:sz w:val="24"/>
          <w:szCs w:val="24"/>
        </w:rPr>
        <w:t xml:space="preserve">Title/Position: </w:t>
      </w:r>
      <w:r>
        <w:rPr>
          <w:rFonts w:ascii="Calibri" w:cs="Calibri" w:eastAsia="Calibri" w:hAnsi="Calibri"/>
          <w:b/>
          <w:bCs/>
          <w:color w:val="2B4C7E"/>
          <w:sz w:val="24"/>
          <w:szCs w:val="24"/>
          <w:highlight w:val="yellow"/>
          <w:highlightCs w:val="yellow"/>
        </w:rPr>
        <w:t xml:space="preserve">[PARTICIPANT TITLE]</w:t>
      </w:r>
    </w:p>
    <w:p>
      <w:pPr>
        <w:spacing w:after="160" w:before="0" w:line="276"/>
        <w:jc w:val="both"/>
      </w:pPr>
      <w:r>
        <w:rPr>
          <w:rFonts w:ascii="Calibri" w:cs="Calibri" w:eastAsia="Calibri" w:hAnsi="Calibri"/>
          <w:color w:val="000000"/>
          <w:sz w:val="24"/>
          <w:szCs w:val="24"/>
        </w:rPr>
        <w:t xml:space="preserve">Service Provider Type: </w:t>
      </w:r>
      <w:r>
        <w:rPr>
          <w:rFonts w:ascii="Calibri" w:cs="Calibri" w:eastAsia="Calibri" w:hAnsi="Calibri"/>
          <w:b/>
          <w:bCs/>
          <w:color w:val="2B4C7E"/>
          <w:sz w:val="24"/>
          <w:szCs w:val="24"/>
          <w:highlight w:val="yellow"/>
          <w:highlightCs w:val="yellow"/>
        </w:rPr>
        <w:t xml:space="preserve">[EMPLOYEE / CONSULTANT / DIRECTOR / ADVISOR]</w:t>
      </w:r>
    </w:p>
    <w:p>
      <w:pPr>
        <w:spacing w:after="160" w:before="0" w:line="276"/>
        <w:jc w:val="both"/>
      </w:pPr>
      <w:r>
        <w:rPr>
          <w:rFonts w:ascii="Calibri" w:cs="Calibri" w:eastAsia="Calibri" w:hAnsi="Calibri"/>
          <w:color w:val="000000"/>
          <w:sz w:val="24"/>
          <w:szCs w:val="24"/>
        </w:rPr>
        <w:t xml:space="preserve">Address: </w:t>
      </w:r>
      <w:r>
        <w:rPr>
          <w:rFonts w:ascii="Calibri" w:cs="Calibri" w:eastAsia="Calibri" w:hAnsi="Calibri"/>
          <w:b/>
          <w:bCs/>
          <w:color w:val="2B4C7E"/>
          <w:sz w:val="24"/>
          <w:szCs w:val="24"/>
          <w:highlight w:val="yellow"/>
          <w:highlightCs w:val="yellow"/>
        </w:rPr>
        <w:t xml:space="preserve">[PARTICIPANT ADDRESS]</w:t>
      </w:r>
    </w:p>
    <w:p>
      <w:pPr>
        <w:spacing w:after="160" w:before="0" w:line="276"/>
        <w:jc w:val="both"/>
      </w:pPr>
      <w:r>
        <w:rPr>
          <w:rFonts w:ascii="Calibri" w:cs="Calibri" w:eastAsia="Calibri" w:hAnsi="Calibri"/>
          <w:color w:val="000000"/>
          <w:sz w:val="24"/>
          <w:szCs w:val="24"/>
        </w:rPr>
        <w:t xml:space="preserve">Email: </w:t>
      </w:r>
      <w:r>
        <w:rPr>
          <w:rFonts w:ascii="Calibri" w:cs="Calibri" w:eastAsia="Calibri" w:hAnsi="Calibri"/>
          <w:b/>
          <w:bCs/>
          <w:color w:val="2B4C7E"/>
          <w:sz w:val="24"/>
          <w:szCs w:val="24"/>
          <w:highlight w:val="yellow"/>
          <w:highlightCs w:val="yellow"/>
        </w:rPr>
        <w:t xml:space="preserve">[PARTICIPANT EMAIL]</w:t>
      </w:r>
    </w:p>
    <w:p>
      <w:pPr>
        <w:pStyle w:val="Heading3"/>
        <w:spacing w:after="120" w:before="240"/>
      </w:pPr>
      <w:r>
        <w:rPr>
          <w:rFonts w:ascii="Calibri" w:cs="Calibri" w:eastAsia="Calibri" w:hAnsi="Calibri"/>
          <w:b/>
          <w:bCs/>
          <w:color w:val="333333"/>
          <w:sz w:val="24"/>
          <w:szCs w:val="24"/>
        </w:rPr>
        <w:t xml:space="preserve">2.  Grant Details</w:t>
      </w:r>
    </w:p>
    <w:p>
      <w:pPr>
        <w:spacing w:after="160" w:before="0" w:line="276"/>
        <w:jc w:val="both"/>
      </w:pPr>
      <w:r>
        <w:rPr>
          <w:rFonts w:ascii="Calibri" w:cs="Calibri" w:eastAsia="Calibri" w:hAnsi="Calibri"/>
          <w:color w:val="000000"/>
          <w:sz w:val="24"/>
          <w:szCs w:val="24"/>
        </w:rPr>
        <w:t xml:space="preserve">Number of Phantom Units Granted: </w:t>
      </w:r>
      <w:r>
        <w:rPr>
          <w:rFonts w:ascii="Calibri" w:cs="Calibri" w:eastAsia="Calibri" w:hAnsi="Calibri"/>
          <w:b/>
          <w:bCs/>
          <w:color w:val="2B4C7E"/>
          <w:sz w:val="24"/>
          <w:szCs w:val="24"/>
          <w:highlight w:val="yellow"/>
          <w:highlightCs w:val="yellow"/>
        </w:rPr>
        <w:t xml:space="preserve">[NUMBER OF PHANTOM UNITS]</w:t>
      </w:r>
    </w:p>
    <w:p>
      <w:pPr>
        <w:spacing w:after="160" w:before="0" w:line="276"/>
        <w:jc w:val="both"/>
      </w:pPr>
      <w:r>
        <w:rPr>
          <w:rFonts w:ascii="Calibri" w:cs="Calibri" w:eastAsia="Calibri" w:hAnsi="Calibri"/>
          <w:color w:val="000000"/>
          <w:sz w:val="24"/>
          <w:szCs w:val="24"/>
        </w:rPr>
        <w:t xml:space="preserve">Type of Phantom Units: </w:t>
      </w:r>
      <w:r>
        <w:rPr>
          <w:rFonts w:ascii="Calibri" w:cs="Calibri" w:eastAsia="Calibri" w:hAnsi="Calibri"/>
          <w:b/>
          <w:bCs/>
          <w:color w:val="2B4C7E"/>
          <w:sz w:val="24"/>
          <w:szCs w:val="24"/>
          <w:highlight w:val="yellow"/>
          <w:highlightCs w:val="yellow"/>
        </w:rPr>
        <w:t xml:space="preserve">[FULL VALUE UNITS / APPRECIATION RIGHTS]</w:t>
      </w:r>
    </w:p>
    <w:p>
      <w:pPr>
        <w:spacing w:after="160" w:before="0" w:line="276"/>
        <w:jc w:val="both"/>
      </w:pPr>
      <w:r>
        <w:rPr>
          <w:rFonts w:ascii="Calibri" w:cs="Calibri" w:eastAsia="Calibri" w:hAnsi="Calibri"/>
          <w:color w:val="000000"/>
          <w:sz w:val="24"/>
          <w:szCs w:val="24"/>
        </w:rPr>
        <w:t xml:space="preserve">Base Value (if Appreciation Rights): $</w:t>
      </w:r>
      <w:r>
        <w:rPr>
          <w:rFonts w:ascii="Calibri" w:cs="Calibri" w:eastAsia="Calibri" w:hAnsi="Calibri"/>
          <w:b/>
          <w:bCs/>
          <w:color w:val="2B4C7E"/>
          <w:sz w:val="24"/>
          <w:szCs w:val="24"/>
          <w:highlight w:val="yellow"/>
          <w:highlightCs w:val="yellow"/>
        </w:rPr>
        <w:t xml:space="preserve">[BASE VALUE PER UNIT]</w:t>
      </w:r>
    </w:p>
    <w:p>
      <w:pPr>
        <w:spacing w:after="160" w:before="0" w:line="276"/>
        <w:jc w:val="both"/>
      </w:pPr>
      <w:r>
        <w:rPr>
          <w:rFonts w:ascii="Calibri" w:cs="Calibri" w:eastAsia="Calibri" w:hAnsi="Calibri"/>
          <w:color w:val="000000"/>
          <w:sz w:val="24"/>
          <w:szCs w:val="24"/>
        </w:rPr>
        <w:t xml:space="preserve">Grant Date: </w:t>
      </w:r>
      <w:r>
        <w:rPr>
          <w:rFonts w:ascii="Calibri" w:cs="Calibri" w:eastAsia="Calibri" w:hAnsi="Calibri"/>
          <w:b/>
          <w:bCs/>
          <w:color w:val="2B4C7E"/>
          <w:sz w:val="24"/>
          <w:szCs w:val="24"/>
          <w:highlight w:val="yellow"/>
          <w:highlightCs w:val="yellow"/>
        </w:rPr>
        <w:t xml:space="preserve">[GRANT DATE]</w:t>
      </w:r>
    </w:p>
    <w:p>
      <w:pPr>
        <w:spacing w:after="160" w:before="0" w:line="276"/>
        <w:jc w:val="both"/>
      </w:pPr>
      <w:r>
        <w:rPr>
          <w:rFonts w:ascii="Calibri" w:cs="Calibri" w:eastAsia="Calibri" w:hAnsi="Calibri"/>
          <w:color w:val="000000"/>
          <w:sz w:val="24"/>
          <w:szCs w:val="24"/>
        </w:rPr>
        <w:t xml:space="preserve">Vesting Commencement Date: </w:t>
      </w:r>
      <w:r>
        <w:rPr>
          <w:rFonts w:ascii="Calibri" w:cs="Calibri" w:eastAsia="Calibri" w:hAnsi="Calibri"/>
          <w:b/>
          <w:bCs/>
          <w:color w:val="2B4C7E"/>
          <w:sz w:val="24"/>
          <w:szCs w:val="24"/>
          <w:highlight w:val="yellow"/>
          <w:highlightCs w:val="yellow"/>
        </w:rPr>
        <w:t xml:space="preserve">[VESTING COMMENCEMENT DATE]</w:t>
      </w:r>
    </w:p>
    <w:p>
      <w:pPr>
        <w:pStyle w:val="Heading3"/>
        <w:spacing w:after="120" w:before="240"/>
      </w:pPr>
      <w:r>
        <w:rPr>
          <w:rFonts w:ascii="Calibri" w:cs="Calibri" w:eastAsia="Calibri" w:hAnsi="Calibri"/>
          <w:b/>
          <w:bCs/>
          <w:color w:val="333333"/>
          <w:sz w:val="24"/>
          <w:szCs w:val="24"/>
        </w:rPr>
        <w:t xml:space="preserve">3.  Vesting Schedule</w:t>
      </w:r>
    </w:p>
    <w:p>
      <w:pPr>
        <w:spacing w:after="160" w:before="0" w:line="276"/>
        <w:jc w:val="both"/>
      </w:pPr>
      <w:r>
        <w:rPr>
          <w:rFonts w:ascii="Calibri" w:cs="Calibri" w:eastAsia="Calibri" w:hAnsi="Calibri"/>
          <w:color w:val="000000"/>
          <w:sz w:val="24"/>
          <w:szCs w:val="24"/>
        </w:rPr>
        <w:t xml:space="preserve">The Phantom Units shall vest in accordance with the following schedule, subject to the Participant's continued service as a Service Provider through each applicable Vesting Date:</w:t>
      </w:r>
    </w:p>
    <w:p>
      <w:pPr>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2B4C7E" w:val="clear"/>
            <w:vAlign w:val="center"/>
          </w:tcPr>
          <w:p>
            <w:pPr>
              <w:jc w:val="center"/>
            </w:pPr>
            <w:r>
              <w:rPr>
                <w:rFonts w:ascii="Calibri" w:cs="Calibri" w:eastAsia="Calibri" w:hAnsi="Calibri"/>
                <w:b/>
                <w:bCs/>
                <w:color w:val="FFFFFF"/>
                <w:sz w:val="20"/>
                <w:szCs w:val="20"/>
              </w:rPr>
              <w:t xml:space="preserve">Vesting Date</w:t>
            </w:r>
          </w:p>
        </w:tc>
        <w:tc>
          <w:tcPr>
            <w:tcW w:type="dxa" w:w="3120"/>
            <w:shd w:fill="2B4C7E" w:val="clear"/>
            <w:vAlign w:val="center"/>
          </w:tcPr>
          <w:p>
            <w:pPr>
              <w:jc w:val="center"/>
            </w:pPr>
            <w:r>
              <w:rPr>
                <w:rFonts w:ascii="Calibri" w:cs="Calibri" w:eastAsia="Calibri" w:hAnsi="Calibri"/>
                <w:b/>
                <w:bCs/>
                <w:color w:val="FFFFFF"/>
                <w:sz w:val="20"/>
                <w:szCs w:val="20"/>
              </w:rPr>
              <w:t xml:space="preserve">Number/Percentage Vesting</w:t>
            </w:r>
          </w:p>
        </w:tc>
        <w:tc>
          <w:tcPr>
            <w:tcW w:type="dxa" w:w="3120"/>
            <w:shd w:fill="2B4C7E" w:val="clear"/>
            <w:vAlign w:val="center"/>
          </w:tcPr>
          <w:p>
            <w:pPr>
              <w:jc w:val="center"/>
            </w:pPr>
            <w:r>
              <w:rPr>
                <w:rFonts w:ascii="Calibri" w:cs="Calibri" w:eastAsia="Calibri" w:hAnsi="Calibri"/>
                <w:b/>
                <w:bCs/>
                <w:color w:val="FFFFFF"/>
                <w:sz w:val="20"/>
                <w:szCs w:val="20"/>
              </w:rPr>
              <w:t xml:space="preserve">Cumulative Vested</w:t>
            </w:r>
          </w:p>
        </w:tc>
      </w:tr>
      <w:tr>
        <w:tc>
          <w:tcPr>
            <w:tcW w:type="dxa" w:w="3120"/>
            <w:vAlign w:val="center"/>
          </w:tcPr>
          <w:p>
            <w:pPr>
              <w:spacing w:after="40" w:before="40"/>
              <w:jc w:val="left"/>
            </w:pPr>
            <w:r>
              <w:rPr>
                <w:rFonts w:ascii="Calibri" w:cs="Calibri" w:eastAsia="Calibri" w:hAnsi="Calibri"/>
                <w:color w:val="000000"/>
                <w:sz w:val="20"/>
                <w:szCs w:val="20"/>
              </w:rPr>
              <w:t xml:space="preserve">[DATE / ANNIVERSARY]</w:t>
            </w:r>
          </w:p>
        </w:tc>
        <w:tc>
          <w:tcPr>
            <w:tcW w:type="dxa" w:w="3120"/>
            <w:vAlign w:val="center"/>
          </w:tcPr>
          <w:p>
            <w:pPr>
              <w:spacing w:after="40" w:before="40"/>
              <w:jc w:val="center"/>
            </w:pPr>
            <w:r>
              <w:rPr>
                <w:rFonts w:ascii="Calibri" w:cs="Calibri" w:eastAsia="Calibri" w:hAnsi="Calibri"/>
                <w:color w:val="000000"/>
                <w:sz w:val="20"/>
                <w:szCs w:val="20"/>
              </w:rPr>
              <w:t xml:space="preserve">[__]% or [__] Units</w:t>
            </w:r>
          </w:p>
        </w:tc>
        <w:tc>
          <w:tcPr>
            <w:tcW w:type="dxa" w:w="3120"/>
            <w:vAlign w:val="center"/>
          </w:tcPr>
          <w:p>
            <w:pPr>
              <w:spacing w:after="40" w:before="40"/>
              <w:jc w:val="center"/>
            </w:pPr>
            <w:r>
              <w:rPr>
                <w:rFonts w:ascii="Calibri" w:cs="Calibri" w:eastAsia="Calibri" w:hAnsi="Calibri"/>
                <w:color w:val="000000"/>
                <w:sz w:val="20"/>
                <w:szCs w:val="20"/>
              </w:rPr>
              <w:t xml:space="preserve">[__]%</w:t>
            </w:r>
          </w:p>
        </w:tc>
      </w:tr>
      <w:tr>
        <w:tc>
          <w:tcPr>
            <w:tcW w:type="dxa" w:w="3120"/>
            <w:shd w:fill="F2F2F2" w:val="clear"/>
            <w:vAlign w:val="center"/>
          </w:tcPr>
          <w:p>
            <w:pPr>
              <w:spacing w:after="40" w:before="40"/>
              <w:jc w:val="left"/>
            </w:pPr>
            <w:r>
              <w:rPr>
                <w:rFonts w:ascii="Calibri" w:cs="Calibri" w:eastAsia="Calibri" w:hAnsi="Calibri"/>
                <w:color w:val="000000"/>
                <w:sz w:val="20"/>
                <w:szCs w:val="20"/>
              </w:rPr>
              <w:t xml:space="preserve">[DATE / ANNIVERSARY]</w:t>
            </w:r>
          </w:p>
        </w:tc>
        <w:tc>
          <w:tcPr>
            <w:tcW w:type="dxa" w:w="3120"/>
            <w:shd w:fill="F2F2F2" w:val="clear"/>
            <w:vAlign w:val="center"/>
          </w:tcPr>
          <w:p>
            <w:pPr>
              <w:spacing w:after="40" w:before="40"/>
              <w:jc w:val="center"/>
            </w:pPr>
            <w:r>
              <w:rPr>
                <w:rFonts w:ascii="Calibri" w:cs="Calibri" w:eastAsia="Calibri" w:hAnsi="Calibri"/>
                <w:color w:val="000000"/>
                <w:sz w:val="20"/>
                <w:szCs w:val="20"/>
              </w:rPr>
              <w:t xml:space="preserve">[__]% or [__] Units</w:t>
            </w:r>
          </w:p>
        </w:tc>
        <w:tc>
          <w:tcPr>
            <w:tcW w:type="dxa" w:w="3120"/>
            <w:shd w:fill="F2F2F2" w:val="clear"/>
            <w:vAlign w:val="center"/>
          </w:tcPr>
          <w:p>
            <w:pPr>
              <w:spacing w:after="40" w:before="40"/>
              <w:jc w:val="center"/>
            </w:pPr>
            <w:r>
              <w:rPr>
                <w:rFonts w:ascii="Calibri" w:cs="Calibri" w:eastAsia="Calibri" w:hAnsi="Calibri"/>
                <w:color w:val="000000"/>
                <w:sz w:val="20"/>
                <w:szCs w:val="20"/>
              </w:rPr>
              <w:t xml:space="preserve">[__]%</w:t>
            </w:r>
          </w:p>
        </w:tc>
      </w:tr>
      <w:tr>
        <w:tc>
          <w:tcPr>
            <w:tcW w:type="dxa" w:w="3120"/>
            <w:vAlign w:val="center"/>
          </w:tcPr>
          <w:p>
            <w:pPr>
              <w:spacing w:after="40" w:before="40"/>
              <w:jc w:val="left"/>
            </w:pPr>
            <w:r>
              <w:rPr>
                <w:rFonts w:ascii="Calibri" w:cs="Calibri" w:eastAsia="Calibri" w:hAnsi="Calibri"/>
                <w:color w:val="000000"/>
                <w:sz w:val="20"/>
                <w:szCs w:val="20"/>
              </w:rPr>
              <w:t xml:space="preserve">[DATE / ANNIVERSARY]</w:t>
            </w:r>
          </w:p>
        </w:tc>
        <w:tc>
          <w:tcPr>
            <w:tcW w:type="dxa" w:w="3120"/>
            <w:vAlign w:val="center"/>
          </w:tcPr>
          <w:p>
            <w:pPr>
              <w:spacing w:after="40" w:before="40"/>
              <w:jc w:val="center"/>
            </w:pPr>
            <w:r>
              <w:rPr>
                <w:rFonts w:ascii="Calibri" w:cs="Calibri" w:eastAsia="Calibri" w:hAnsi="Calibri"/>
                <w:color w:val="000000"/>
                <w:sz w:val="20"/>
                <w:szCs w:val="20"/>
              </w:rPr>
              <w:t xml:space="preserve">[__]% or [__] Units</w:t>
            </w:r>
          </w:p>
        </w:tc>
        <w:tc>
          <w:tcPr>
            <w:tcW w:type="dxa" w:w="3120"/>
            <w:vAlign w:val="center"/>
          </w:tcPr>
          <w:p>
            <w:pPr>
              <w:spacing w:after="40" w:before="40"/>
              <w:jc w:val="center"/>
            </w:pPr>
            <w:r>
              <w:rPr>
                <w:rFonts w:ascii="Calibri" w:cs="Calibri" w:eastAsia="Calibri" w:hAnsi="Calibri"/>
                <w:color w:val="000000"/>
                <w:sz w:val="20"/>
                <w:szCs w:val="20"/>
              </w:rPr>
              <w:t xml:space="preserve">[__]%</w:t>
            </w:r>
          </w:p>
        </w:tc>
      </w:tr>
      <w:tr>
        <w:tc>
          <w:tcPr>
            <w:tcW w:type="dxa" w:w="3120"/>
            <w:shd w:fill="F2F2F2" w:val="clear"/>
            <w:vAlign w:val="center"/>
          </w:tcPr>
          <w:p>
            <w:pPr>
              <w:spacing w:after="40" w:before="40"/>
              <w:jc w:val="left"/>
            </w:pPr>
            <w:r>
              <w:rPr>
                <w:rFonts w:ascii="Calibri" w:cs="Calibri" w:eastAsia="Calibri" w:hAnsi="Calibri"/>
                <w:color w:val="000000"/>
                <w:sz w:val="20"/>
                <w:szCs w:val="20"/>
              </w:rPr>
              <w:t xml:space="preserve">[DATE / ANNIVERSARY]</w:t>
            </w:r>
          </w:p>
        </w:tc>
        <w:tc>
          <w:tcPr>
            <w:tcW w:type="dxa" w:w="3120"/>
            <w:shd w:fill="F2F2F2" w:val="clear"/>
            <w:vAlign w:val="center"/>
          </w:tcPr>
          <w:p>
            <w:pPr>
              <w:spacing w:after="40" w:before="40"/>
              <w:jc w:val="center"/>
            </w:pPr>
            <w:r>
              <w:rPr>
                <w:rFonts w:ascii="Calibri" w:cs="Calibri" w:eastAsia="Calibri" w:hAnsi="Calibri"/>
                <w:color w:val="000000"/>
                <w:sz w:val="20"/>
                <w:szCs w:val="20"/>
              </w:rPr>
              <w:t xml:space="preserve">[__]% or [__] Units</w:t>
            </w:r>
          </w:p>
        </w:tc>
        <w:tc>
          <w:tcPr>
            <w:tcW w:type="dxa" w:w="3120"/>
            <w:shd w:fill="F2F2F2" w:val="clear"/>
            <w:vAlign w:val="center"/>
          </w:tcPr>
          <w:p>
            <w:pPr>
              <w:spacing w:after="40" w:before="40"/>
              <w:jc w:val="center"/>
            </w:pPr>
            <w:r>
              <w:rPr>
                <w:rFonts w:ascii="Calibri" w:cs="Calibri" w:eastAsia="Calibri" w:hAnsi="Calibri"/>
                <w:color w:val="000000"/>
                <w:sz w:val="20"/>
                <w:szCs w:val="20"/>
              </w:rPr>
              <w:t xml:space="preserve">[__]%</w:t>
            </w:r>
          </w:p>
        </w:tc>
      </w:tr>
    </w:tbl>
    <w:p>
      <w:pPr>
        <w:spacing w:after="0"/>
      </w:pPr>
    </w:p>
    <w:p>
      <w:pPr>
        <w:pStyle w:val="Heading3"/>
        <w:spacing w:after="120" w:before="240"/>
      </w:pPr>
      <w:r>
        <w:rPr>
          <w:rFonts w:ascii="Calibri" w:cs="Calibri" w:eastAsia="Calibri" w:hAnsi="Calibri"/>
          <w:b/>
          <w:bCs/>
          <w:color w:val="333333"/>
          <w:sz w:val="24"/>
          <w:szCs w:val="24"/>
        </w:rPr>
        <w:t xml:space="preserve">4.  Settlement Terms</w:t>
      </w:r>
    </w:p>
    <w:p>
      <w:pPr>
        <w:spacing w:after="160" w:before="0" w:line="276"/>
        <w:jc w:val="both"/>
      </w:pPr>
      <w:r>
        <w:rPr>
          <w:rFonts w:ascii="Calibri" w:cs="Calibri" w:eastAsia="Calibri" w:hAnsi="Calibri"/>
          <w:color w:val="000000"/>
          <w:sz w:val="24"/>
          <w:szCs w:val="24"/>
        </w:rPr>
        <w:t xml:space="preserve">Settlement Event(s): </w:t>
      </w:r>
      <w:r>
        <w:rPr>
          <w:rFonts w:ascii="Calibri" w:cs="Calibri" w:eastAsia="Calibri" w:hAnsi="Calibri"/>
          <w:b/>
          <w:bCs/>
          <w:color w:val="2B4C7E"/>
          <w:sz w:val="24"/>
          <w:szCs w:val="24"/>
          <w:highlight w:val="yellow"/>
          <w:highlightCs w:val="yellow"/>
        </w:rPr>
        <w:t xml:space="preserve">[SEPARATION FROM SERVICE / CHANGE OF CONTROL / SCHEDULED DATE / OTHER]</w:t>
      </w:r>
    </w:p>
    <w:p>
      <w:pPr>
        <w:spacing w:after="160" w:before="0" w:line="276"/>
        <w:jc w:val="both"/>
      </w:pPr>
      <w:r>
        <w:rPr>
          <w:rFonts w:ascii="Calibri" w:cs="Calibri" w:eastAsia="Calibri" w:hAnsi="Calibri"/>
          <w:color w:val="000000"/>
          <w:sz w:val="24"/>
          <w:szCs w:val="24"/>
        </w:rPr>
        <w:t xml:space="preserve">Settlement Timing: Within </w:t>
      </w:r>
      <w:r>
        <w:rPr>
          <w:rFonts w:ascii="Calibri" w:cs="Calibri" w:eastAsia="Calibri" w:hAnsi="Calibri"/>
          <w:b/>
          <w:bCs/>
          <w:color w:val="2B4C7E"/>
          <w:sz w:val="24"/>
          <w:szCs w:val="24"/>
          <w:highlight w:val="yellow"/>
          <w:highlightCs w:val="yellow"/>
        </w:rPr>
        <w:t xml:space="preserve">[NUMBER]</w:t>
      </w:r>
      <w:r>
        <w:rPr>
          <w:rFonts w:ascii="Calibri" w:cs="Calibri" w:eastAsia="Calibri" w:hAnsi="Calibri"/>
          <w:color w:val="000000"/>
          <w:sz w:val="24"/>
          <w:szCs w:val="24"/>
        </w:rPr>
        <w:t xml:space="preserve"> days following the Settlement Event</w:t>
      </w:r>
    </w:p>
    <w:p>
      <w:pPr>
        <w:spacing w:after="160" w:before="0" w:line="276"/>
        <w:jc w:val="both"/>
      </w:pPr>
      <w:r>
        <w:rPr>
          <w:rFonts w:ascii="Calibri" w:cs="Calibri" w:eastAsia="Calibri" w:hAnsi="Calibri"/>
          <w:color w:val="000000"/>
          <w:sz w:val="24"/>
          <w:szCs w:val="24"/>
        </w:rPr>
        <w:t xml:space="preserve">Form of Settlement: </w:t>
      </w:r>
      <w:r>
        <w:rPr>
          <w:rFonts w:ascii="Calibri" w:cs="Calibri" w:eastAsia="Calibri" w:hAnsi="Calibri"/>
          <w:b/>
          <w:bCs/>
          <w:color w:val="2B4C7E"/>
          <w:sz w:val="24"/>
          <w:szCs w:val="24"/>
          <w:highlight w:val="yellow"/>
          <w:highlightCs w:val="yellow"/>
        </w:rPr>
        <w:t xml:space="preserve">[LUMP SUM / INSTALLMENTS OVER [PERIOD]]</w:t>
      </w:r>
    </w:p>
    <w:p>
      <w:pPr>
        <w:pStyle w:val="Heading3"/>
        <w:spacing w:after="120" w:before="240"/>
      </w:pPr>
      <w:r>
        <w:rPr>
          <w:rFonts w:ascii="Calibri" w:cs="Calibri" w:eastAsia="Calibri" w:hAnsi="Calibri"/>
          <w:b/>
          <w:bCs/>
          <w:color w:val="333333"/>
          <w:sz w:val="24"/>
          <w:szCs w:val="24"/>
        </w:rPr>
        <w:t xml:space="preserve">5.  Change of Control Treatment</w:t>
      </w:r>
    </w:p>
    <w:p>
      <w:pPr>
        <w:spacing w:after="160" w:before="0" w:line="276"/>
        <w:jc w:val="both"/>
      </w:pPr>
      <w:r>
        <w:rPr>
          <w:rFonts w:ascii="Calibri" w:cs="Calibri" w:eastAsia="Calibri" w:hAnsi="Calibri"/>
          <w:color w:val="000000"/>
          <w:sz w:val="24"/>
          <w:szCs w:val="24"/>
        </w:rPr>
        <w:t xml:space="preserve">Acceleration Type: </w:t>
      </w:r>
      <w:r>
        <w:rPr>
          <w:rFonts w:ascii="Calibri" w:cs="Calibri" w:eastAsia="Calibri" w:hAnsi="Calibri"/>
          <w:b/>
          <w:bCs/>
          <w:color w:val="2B4C7E"/>
          <w:sz w:val="24"/>
          <w:szCs w:val="24"/>
          <w:highlight w:val="yellow"/>
          <w:highlightCs w:val="yellow"/>
        </w:rPr>
        <w:t xml:space="preserve">[SINGLE-TRIGGER / DOUBLE-TRIGGER]</w:t>
      </w:r>
    </w:p>
    <w:p>
      <w:pPr>
        <w:pStyle w:val="Heading3"/>
        <w:spacing w:after="120" w:before="240"/>
      </w:pPr>
      <w:r>
        <w:rPr>
          <w:rFonts w:ascii="Calibri" w:cs="Calibri" w:eastAsia="Calibri" w:hAnsi="Calibri"/>
          <w:b/>
          <w:bCs/>
          <w:color w:val="333333"/>
          <w:sz w:val="24"/>
          <w:szCs w:val="24"/>
        </w:rPr>
        <w:t xml:space="preserve">6.  Restrictive Covenants</w:t>
      </w:r>
    </w:p>
    <w:p>
      <w:pPr>
        <w:spacing w:after="160" w:before="0" w:line="276"/>
        <w:jc w:val="both"/>
      </w:pPr>
      <w:r>
        <w:rPr>
          <w:rFonts w:ascii="Calibri" w:cs="Calibri" w:eastAsia="Calibri" w:hAnsi="Calibri"/>
          <w:color w:val="000000"/>
          <w:sz w:val="24"/>
          <w:szCs w:val="24"/>
        </w:rPr>
        <w:t xml:space="preserve">Non-Competition Period: </w:t>
      </w:r>
      <w:r>
        <w:rPr>
          <w:rFonts w:ascii="Calibri" w:cs="Calibri" w:eastAsia="Calibri" w:hAnsi="Calibri"/>
          <w:b/>
          <w:bCs/>
          <w:color w:val="2B4C7E"/>
          <w:sz w:val="24"/>
          <w:szCs w:val="24"/>
          <w:highlight w:val="yellow"/>
          <w:highlightCs w:val="yellow"/>
        </w:rPr>
        <w:t xml:space="preserve">[MONTHS, E.G., TWELVE (12) MONTHS]</w:t>
      </w:r>
      <w:r>
        <w:rPr>
          <w:rFonts w:ascii="Calibri" w:cs="Calibri" w:eastAsia="Calibri" w:hAnsi="Calibri"/>
          <w:color w:val="000000"/>
          <w:sz w:val="24"/>
          <w:szCs w:val="24"/>
        </w:rPr>
        <w:t xml:space="preserve"> following Termination of Service</w:t>
      </w:r>
    </w:p>
    <w:p>
      <w:pPr>
        <w:spacing w:after="160" w:before="0" w:line="276"/>
        <w:jc w:val="both"/>
      </w:pPr>
      <w:r>
        <w:rPr>
          <w:rFonts w:ascii="Calibri" w:cs="Calibri" w:eastAsia="Calibri" w:hAnsi="Calibri"/>
          <w:color w:val="000000"/>
          <w:sz w:val="24"/>
          <w:szCs w:val="24"/>
        </w:rPr>
        <w:t xml:space="preserve">Non-Solicitation Period: </w:t>
      </w:r>
      <w:r>
        <w:rPr>
          <w:rFonts w:ascii="Calibri" w:cs="Calibri" w:eastAsia="Calibri" w:hAnsi="Calibri"/>
          <w:b/>
          <w:bCs/>
          <w:color w:val="2B4C7E"/>
          <w:sz w:val="24"/>
          <w:szCs w:val="24"/>
          <w:highlight w:val="yellow"/>
          <w:highlightCs w:val="yellow"/>
        </w:rPr>
        <w:t xml:space="preserve">[MONTHS, E.G., TWELVE (12) MONTHS]</w:t>
      </w:r>
      <w:r>
        <w:rPr>
          <w:rFonts w:ascii="Calibri" w:cs="Calibri" w:eastAsia="Calibri" w:hAnsi="Calibri"/>
          <w:color w:val="000000"/>
          <w:sz w:val="24"/>
          <w:szCs w:val="24"/>
        </w:rPr>
        <w:t xml:space="preserve"> following Termination of Service</w:t>
      </w:r>
    </w:p>
    <w:p>
      <w:pPr>
        <w:spacing w:after="160" w:before="0" w:line="276"/>
        <w:jc w:val="both"/>
      </w:pPr>
      <w:r>
        <w:rPr>
          <w:rFonts w:ascii="Calibri" w:cs="Calibri" w:eastAsia="Calibri" w:hAnsi="Calibri"/>
          <w:color w:val="000000"/>
          <w:sz w:val="24"/>
          <w:szCs w:val="24"/>
        </w:rPr>
        <w:t xml:space="preserve">Geographic Scope: </w:t>
      </w:r>
      <w:r>
        <w:rPr>
          <w:rFonts w:ascii="Calibri" w:cs="Calibri" w:eastAsia="Calibri" w:hAnsi="Calibri"/>
          <w:b/>
          <w:bCs/>
          <w:color w:val="2B4C7E"/>
          <w:sz w:val="24"/>
          <w:szCs w:val="24"/>
          <w:highlight w:val="yellow"/>
          <w:highlightCs w:val="yellow"/>
        </w:rPr>
        <w:t xml:space="preserve">[GEOGRAPHIC SCOPE]</w:t>
      </w:r>
    </w:p>
    <w:p>
      <w:pPr>
        <w:pStyle w:val="Heading3"/>
        <w:spacing w:after="120" w:before="240"/>
      </w:pPr>
      <w:r>
        <w:rPr>
          <w:rFonts w:ascii="Calibri" w:cs="Calibri" w:eastAsia="Calibri" w:hAnsi="Calibri"/>
          <w:b/>
          <w:bCs/>
          <w:color w:val="333333"/>
          <w:sz w:val="24"/>
          <w:szCs w:val="24"/>
        </w:rPr>
        <w:t xml:space="preserve">7.  Governing Law</w:t>
      </w:r>
    </w:p>
    <w:p>
      <w:pPr>
        <w:spacing w:after="160" w:before="0" w:line="276"/>
        <w:jc w:val="both"/>
      </w:pPr>
      <w:r>
        <w:rPr>
          <w:rFonts w:ascii="Calibri" w:cs="Calibri" w:eastAsia="Calibri" w:hAnsi="Calibri"/>
          <w:color w:val="000000"/>
          <w:sz w:val="24"/>
          <w:szCs w:val="24"/>
        </w:rPr>
        <w:t xml:space="preserve">This Agreement shall be governed by the laws of the State of </w:t>
      </w:r>
      <w:r>
        <w:rPr>
          <w:rFonts w:ascii="Calibri" w:cs="Calibri" w:eastAsia="Calibri" w:hAnsi="Calibri"/>
          <w:b/>
          <w:bCs/>
          <w:color w:val="2B4C7E"/>
          <w:sz w:val="24"/>
          <w:szCs w:val="24"/>
          <w:highlight w:val="yellow"/>
          <w:highlightCs w:val="yellow"/>
        </w:rPr>
        <w:t xml:space="preserve">[STATE]</w:t>
      </w:r>
      <w:r>
        <w:rPr>
          <w:rFonts w:ascii="Calibri" w:cs="Calibri" w:eastAsia="Calibri" w:hAnsi="Calibri"/>
          <w:color w:val="000000"/>
          <w:sz w:val="24"/>
          <w:szCs w:val="24"/>
        </w:rPr>
        <w:t xml:space="preserve">.</w:t>
      </w:r>
    </w:p>
    <w:p>
      <w:pPr>
        <w:pStyle w:val="Heading3"/>
        <w:spacing w:after="120" w:before="240"/>
      </w:pPr>
      <w:r>
        <w:rPr>
          <w:rFonts w:ascii="Calibri" w:cs="Calibri" w:eastAsia="Calibri" w:hAnsi="Calibri"/>
          <w:b/>
          <w:bCs/>
          <w:color w:val="333333"/>
          <w:sz w:val="24"/>
          <w:szCs w:val="24"/>
        </w:rPr>
        <w:t xml:space="preserve">8.  Acknowledgments</w:t>
      </w:r>
    </w:p>
    <w:p>
      <w:pPr>
        <w:spacing w:after="160" w:before="0" w:line="276"/>
        <w:jc w:val="both"/>
      </w:pPr>
      <w:r>
        <w:rPr>
          <w:rFonts w:ascii="Calibri" w:cs="Calibri" w:eastAsia="Calibri" w:hAnsi="Calibri"/>
          <w:color w:val="000000"/>
          <w:sz w:val="24"/>
          <w:szCs w:val="24"/>
        </w:rPr>
        <w:t xml:space="preserve">By executing this Agreement, the Participant acknowledges and agrees that:</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The Participant has received and reviewed a copy of the Plan;</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The Phantom Units do not represent actual equity interests in the Company;</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The Participant's rights are solely those of an unsecured general creditor;</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The Participant has been advised to consult with an independent tax advisor;</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color w:val="000000"/>
          <w:sz w:val="24"/>
          <w:szCs w:val="24"/>
        </w:rPr>
        <w:t xml:space="preserve">The Participant is bound by the forfeiture and clawback provisions of the Plan; and</w:t>
      </w:r>
    </w:p>
    <w:p>
      <w:pPr>
        <w:spacing w:after="160" w:before="0" w:line="276"/>
        <w:ind w:left="720"/>
        <w:jc w:val="both"/>
      </w:pPr>
      <w:r>
        <w:rPr>
          <w:rFonts w:ascii="Calibri" w:cs="Calibri" w:eastAsia="Calibri" w:hAnsi="Calibri"/>
          <w:color w:val="000000"/>
          <w:sz w:val="24"/>
          <w:szCs w:val="24"/>
        </w:rPr>
        <w:t xml:space="preserve">(f)  </w:t>
      </w:r>
      <w:r>
        <w:rPr>
          <w:rFonts w:ascii="Calibri" w:cs="Calibri" w:eastAsia="Calibri" w:hAnsi="Calibri"/>
          <w:color w:val="000000"/>
          <w:sz w:val="24"/>
          <w:szCs w:val="24"/>
        </w:rPr>
        <w:t xml:space="preserve">This Agreement, together with the Plan, constitutes the entire agreement between the parties regarding the Phantom Units.</w:t>
      </w:r>
    </w:p>
    <w:p>
      <w:pPr>
        <w:spacing w:after="0"/>
      </w:pPr>
    </w:p>
    <w:p>
      <w:pPr>
        <w:spacing w:after="160" w:before="0" w:line="276"/>
        <w:jc w:val="both"/>
      </w:pPr>
      <w:r>
        <w:rPr>
          <w:rFonts w:ascii="Calibri" w:cs="Calibri" w:eastAsia="Calibri" w:hAnsi="Calibri"/>
          <w:color w:val="000000"/>
          <w:sz w:val="24"/>
          <w:szCs w:val="24"/>
        </w:rPr>
        <w:t xml:space="preserve">IN WITNESS WHEREOF, the parties have executed this Agreement as of the Grant Date.</w:t>
      </w:r>
    </w:p>
    <w:p>
      <w:pPr>
        <w:spacing w:after="0"/>
      </w:pPr>
    </w:p>
    <w:p>
      <w:pPr>
        <w:spacing w:after="160" w:before="0" w:line="276"/>
        <w:jc w:val="both"/>
      </w:pPr>
      <w:r>
        <w:rPr>
          <w:rFonts w:ascii="Calibri" w:cs="Calibri" w:eastAsia="Calibri" w:hAnsi="Calibri"/>
          <w:b/>
          <w:bCs/>
          <w:sz w:val="24"/>
          <w:szCs w:val="24"/>
        </w:rPr>
        <w:t xml:space="preserve">COMPANY:</w:t>
      </w:r>
    </w:p>
    <w:p>
      <w:pPr>
        <w:spacing w:after="0"/>
      </w:pPr>
    </w:p>
    <w:p>
      <w:pPr>
        <w:spacing w:after="160" w:before="0" w:line="276"/>
        <w:jc w:val="both"/>
      </w:pPr>
      <w:r>
        <w:rPr>
          <w:rFonts w:ascii="Calibri" w:cs="Calibri" w:eastAsia="Calibri" w:hAnsi="Calibri"/>
          <w:b/>
          <w:bCs/>
          <w:color w:val="2B4C7E"/>
          <w:sz w:val="24"/>
          <w:szCs w:val="24"/>
          <w:highlight w:val="yellow"/>
          <w:highlightCs w:val="yellow"/>
        </w:rPr>
        <w:t xml:space="preserve">[COMPANY NAME]</w:t>
      </w:r>
    </w:p>
    <w:p>
      <w:pPr>
        <w:spacing w:after="0"/>
      </w:pPr>
    </w:p>
    <w:p>
      <w:pPr>
        <w:spacing w:after="160" w:before="0" w:line="276"/>
        <w:jc w:val="both"/>
      </w:pPr>
      <w:r>
        <w:rPr>
          <w:rFonts w:ascii="Calibri" w:cs="Calibri" w:eastAsia="Calibri" w:hAnsi="Calibri"/>
          <w:color w:val="000000"/>
          <w:sz w:val="24"/>
          <w:szCs w:val="24"/>
        </w:rPr>
        <w:t xml:space="preserve">By: _____________________________________________</w:t>
      </w:r>
    </w:p>
    <w:p>
      <w:pPr>
        <w:spacing w:after="160" w:before="0" w:line="276"/>
        <w:jc w:val="both"/>
      </w:pPr>
      <w:r>
        <w:rPr>
          <w:rFonts w:ascii="Calibri" w:cs="Calibri" w:eastAsia="Calibri" w:hAnsi="Calibri"/>
          <w:color w:val="000000"/>
          <w:sz w:val="24"/>
          <w:szCs w:val="24"/>
        </w:rPr>
        <w:t xml:space="preserve">Name: </w:t>
      </w:r>
      <w:r>
        <w:rPr>
          <w:rFonts w:ascii="Calibri" w:cs="Calibri" w:eastAsia="Calibri" w:hAnsi="Calibri"/>
          <w:b/>
          <w:bCs/>
          <w:color w:val="2B4C7E"/>
          <w:sz w:val="24"/>
          <w:szCs w:val="24"/>
          <w:highlight w:val="yellow"/>
          <w:highlightCs w:val="yellow"/>
        </w:rPr>
        <w:t xml:space="preserve">[NAME]</w:t>
      </w:r>
    </w:p>
    <w:p>
      <w:pPr>
        <w:spacing w:after="160" w:before="0" w:line="276"/>
        <w:jc w:val="both"/>
      </w:pPr>
      <w:r>
        <w:rPr>
          <w:rFonts w:ascii="Calibri" w:cs="Calibri" w:eastAsia="Calibri" w:hAnsi="Calibri"/>
          <w:color w:val="000000"/>
          <w:sz w:val="24"/>
          <w:szCs w:val="24"/>
        </w:rPr>
        <w:t xml:space="preserve">Title: </w:t>
      </w:r>
      <w:r>
        <w:rPr>
          <w:rFonts w:ascii="Calibri" w:cs="Calibri" w:eastAsia="Calibri" w:hAnsi="Calibri"/>
          <w:b/>
          <w:bCs/>
          <w:color w:val="2B4C7E"/>
          <w:sz w:val="24"/>
          <w:szCs w:val="24"/>
          <w:highlight w:val="yellow"/>
          <w:highlightCs w:val="yellow"/>
        </w:rPr>
        <w:t xml:space="preserve">[TITLE]</w:t>
      </w:r>
    </w:p>
    <w:p>
      <w:pPr>
        <w:spacing w:after="0"/>
      </w:pPr>
    </w:p>
    <w:p>
      <w:pPr>
        <w:spacing w:after="0"/>
      </w:pPr>
    </w:p>
    <w:p>
      <w:pPr>
        <w:spacing w:after="160" w:before="0" w:line="276"/>
        <w:jc w:val="both"/>
      </w:pPr>
      <w:r>
        <w:rPr>
          <w:rFonts w:ascii="Calibri" w:cs="Calibri" w:eastAsia="Calibri" w:hAnsi="Calibri"/>
          <w:b/>
          <w:bCs/>
          <w:sz w:val="24"/>
          <w:szCs w:val="24"/>
        </w:rPr>
        <w:t xml:space="preserve">PARTICIPANT:</w:t>
      </w:r>
    </w:p>
    <w:p>
      <w:pPr>
        <w:spacing w:after="0"/>
      </w:pPr>
    </w:p>
    <w:p>
      <w:pPr>
        <w:spacing w:after="160" w:before="0" w:line="276"/>
        <w:jc w:val="both"/>
      </w:pPr>
      <w:r>
        <w:rPr>
          <w:rFonts w:ascii="Calibri" w:cs="Calibri" w:eastAsia="Calibri" w:hAnsi="Calibri"/>
          <w:color w:val="000000"/>
          <w:sz w:val="24"/>
          <w:szCs w:val="24"/>
        </w:rPr>
        <w:t xml:space="preserve">Signature: _____________________________________________</w:t>
      </w:r>
    </w:p>
    <w:p>
      <w:pPr>
        <w:spacing w:after="160" w:before="0" w:line="276"/>
        <w:jc w:val="both"/>
      </w:pPr>
      <w:r>
        <w:rPr>
          <w:rFonts w:ascii="Calibri" w:cs="Calibri" w:eastAsia="Calibri" w:hAnsi="Calibri"/>
          <w:color w:val="000000"/>
          <w:sz w:val="24"/>
          <w:szCs w:val="24"/>
        </w:rPr>
        <w:t xml:space="preserve">Name: </w:t>
      </w:r>
      <w:r>
        <w:rPr>
          <w:rFonts w:ascii="Calibri" w:cs="Calibri" w:eastAsia="Calibri" w:hAnsi="Calibri"/>
          <w:b/>
          <w:bCs/>
          <w:color w:val="2B4C7E"/>
          <w:sz w:val="24"/>
          <w:szCs w:val="24"/>
          <w:highlight w:val="yellow"/>
          <w:highlightCs w:val="yellow"/>
        </w:rPr>
        <w:t xml:space="preserve">[PARTICIPANT NAME]</w:t>
      </w:r>
    </w:p>
    <w:p>
      <w:pPr>
        <w:spacing w:after="160" w:before="0" w:line="276"/>
        <w:jc w:val="both"/>
      </w:pPr>
      <w:r>
        <w:rPr>
          <w:rFonts w:ascii="Calibri" w:cs="Calibri" w:eastAsia="Calibri" w:hAnsi="Calibri"/>
          <w:color w:val="000000"/>
          <w:sz w:val="24"/>
          <w:szCs w:val="24"/>
        </w:rPr>
        <w:t xml:space="preserve">Date: </w:t>
      </w:r>
      <w:r>
        <w:rPr>
          <w:rFonts w:ascii="Calibri" w:cs="Calibri" w:eastAsia="Calibri" w:hAnsi="Calibri"/>
          <w:b/>
          <w:bCs/>
          <w:color w:val="2B4C7E"/>
          <w:sz w:val="24"/>
          <w:szCs w:val="24"/>
          <w:highlight w:val="yellow"/>
          <w:highlightCs w:val="yellow"/>
        </w:rPr>
        <w:t xml:space="preserve">[DATE]</w:t>
      </w:r>
    </w:p>
    <w:p>
      <w:r>
        <w:br w:type="page"/>
      </w:r>
    </w:p>
    <w:p>
      <w:pPr>
        <w:pStyle w:val="Heading1"/>
        <w:spacing w:after="200" w:before="360"/>
      </w:pPr>
      <w:r>
        <w:rPr>
          <w:rFonts w:ascii="Calibri" w:cs="Calibri" w:eastAsia="Calibri" w:hAnsi="Calibri"/>
          <w:b/>
          <w:bCs/>
          <w:color w:val="333333"/>
          <w:sz w:val="28"/>
          <w:szCs w:val="28"/>
        </w:rPr>
        <w:t xml:space="preserve">EXHIBIT B: VESTING SCHEDULE OPTIONS</w:t>
      </w:r>
    </w:p>
    <w:p>
      <w:pPr>
        <w:spacing w:after="0"/>
      </w:pPr>
    </w:p>
    <w:p>
      <w:pPr>
        <w:pStyle w:val="Heading3"/>
        <w:spacing w:after="120" w:before="240"/>
      </w:pPr>
      <w:r>
        <w:rPr>
          <w:rFonts w:ascii="Calibri" w:cs="Calibri" w:eastAsia="Calibri" w:hAnsi="Calibri"/>
          <w:b/>
          <w:bCs/>
          <w:color w:val="333333"/>
          <w:sz w:val="24"/>
          <w:szCs w:val="24"/>
        </w:rPr>
        <w:t xml:space="preserve">Option 1: Standard Time-Based Vesting (Four-Year with One-Year Cliff)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2B4C7E" w:val="clear"/>
            <w:vAlign w:val="center"/>
          </w:tcPr>
          <w:p>
            <w:pPr>
              <w:jc w:val="center"/>
            </w:pPr>
            <w:r>
              <w:rPr>
                <w:rFonts w:ascii="Calibri" w:cs="Calibri" w:eastAsia="Calibri" w:hAnsi="Calibri"/>
                <w:b/>
                <w:bCs/>
                <w:color w:val="FFFFFF"/>
                <w:sz w:val="20"/>
                <w:szCs w:val="20"/>
              </w:rPr>
              <w:t xml:space="preserve">Period</w:t>
            </w:r>
          </w:p>
        </w:tc>
        <w:tc>
          <w:tcPr>
            <w:tcW w:type="dxa" w:w="2340"/>
            <w:shd w:fill="2B4C7E" w:val="clear"/>
            <w:vAlign w:val="center"/>
          </w:tcPr>
          <w:p>
            <w:pPr>
              <w:jc w:val="center"/>
            </w:pPr>
            <w:r>
              <w:rPr>
                <w:rFonts w:ascii="Calibri" w:cs="Calibri" w:eastAsia="Calibri" w:hAnsi="Calibri"/>
                <w:b/>
                <w:bCs/>
                <w:color w:val="FFFFFF"/>
                <w:sz w:val="20"/>
                <w:szCs w:val="20"/>
              </w:rPr>
              <w:t xml:space="preserve">Vesting Event</w:t>
            </w:r>
          </w:p>
        </w:tc>
        <w:tc>
          <w:tcPr>
            <w:tcW w:type="dxa" w:w="2340"/>
            <w:shd w:fill="2B4C7E" w:val="clear"/>
            <w:vAlign w:val="center"/>
          </w:tcPr>
          <w:p>
            <w:pPr>
              <w:jc w:val="center"/>
            </w:pPr>
            <w:r>
              <w:rPr>
                <w:rFonts w:ascii="Calibri" w:cs="Calibri" w:eastAsia="Calibri" w:hAnsi="Calibri"/>
                <w:b/>
                <w:bCs/>
                <w:color w:val="FFFFFF"/>
                <w:sz w:val="20"/>
                <w:szCs w:val="20"/>
              </w:rPr>
              <w:t xml:space="preserve">Incremental</w:t>
            </w:r>
          </w:p>
        </w:tc>
        <w:tc>
          <w:tcPr>
            <w:tcW w:type="dxa" w:w="2340"/>
            <w:shd w:fill="2B4C7E" w:val="clear"/>
            <w:vAlign w:val="center"/>
          </w:tcPr>
          <w:p>
            <w:pPr>
              <w:jc w:val="center"/>
            </w:pPr>
            <w:r>
              <w:rPr>
                <w:rFonts w:ascii="Calibri" w:cs="Calibri" w:eastAsia="Calibri" w:hAnsi="Calibri"/>
                <w:b/>
                <w:bCs/>
                <w:color w:val="FFFFFF"/>
                <w:sz w:val="20"/>
                <w:szCs w:val="20"/>
              </w:rPr>
              <w:t xml:space="preserve">Cumulative</w:t>
            </w:r>
          </w:p>
        </w:tc>
      </w:tr>
      <w:tr>
        <w:tc>
          <w:tcPr>
            <w:tcW w:type="dxa" w:w="2340"/>
            <w:vAlign w:val="center"/>
          </w:tcPr>
          <w:p>
            <w:pPr>
              <w:spacing w:after="40" w:before="40"/>
              <w:jc w:val="left"/>
            </w:pPr>
            <w:r>
              <w:rPr>
                <w:rFonts w:ascii="Calibri" w:cs="Calibri" w:eastAsia="Calibri" w:hAnsi="Calibri"/>
                <w:color w:val="000000"/>
                <w:sz w:val="20"/>
                <w:szCs w:val="20"/>
              </w:rPr>
              <w:t xml:space="preserve">Year 1</w:t>
            </w:r>
          </w:p>
        </w:tc>
        <w:tc>
          <w:tcPr>
            <w:tcW w:type="dxa" w:w="2340"/>
            <w:vAlign w:val="center"/>
          </w:tcPr>
          <w:p>
            <w:pPr>
              <w:spacing w:after="40" w:before="40"/>
              <w:jc w:val="left"/>
            </w:pPr>
            <w:r>
              <w:rPr>
                <w:rFonts w:ascii="Calibri" w:cs="Calibri" w:eastAsia="Calibri" w:hAnsi="Calibri"/>
                <w:color w:val="000000"/>
                <w:sz w:val="20"/>
                <w:szCs w:val="20"/>
              </w:rPr>
              <w:t xml:space="preserve">Cliff Vest</w:t>
            </w:r>
          </w:p>
        </w:tc>
        <w:tc>
          <w:tcPr>
            <w:tcW w:type="dxa" w:w="2340"/>
            <w:vAlign w:val="center"/>
          </w:tcPr>
          <w:p>
            <w:pPr>
              <w:spacing w:after="40" w:before="40"/>
              <w:jc w:val="center"/>
            </w:pPr>
            <w:r>
              <w:rPr>
                <w:rFonts w:ascii="Calibri" w:cs="Calibri" w:eastAsia="Calibri" w:hAnsi="Calibri"/>
                <w:color w:val="000000"/>
                <w:sz w:val="20"/>
                <w:szCs w:val="20"/>
              </w:rPr>
              <w:t xml:space="preserve">25%</w:t>
            </w:r>
          </w:p>
        </w:tc>
        <w:tc>
          <w:tcPr>
            <w:tcW w:type="dxa" w:w="2340"/>
            <w:vAlign w:val="center"/>
          </w:tcPr>
          <w:p>
            <w:pPr>
              <w:spacing w:after="40" w:before="40"/>
              <w:jc w:val="center"/>
            </w:pPr>
            <w:r>
              <w:rPr>
                <w:rFonts w:ascii="Calibri" w:cs="Calibri" w:eastAsia="Calibri" w:hAnsi="Calibri"/>
                <w:color w:val="000000"/>
                <w:sz w:val="20"/>
                <w:szCs w:val="20"/>
              </w:rPr>
              <w:t xml:space="preserve">25%</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Year 2</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Graded Vest</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25%</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50%</w:t>
            </w:r>
          </w:p>
        </w:tc>
      </w:tr>
      <w:tr>
        <w:tc>
          <w:tcPr>
            <w:tcW w:type="dxa" w:w="2340"/>
            <w:vAlign w:val="center"/>
          </w:tcPr>
          <w:p>
            <w:pPr>
              <w:spacing w:after="40" w:before="40"/>
              <w:jc w:val="left"/>
            </w:pPr>
            <w:r>
              <w:rPr>
                <w:rFonts w:ascii="Calibri" w:cs="Calibri" w:eastAsia="Calibri" w:hAnsi="Calibri"/>
                <w:color w:val="000000"/>
                <w:sz w:val="20"/>
                <w:szCs w:val="20"/>
              </w:rPr>
              <w:t xml:space="preserve">Year 3</w:t>
            </w:r>
          </w:p>
        </w:tc>
        <w:tc>
          <w:tcPr>
            <w:tcW w:type="dxa" w:w="2340"/>
            <w:vAlign w:val="center"/>
          </w:tcPr>
          <w:p>
            <w:pPr>
              <w:spacing w:after="40" w:before="40"/>
              <w:jc w:val="left"/>
            </w:pPr>
            <w:r>
              <w:rPr>
                <w:rFonts w:ascii="Calibri" w:cs="Calibri" w:eastAsia="Calibri" w:hAnsi="Calibri"/>
                <w:color w:val="000000"/>
                <w:sz w:val="20"/>
                <w:szCs w:val="20"/>
              </w:rPr>
              <w:t xml:space="preserve">Graded Vest</w:t>
            </w:r>
          </w:p>
        </w:tc>
        <w:tc>
          <w:tcPr>
            <w:tcW w:type="dxa" w:w="2340"/>
            <w:vAlign w:val="center"/>
          </w:tcPr>
          <w:p>
            <w:pPr>
              <w:spacing w:after="40" w:before="40"/>
              <w:jc w:val="center"/>
            </w:pPr>
            <w:r>
              <w:rPr>
                <w:rFonts w:ascii="Calibri" w:cs="Calibri" w:eastAsia="Calibri" w:hAnsi="Calibri"/>
                <w:color w:val="000000"/>
                <w:sz w:val="20"/>
                <w:szCs w:val="20"/>
              </w:rPr>
              <w:t xml:space="preserve">25%</w:t>
            </w:r>
          </w:p>
        </w:tc>
        <w:tc>
          <w:tcPr>
            <w:tcW w:type="dxa" w:w="2340"/>
            <w:vAlign w:val="center"/>
          </w:tcPr>
          <w:p>
            <w:pPr>
              <w:spacing w:after="40" w:before="40"/>
              <w:jc w:val="center"/>
            </w:pPr>
            <w:r>
              <w:rPr>
                <w:rFonts w:ascii="Calibri" w:cs="Calibri" w:eastAsia="Calibri" w:hAnsi="Calibri"/>
                <w:color w:val="000000"/>
                <w:sz w:val="20"/>
                <w:szCs w:val="20"/>
              </w:rPr>
              <w:t xml:space="preserve">75%</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Year 4</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Graded Vest</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25%</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100%</w:t>
            </w:r>
          </w:p>
        </w:tc>
      </w:tr>
    </w:tbl>
    <w:p>
      <w:pPr>
        <w:spacing w:after="0"/>
      </w:pPr>
    </w:p>
    <w:p>
      <w:pPr>
        <w:pStyle w:val="Heading3"/>
        <w:spacing w:after="120" w:before="240"/>
      </w:pPr>
      <w:r>
        <w:rPr>
          <w:rFonts w:ascii="Calibri" w:cs="Calibri" w:eastAsia="Calibri" w:hAnsi="Calibri"/>
          <w:b/>
          <w:bCs/>
          <w:color w:val="333333"/>
          <w:sz w:val="24"/>
          <w:szCs w:val="24"/>
        </w:rPr>
        <w:t xml:space="preserve">Option 2: Three-Year Ratable Vesting (No Cliff)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2B4C7E" w:val="clear"/>
            <w:vAlign w:val="center"/>
          </w:tcPr>
          <w:p>
            <w:pPr>
              <w:jc w:val="center"/>
            </w:pPr>
            <w:r>
              <w:rPr>
                <w:rFonts w:ascii="Calibri" w:cs="Calibri" w:eastAsia="Calibri" w:hAnsi="Calibri"/>
                <w:b/>
                <w:bCs/>
                <w:color w:val="FFFFFF"/>
                <w:sz w:val="20"/>
                <w:szCs w:val="20"/>
              </w:rPr>
              <w:t xml:space="preserve">Period</w:t>
            </w:r>
          </w:p>
        </w:tc>
        <w:tc>
          <w:tcPr>
            <w:tcW w:type="dxa" w:w="2340"/>
            <w:shd w:fill="2B4C7E" w:val="clear"/>
            <w:vAlign w:val="center"/>
          </w:tcPr>
          <w:p>
            <w:pPr>
              <w:jc w:val="center"/>
            </w:pPr>
            <w:r>
              <w:rPr>
                <w:rFonts w:ascii="Calibri" w:cs="Calibri" w:eastAsia="Calibri" w:hAnsi="Calibri"/>
                <w:b/>
                <w:bCs/>
                <w:color w:val="FFFFFF"/>
                <w:sz w:val="20"/>
                <w:szCs w:val="20"/>
              </w:rPr>
              <w:t xml:space="preserve">Vesting Event</w:t>
            </w:r>
          </w:p>
        </w:tc>
        <w:tc>
          <w:tcPr>
            <w:tcW w:type="dxa" w:w="2340"/>
            <w:shd w:fill="2B4C7E" w:val="clear"/>
            <w:vAlign w:val="center"/>
          </w:tcPr>
          <w:p>
            <w:pPr>
              <w:jc w:val="center"/>
            </w:pPr>
            <w:r>
              <w:rPr>
                <w:rFonts w:ascii="Calibri" w:cs="Calibri" w:eastAsia="Calibri" w:hAnsi="Calibri"/>
                <w:b/>
                <w:bCs/>
                <w:color w:val="FFFFFF"/>
                <w:sz w:val="20"/>
                <w:szCs w:val="20"/>
              </w:rPr>
              <w:t xml:space="preserve">Incremental</w:t>
            </w:r>
          </w:p>
        </w:tc>
        <w:tc>
          <w:tcPr>
            <w:tcW w:type="dxa" w:w="2340"/>
            <w:shd w:fill="2B4C7E" w:val="clear"/>
            <w:vAlign w:val="center"/>
          </w:tcPr>
          <w:p>
            <w:pPr>
              <w:jc w:val="center"/>
            </w:pPr>
            <w:r>
              <w:rPr>
                <w:rFonts w:ascii="Calibri" w:cs="Calibri" w:eastAsia="Calibri" w:hAnsi="Calibri"/>
                <w:b/>
                <w:bCs/>
                <w:color w:val="FFFFFF"/>
                <w:sz w:val="20"/>
                <w:szCs w:val="20"/>
              </w:rPr>
              <w:t xml:space="preserve">Cumulative</w:t>
            </w:r>
          </w:p>
        </w:tc>
      </w:tr>
      <w:tr>
        <w:tc>
          <w:tcPr>
            <w:tcW w:type="dxa" w:w="2340"/>
            <w:vAlign w:val="center"/>
          </w:tcPr>
          <w:p>
            <w:pPr>
              <w:spacing w:after="40" w:before="40"/>
              <w:jc w:val="left"/>
            </w:pPr>
            <w:r>
              <w:rPr>
                <w:rFonts w:ascii="Calibri" w:cs="Calibri" w:eastAsia="Calibri" w:hAnsi="Calibri"/>
                <w:color w:val="000000"/>
                <w:sz w:val="20"/>
                <w:szCs w:val="20"/>
              </w:rPr>
              <w:t xml:space="preserve">Year 1</w:t>
            </w:r>
          </w:p>
        </w:tc>
        <w:tc>
          <w:tcPr>
            <w:tcW w:type="dxa" w:w="2340"/>
            <w:vAlign w:val="center"/>
          </w:tcPr>
          <w:p>
            <w:pPr>
              <w:spacing w:after="40" w:before="40"/>
              <w:jc w:val="left"/>
            </w:pPr>
            <w:r>
              <w:rPr>
                <w:rFonts w:ascii="Calibri" w:cs="Calibri" w:eastAsia="Calibri" w:hAnsi="Calibri"/>
                <w:color w:val="000000"/>
                <w:sz w:val="20"/>
                <w:szCs w:val="20"/>
              </w:rPr>
              <w:t xml:space="preserve">Annual Vest</w:t>
            </w:r>
          </w:p>
        </w:tc>
        <w:tc>
          <w:tcPr>
            <w:tcW w:type="dxa" w:w="2340"/>
            <w:vAlign w:val="center"/>
          </w:tcPr>
          <w:p>
            <w:pPr>
              <w:spacing w:after="40" w:before="40"/>
              <w:jc w:val="center"/>
            </w:pPr>
            <w:r>
              <w:rPr>
                <w:rFonts w:ascii="Calibri" w:cs="Calibri" w:eastAsia="Calibri" w:hAnsi="Calibri"/>
                <w:color w:val="000000"/>
                <w:sz w:val="20"/>
                <w:szCs w:val="20"/>
              </w:rPr>
              <w:t xml:space="preserve">33.33%</w:t>
            </w:r>
          </w:p>
        </w:tc>
        <w:tc>
          <w:tcPr>
            <w:tcW w:type="dxa" w:w="2340"/>
            <w:vAlign w:val="center"/>
          </w:tcPr>
          <w:p>
            <w:pPr>
              <w:spacing w:after="40" w:before="40"/>
              <w:jc w:val="center"/>
            </w:pPr>
            <w:r>
              <w:rPr>
                <w:rFonts w:ascii="Calibri" w:cs="Calibri" w:eastAsia="Calibri" w:hAnsi="Calibri"/>
                <w:color w:val="000000"/>
                <w:sz w:val="20"/>
                <w:szCs w:val="20"/>
              </w:rPr>
              <w:t xml:space="preserve">33.33%</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Year 2</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Annual Vest</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33.33%</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66.67%</w:t>
            </w:r>
          </w:p>
        </w:tc>
      </w:tr>
      <w:tr>
        <w:tc>
          <w:tcPr>
            <w:tcW w:type="dxa" w:w="2340"/>
            <w:vAlign w:val="center"/>
          </w:tcPr>
          <w:p>
            <w:pPr>
              <w:spacing w:after="40" w:before="40"/>
              <w:jc w:val="left"/>
            </w:pPr>
            <w:r>
              <w:rPr>
                <w:rFonts w:ascii="Calibri" w:cs="Calibri" w:eastAsia="Calibri" w:hAnsi="Calibri"/>
                <w:color w:val="000000"/>
                <w:sz w:val="20"/>
                <w:szCs w:val="20"/>
              </w:rPr>
              <w:t xml:space="preserve">Year 3</w:t>
            </w:r>
          </w:p>
        </w:tc>
        <w:tc>
          <w:tcPr>
            <w:tcW w:type="dxa" w:w="2340"/>
            <w:vAlign w:val="center"/>
          </w:tcPr>
          <w:p>
            <w:pPr>
              <w:spacing w:after="40" w:before="40"/>
              <w:jc w:val="left"/>
            </w:pPr>
            <w:r>
              <w:rPr>
                <w:rFonts w:ascii="Calibri" w:cs="Calibri" w:eastAsia="Calibri" w:hAnsi="Calibri"/>
                <w:color w:val="000000"/>
                <w:sz w:val="20"/>
                <w:szCs w:val="20"/>
              </w:rPr>
              <w:t xml:space="preserve">Annual Vest</w:t>
            </w:r>
          </w:p>
        </w:tc>
        <w:tc>
          <w:tcPr>
            <w:tcW w:type="dxa" w:w="2340"/>
            <w:vAlign w:val="center"/>
          </w:tcPr>
          <w:p>
            <w:pPr>
              <w:spacing w:after="40" w:before="40"/>
              <w:jc w:val="center"/>
            </w:pPr>
            <w:r>
              <w:rPr>
                <w:rFonts w:ascii="Calibri" w:cs="Calibri" w:eastAsia="Calibri" w:hAnsi="Calibri"/>
                <w:color w:val="000000"/>
                <w:sz w:val="20"/>
                <w:szCs w:val="20"/>
              </w:rPr>
              <w:t xml:space="preserve">33.34%</w:t>
            </w:r>
          </w:p>
        </w:tc>
        <w:tc>
          <w:tcPr>
            <w:tcW w:type="dxa" w:w="2340"/>
            <w:vAlign w:val="center"/>
          </w:tcPr>
          <w:p>
            <w:pPr>
              <w:spacing w:after="40" w:before="40"/>
              <w:jc w:val="center"/>
            </w:pPr>
            <w:r>
              <w:rPr>
                <w:rFonts w:ascii="Calibri" w:cs="Calibri" w:eastAsia="Calibri" w:hAnsi="Calibri"/>
                <w:color w:val="000000"/>
                <w:sz w:val="20"/>
                <w:szCs w:val="20"/>
              </w:rPr>
              <w:t xml:space="preserve">100%</w:t>
            </w:r>
          </w:p>
        </w:tc>
      </w:tr>
    </w:tbl>
    <w:p>
      <w:pPr>
        <w:spacing w:after="0"/>
      </w:pPr>
    </w:p>
    <w:p>
      <w:pPr>
        <w:pStyle w:val="Heading3"/>
        <w:spacing w:after="120" w:before="240"/>
      </w:pPr>
      <w:r>
        <w:rPr>
          <w:rFonts w:ascii="Calibri" w:cs="Calibri" w:eastAsia="Calibri" w:hAnsi="Calibri"/>
          <w:b/>
          <w:bCs/>
          <w:color w:val="333333"/>
          <w:sz w:val="24"/>
          <w:szCs w:val="24"/>
        </w:rPr>
        <w:t xml:space="preserve">Option 3: Five-Year Back-Weighted Vesting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2B4C7E" w:val="clear"/>
            <w:vAlign w:val="center"/>
          </w:tcPr>
          <w:p>
            <w:pPr>
              <w:jc w:val="center"/>
            </w:pPr>
            <w:r>
              <w:rPr>
                <w:rFonts w:ascii="Calibri" w:cs="Calibri" w:eastAsia="Calibri" w:hAnsi="Calibri"/>
                <w:b/>
                <w:bCs/>
                <w:color w:val="FFFFFF"/>
                <w:sz w:val="20"/>
                <w:szCs w:val="20"/>
              </w:rPr>
              <w:t xml:space="preserve">Period</w:t>
            </w:r>
          </w:p>
        </w:tc>
        <w:tc>
          <w:tcPr>
            <w:tcW w:type="dxa" w:w="2340"/>
            <w:shd w:fill="2B4C7E" w:val="clear"/>
            <w:vAlign w:val="center"/>
          </w:tcPr>
          <w:p>
            <w:pPr>
              <w:jc w:val="center"/>
            </w:pPr>
            <w:r>
              <w:rPr>
                <w:rFonts w:ascii="Calibri" w:cs="Calibri" w:eastAsia="Calibri" w:hAnsi="Calibri"/>
                <w:b/>
                <w:bCs/>
                <w:color w:val="FFFFFF"/>
                <w:sz w:val="20"/>
                <w:szCs w:val="20"/>
              </w:rPr>
              <w:t xml:space="preserve">Vesting Event</w:t>
            </w:r>
          </w:p>
        </w:tc>
        <w:tc>
          <w:tcPr>
            <w:tcW w:type="dxa" w:w="2340"/>
            <w:shd w:fill="2B4C7E" w:val="clear"/>
            <w:vAlign w:val="center"/>
          </w:tcPr>
          <w:p>
            <w:pPr>
              <w:jc w:val="center"/>
            </w:pPr>
            <w:r>
              <w:rPr>
                <w:rFonts w:ascii="Calibri" w:cs="Calibri" w:eastAsia="Calibri" w:hAnsi="Calibri"/>
                <w:b/>
                <w:bCs/>
                <w:color w:val="FFFFFF"/>
                <w:sz w:val="20"/>
                <w:szCs w:val="20"/>
              </w:rPr>
              <w:t xml:space="preserve">Incremental</w:t>
            </w:r>
          </w:p>
        </w:tc>
        <w:tc>
          <w:tcPr>
            <w:tcW w:type="dxa" w:w="2340"/>
            <w:shd w:fill="2B4C7E" w:val="clear"/>
            <w:vAlign w:val="center"/>
          </w:tcPr>
          <w:p>
            <w:pPr>
              <w:jc w:val="center"/>
            </w:pPr>
            <w:r>
              <w:rPr>
                <w:rFonts w:ascii="Calibri" w:cs="Calibri" w:eastAsia="Calibri" w:hAnsi="Calibri"/>
                <w:b/>
                <w:bCs/>
                <w:color w:val="FFFFFF"/>
                <w:sz w:val="20"/>
                <w:szCs w:val="20"/>
              </w:rPr>
              <w:t xml:space="preserve">Cumulative</w:t>
            </w:r>
          </w:p>
        </w:tc>
      </w:tr>
      <w:tr>
        <w:tc>
          <w:tcPr>
            <w:tcW w:type="dxa" w:w="2340"/>
            <w:vAlign w:val="center"/>
          </w:tcPr>
          <w:p>
            <w:pPr>
              <w:spacing w:after="40" w:before="40"/>
              <w:jc w:val="left"/>
            </w:pPr>
            <w:r>
              <w:rPr>
                <w:rFonts w:ascii="Calibri" w:cs="Calibri" w:eastAsia="Calibri" w:hAnsi="Calibri"/>
                <w:color w:val="000000"/>
                <w:sz w:val="20"/>
                <w:szCs w:val="20"/>
              </w:rPr>
              <w:t xml:space="preserve">Year 1</w:t>
            </w:r>
          </w:p>
        </w:tc>
        <w:tc>
          <w:tcPr>
            <w:tcW w:type="dxa" w:w="2340"/>
            <w:vAlign w:val="center"/>
          </w:tcPr>
          <w:p>
            <w:pPr>
              <w:spacing w:after="40" w:before="40"/>
              <w:jc w:val="left"/>
            </w:pPr>
            <w:r>
              <w:rPr>
                <w:rFonts w:ascii="Calibri" w:cs="Calibri" w:eastAsia="Calibri" w:hAnsi="Calibri"/>
                <w:color w:val="000000"/>
                <w:sz w:val="20"/>
                <w:szCs w:val="20"/>
              </w:rPr>
              <w:t xml:space="preserve">Cliff Vest</w:t>
            </w:r>
          </w:p>
        </w:tc>
        <w:tc>
          <w:tcPr>
            <w:tcW w:type="dxa" w:w="2340"/>
            <w:vAlign w:val="center"/>
          </w:tcPr>
          <w:p>
            <w:pPr>
              <w:spacing w:after="40" w:before="40"/>
              <w:jc w:val="center"/>
            </w:pPr>
            <w:r>
              <w:rPr>
                <w:rFonts w:ascii="Calibri" w:cs="Calibri" w:eastAsia="Calibri" w:hAnsi="Calibri"/>
                <w:color w:val="000000"/>
                <w:sz w:val="20"/>
                <w:szCs w:val="20"/>
              </w:rPr>
              <w:t xml:space="preserve">10%</w:t>
            </w:r>
          </w:p>
        </w:tc>
        <w:tc>
          <w:tcPr>
            <w:tcW w:type="dxa" w:w="2340"/>
            <w:vAlign w:val="center"/>
          </w:tcPr>
          <w:p>
            <w:pPr>
              <w:spacing w:after="40" w:before="40"/>
              <w:jc w:val="center"/>
            </w:pPr>
            <w:r>
              <w:rPr>
                <w:rFonts w:ascii="Calibri" w:cs="Calibri" w:eastAsia="Calibri" w:hAnsi="Calibri"/>
                <w:color w:val="000000"/>
                <w:sz w:val="20"/>
                <w:szCs w:val="20"/>
              </w:rPr>
              <w:t xml:space="preserve">10%</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Year 2</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Graded Vest</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15%</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25%</w:t>
            </w:r>
          </w:p>
        </w:tc>
      </w:tr>
      <w:tr>
        <w:tc>
          <w:tcPr>
            <w:tcW w:type="dxa" w:w="2340"/>
            <w:vAlign w:val="center"/>
          </w:tcPr>
          <w:p>
            <w:pPr>
              <w:spacing w:after="40" w:before="40"/>
              <w:jc w:val="left"/>
            </w:pPr>
            <w:r>
              <w:rPr>
                <w:rFonts w:ascii="Calibri" w:cs="Calibri" w:eastAsia="Calibri" w:hAnsi="Calibri"/>
                <w:color w:val="000000"/>
                <w:sz w:val="20"/>
                <w:szCs w:val="20"/>
              </w:rPr>
              <w:t xml:space="preserve">Year 3</w:t>
            </w:r>
          </w:p>
        </w:tc>
        <w:tc>
          <w:tcPr>
            <w:tcW w:type="dxa" w:w="2340"/>
            <w:vAlign w:val="center"/>
          </w:tcPr>
          <w:p>
            <w:pPr>
              <w:spacing w:after="40" w:before="40"/>
              <w:jc w:val="left"/>
            </w:pPr>
            <w:r>
              <w:rPr>
                <w:rFonts w:ascii="Calibri" w:cs="Calibri" w:eastAsia="Calibri" w:hAnsi="Calibri"/>
                <w:color w:val="000000"/>
                <w:sz w:val="20"/>
                <w:szCs w:val="20"/>
              </w:rPr>
              <w:t xml:space="preserve">Graded Vest</w:t>
            </w:r>
          </w:p>
        </w:tc>
        <w:tc>
          <w:tcPr>
            <w:tcW w:type="dxa" w:w="2340"/>
            <w:vAlign w:val="center"/>
          </w:tcPr>
          <w:p>
            <w:pPr>
              <w:spacing w:after="40" w:before="40"/>
              <w:jc w:val="center"/>
            </w:pPr>
            <w:r>
              <w:rPr>
                <w:rFonts w:ascii="Calibri" w:cs="Calibri" w:eastAsia="Calibri" w:hAnsi="Calibri"/>
                <w:color w:val="000000"/>
                <w:sz w:val="20"/>
                <w:szCs w:val="20"/>
              </w:rPr>
              <w:t xml:space="preserve">20%</w:t>
            </w:r>
          </w:p>
        </w:tc>
        <w:tc>
          <w:tcPr>
            <w:tcW w:type="dxa" w:w="2340"/>
            <w:vAlign w:val="center"/>
          </w:tcPr>
          <w:p>
            <w:pPr>
              <w:spacing w:after="40" w:before="40"/>
              <w:jc w:val="center"/>
            </w:pPr>
            <w:r>
              <w:rPr>
                <w:rFonts w:ascii="Calibri" w:cs="Calibri" w:eastAsia="Calibri" w:hAnsi="Calibri"/>
                <w:color w:val="000000"/>
                <w:sz w:val="20"/>
                <w:szCs w:val="20"/>
              </w:rPr>
              <w:t xml:space="preserve">75%</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Year 4</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Graded Vest</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25%</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70%</w:t>
            </w:r>
          </w:p>
        </w:tc>
      </w:tr>
      <w:tr>
        <w:tc>
          <w:tcPr>
            <w:tcW w:type="dxa" w:w="2340"/>
            <w:vAlign w:val="center"/>
          </w:tcPr>
          <w:p>
            <w:pPr>
              <w:spacing w:after="40" w:before="40"/>
              <w:jc w:val="left"/>
            </w:pPr>
            <w:r>
              <w:rPr>
                <w:rFonts w:ascii="Calibri" w:cs="Calibri" w:eastAsia="Calibri" w:hAnsi="Calibri"/>
                <w:color w:val="000000"/>
                <w:sz w:val="20"/>
                <w:szCs w:val="20"/>
              </w:rPr>
              <w:t xml:space="preserve">Year 5</w:t>
            </w:r>
          </w:p>
        </w:tc>
        <w:tc>
          <w:tcPr>
            <w:tcW w:type="dxa" w:w="2340"/>
            <w:vAlign w:val="center"/>
          </w:tcPr>
          <w:p>
            <w:pPr>
              <w:spacing w:after="40" w:before="40"/>
              <w:jc w:val="left"/>
            </w:pPr>
            <w:r>
              <w:rPr>
                <w:rFonts w:ascii="Calibri" w:cs="Calibri" w:eastAsia="Calibri" w:hAnsi="Calibri"/>
                <w:color w:val="000000"/>
                <w:sz w:val="20"/>
                <w:szCs w:val="20"/>
              </w:rPr>
              <w:t xml:space="preserve">Graded Vest</w:t>
            </w:r>
          </w:p>
        </w:tc>
        <w:tc>
          <w:tcPr>
            <w:tcW w:type="dxa" w:w="2340"/>
            <w:vAlign w:val="center"/>
          </w:tcPr>
          <w:p>
            <w:pPr>
              <w:spacing w:after="40" w:before="40"/>
              <w:jc w:val="center"/>
            </w:pPr>
            <w:r>
              <w:rPr>
                <w:rFonts w:ascii="Calibri" w:cs="Calibri" w:eastAsia="Calibri" w:hAnsi="Calibri"/>
                <w:color w:val="000000"/>
                <w:sz w:val="20"/>
                <w:szCs w:val="20"/>
              </w:rPr>
              <w:t xml:space="preserve">30%</w:t>
            </w:r>
          </w:p>
        </w:tc>
        <w:tc>
          <w:tcPr>
            <w:tcW w:type="dxa" w:w="2340"/>
            <w:vAlign w:val="center"/>
          </w:tcPr>
          <w:p>
            <w:pPr>
              <w:spacing w:after="40" w:before="40"/>
              <w:jc w:val="center"/>
            </w:pPr>
            <w:r>
              <w:rPr>
                <w:rFonts w:ascii="Calibri" w:cs="Calibri" w:eastAsia="Calibri" w:hAnsi="Calibri"/>
                <w:color w:val="000000"/>
                <w:sz w:val="20"/>
                <w:szCs w:val="20"/>
              </w:rPr>
              <w:t xml:space="preserve">100%</w:t>
            </w:r>
          </w:p>
        </w:tc>
      </w:tr>
    </w:tbl>
    <w:p>
      <w:pPr>
        <w:spacing w:after="0"/>
      </w:pPr>
    </w:p>
    <w:p>
      <w:pPr>
        <w:pStyle w:val="Heading3"/>
        <w:spacing w:after="120" w:before="240"/>
      </w:pPr>
      <w:r>
        <w:rPr>
          <w:rFonts w:ascii="Calibri" w:cs="Calibri" w:eastAsia="Calibri" w:hAnsi="Calibri"/>
          <w:b/>
          <w:bCs/>
          <w:color w:val="333333"/>
          <w:sz w:val="24"/>
          <w:szCs w:val="24"/>
        </w:rPr>
        <w:t xml:space="preserve">Option 4: Monthly Vesting (After One-Year Cliff)</w:t>
      </w:r>
    </w:p>
    <w:p>
      <w:pPr>
        <w:spacing w:after="160" w:before="0" w:line="276"/>
        <w:jc w:val="both"/>
      </w:pPr>
      <w:r>
        <w:rPr>
          <w:rFonts w:ascii="Calibri" w:cs="Calibri" w:eastAsia="Calibri" w:hAnsi="Calibri"/>
          <w:color w:val="000000"/>
          <w:sz w:val="24"/>
          <w:szCs w:val="24"/>
        </w:rPr>
        <w:t xml:space="preserve">Under this option, 25% of the Phantom Units vest on the first anniversary of the Vesting Commencement Date (the "Cliff Date"), and the remaining 75% vest in equal monthly installments over the following thirty-six (36) months (i.e., 2.0833% per month), subject to the Participant's continued service through each monthly vesting date.</w:t>
      </w:r>
    </w:p>
    <w:p>
      <w:pPr>
        <w:spacing w:after="0"/>
      </w:pPr>
    </w:p>
    <w:p>
      <w:pPr>
        <w:pStyle w:val="Heading3"/>
        <w:spacing w:after="120" w:before="240"/>
      </w:pPr>
      <w:r>
        <w:rPr>
          <w:rFonts w:ascii="Calibri" w:cs="Calibri" w:eastAsia="Calibri" w:hAnsi="Calibri"/>
          <w:b/>
          <w:bCs/>
          <w:color w:val="333333"/>
          <w:sz w:val="24"/>
          <w:szCs w:val="24"/>
        </w:rPr>
        <w:t xml:space="preserve">Option 5: Performance-Based Vesting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2B4C7E" w:val="clear"/>
            <w:vAlign w:val="center"/>
          </w:tcPr>
          <w:p>
            <w:pPr>
              <w:jc w:val="center"/>
            </w:pPr>
            <w:r>
              <w:rPr>
                <w:rFonts w:ascii="Calibri" w:cs="Calibri" w:eastAsia="Calibri" w:hAnsi="Calibri"/>
                <w:b/>
                <w:bCs/>
                <w:color w:val="FFFFFF"/>
                <w:sz w:val="20"/>
                <w:szCs w:val="20"/>
              </w:rPr>
              <w:t xml:space="preserve">Performance Level</w:t>
            </w:r>
          </w:p>
        </w:tc>
        <w:tc>
          <w:tcPr>
            <w:tcW w:type="dxa" w:w="2340"/>
            <w:shd w:fill="2B4C7E" w:val="clear"/>
            <w:vAlign w:val="center"/>
          </w:tcPr>
          <w:p>
            <w:pPr>
              <w:jc w:val="center"/>
            </w:pPr>
            <w:r>
              <w:rPr>
                <w:rFonts w:ascii="Calibri" w:cs="Calibri" w:eastAsia="Calibri" w:hAnsi="Calibri"/>
                <w:b/>
                <w:bCs/>
                <w:color w:val="FFFFFF"/>
                <w:sz w:val="20"/>
                <w:szCs w:val="20"/>
              </w:rPr>
              <w:t xml:space="preserve">Metric</w:t>
            </w:r>
          </w:p>
        </w:tc>
        <w:tc>
          <w:tcPr>
            <w:tcW w:type="dxa" w:w="2340"/>
            <w:shd w:fill="2B4C7E" w:val="clear"/>
            <w:vAlign w:val="center"/>
          </w:tcPr>
          <w:p>
            <w:pPr>
              <w:jc w:val="center"/>
            </w:pPr>
            <w:r>
              <w:rPr>
                <w:rFonts w:ascii="Calibri" w:cs="Calibri" w:eastAsia="Calibri" w:hAnsi="Calibri"/>
                <w:b/>
                <w:bCs/>
                <w:color w:val="FFFFFF"/>
                <w:sz w:val="20"/>
                <w:szCs w:val="20"/>
              </w:rPr>
              <w:t xml:space="preserve">Target</w:t>
            </w:r>
          </w:p>
        </w:tc>
        <w:tc>
          <w:tcPr>
            <w:tcW w:type="dxa" w:w="2340"/>
            <w:shd w:fill="2B4C7E" w:val="clear"/>
            <w:vAlign w:val="center"/>
          </w:tcPr>
          <w:p>
            <w:pPr>
              <w:jc w:val="center"/>
            </w:pPr>
            <w:r>
              <w:rPr>
                <w:rFonts w:ascii="Calibri" w:cs="Calibri" w:eastAsia="Calibri" w:hAnsi="Calibri"/>
                <w:b/>
                <w:bCs/>
                <w:color w:val="FFFFFF"/>
                <w:sz w:val="20"/>
                <w:szCs w:val="20"/>
              </w:rPr>
              <w:t xml:space="preserve">% Vesting</w:t>
            </w:r>
          </w:p>
        </w:tc>
      </w:tr>
      <w:tr>
        <w:tc>
          <w:tcPr>
            <w:tcW w:type="dxa" w:w="2340"/>
            <w:vAlign w:val="center"/>
          </w:tcPr>
          <w:p>
            <w:pPr>
              <w:spacing w:after="40" w:before="40"/>
              <w:jc w:val="left"/>
            </w:pPr>
            <w:r>
              <w:rPr>
                <w:rFonts w:ascii="Calibri" w:cs="Calibri" w:eastAsia="Calibri" w:hAnsi="Calibri"/>
                <w:color w:val="000000"/>
                <w:sz w:val="20"/>
                <w:szCs w:val="20"/>
              </w:rPr>
              <w:t xml:space="preserve">Below Threshold</w:t>
            </w:r>
          </w:p>
        </w:tc>
        <w:tc>
          <w:tcPr>
            <w:tcW w:type="dxa" w:w="2340"/>
            <w:vAlign w:val="center"/>
          </w:tcPr>
          <w:p>
            <w:pPr>
              <w:spacing w:after="40" w:before="40"/>
              <w:jc w:val="left"/>
            </w:pPr>
            <w:r>
              <w:rPr>
                <w:rFonts w:ascii="Calibri" w:cs="Calibri" w:eastAsia="Calibri" w:hAnsi="Calibri"/>
                <w:color w:val="000000"/>
                <w:sz w:val="20"/>
                <w:szCs w:val="20"/>
              </w:rPr>
              <w:t xml:space="preserve">[METRIC]</w:t>
            </w:r>
          </w:p>
        </w:tc>
        <w:tc>
          <w:tcPr>
            <w:tcW w:type="dxa" w:w="2340"/>
            <w:vAlign w:val="center"/>
          </w:tcPr>
          <w:p>
            <w:pPr>
              <w:spacing w:after="40" w:before="40"/>
              <w:jc w:val="center"/>
            </w:pPr>
            <w:r>
              <w:rPr>
                <w:rFonts w:ascii="Calibri" w:cs="Calibri" w:eastAsia="Calibri" w:hAnsi="Calibri"/>
                <w:color w:val="000000"/>
                <w:sz w:val="20"/>
                <w:szCs w:val="20"/>
              </w:rPr>
              <w:t xml:space="preserve">&lt; [THRESHOLD]</w:t>
            </w:r>
          </w:p>
        </w:tc>
        <w:tc>
          <w:tcPr>
            <w:tcW w:type="dxa" w:w="2340"/>
            <w:vAlign w:val="center"/>
          </w:tcPr>
          <w:p>
            <w:pPr>
              <w:spacing w:after="40" w:before="40"/>
              <w:jc w:val="center"/>
            </w:pPr>
            <w:r>
              <w:rPr>
                <w:rFonts w:ascii="Calibri" w:cs="Calibri" w:eastAsia="Calibri" w:hAnsi="Calibri"/>
                <w:color w:val="000000"/>
                <w:sz w:val="20"/>
                <w:szCs w:val="20"/>
              </w:rPr>
              <w:t xml:space="preserve">0%</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Threshold</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[METRIC]</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[THRESHOLD]</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50%</w:t>
            </w:r>
          </w:p>
        </w:tc>
      </w:tr>
      <w:tr>
        <w:tc>
          <w:tcPr>
            <w:tcW w:type="dxa" w:w="2340"/>
            <w:vAlign w:val="center"/>
          </w:tcPr>
          <w:p>
            <w:pPr>
              <w:spacing w:after="40" w:before="40"/>
              <w:jc w:val="left"/>
            </w:pPr>
            <w:r>
              <w:rPr>
                <w:rFonts w:ascii="Calibri" w:cs="Calibri" w:eastAsia="Calibri" w:hAnsi="Calibri"/>
                <w:color w:val="000000"/>
                <w:sz w:val="20"/>
                <w:szCs w:val="20"/>
              </w:rPr>
              <w:t xml:space="preserve">Target</w:t>
            </w:r>
          </w:p>
        </w:tc>
        <w:tc>
          <w:tcPr>
            <w:tcW w:type="dxa" w:w="2340"/>
            <w:vAlign w:val="center"/>
          </w:tcPr>
          <w:p>
            <w:pPr>
              <w:spacing w:after="40" w:before="40"/>
              <w:jc w:val="left"/>
            </w:pPr>
            <w:r>
              <w:rPr>
                <w:rFonts w:ascii="Calibri" w:cs="Calibri" w:eastAsia="Calibri" w:hAnsi="Calibri"/>
                <w:color w:val="000000"/>
                <w:sz w:val="20"/>
                <w:szCs w:val="20"/>
              </w:rPr>
              <w:t xml:space="preserve">[METRIC]</w:t>
            </w:r>
          </w:p>
        </w:tc>
        <w:tc>
          <w:tcPr>
            <w:tcW w:type="dxa" w:w="2340"/>
            <w:vAlign w:val="center"/>
          </w:tcPr>
          <w:p>
            <w:pPr>
              <w:spacing w:after="40" w:before="40"/>
              <w:jc w:val="center"/>
            </w:pPr>
            <w:r>
              <w:rPr>
                <w:rFonts w:ascii="Calibri" w:cs="Calibri" w:eastAsia="Calibri" w:hAnsi="Calibri"/>
                <w:color w:val="000000"/>
                <w:sz w:val="20"/>
                <w:szCs w:val="20"/>
              </w:rPr>
              <w:t xml:space="preserve">[TARGET]</w:t>
            </w:r>
          </w:p>
        </w:tc>
        <w:tc>
          <w:tcPr>
            <w:tcW w:type="dxa" w:w="2340"/>
            <w:vAlign w:val="center"/>
          </w:tcPr>
          <w:p>
            <w:pPr>
              <w:spacing w:after="40" w:before="40"/>
              <w:jc w:val="center"/>
            </w:pPr>
            <w:r>
              <w:rPr>
                <w:rFonts w:ascii="Calibri" w:cs="Calibri" w:eastAsia="Calibri" w:hAnsi="Calibri"/>
                <w:color w:val="000000"/>
                <w:sz w:val="20"/>
                <w:szCs w:val="20"/>
              </w:rPr>
              <w:t xml:space="preserve">100%</w:t>
            </w:r>
          </w:p>
        </w:tc>
      </w:tr>
      <w:tr>
        <w:tc>
          <w:tcPr>
            <w:tcW w:type="dxa" w:w="2340"/>
            <w:shd w:fill="F2F2F2" w:val="clear"/>
            <w:vAlign w:val="center"/>
          </w:tcPr>
          <w:p>
            <w:pPr>
              <w:spacing w:after="40" w:before="40"/>
              <w:jc w:val="left"/>
            </w:pPr>
            <w:r>
              <w:rPr>
                <w:rFonts w:ascii="Calibri" w:cs="Calibri" w:eastAsia="Calibri" w:hAnsi="Calibri"/>
                <w:color w:val="000000"/>
                <w:sz w:val="20"/>
                <w:szCs w:val="20"/>
              </w:rPr>
              <w:t xml:space="preserve">Maximum</w:t>
            </w:r>
          </w:p>
        </w:tc>
        <w:tc>
          <w:tcPr>
            <w:tcW w:type="dxa" w:w="2340"/>
            <w:shd w:fill="F2F2F2" w:val="clear"/>
            <w:vAlign w:val="center"/>
          </w:tcPr>
          <w:p>
            <w:pPr>
              <w:spacing w:after="40" w:before="40"/>
              <w:jc w:val="left"/>
            </w:pPr>
            <w:r>
              <w:rPr>
                <w:rFonts w:ascii="Calibri" w:cs="Calibri" w:eastAsia="Calibri" w:hAnsi="Calibri"/>
                <w:color w:val="000000"/>
                <w:sz w:val="20"/>
                <w:szCs w:val="20"/>
              </w:rPr>
              <w:t xml:space="preserve">[METRIC]</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[MAXIMUM]</w:t>
            </w:r>
          </w:p>
        </w:tc>
        <w:tc>
          <w:tcPr>
            <w:tcW w:type="dxa" w:w="2340"/>
            <w:shd w:fill="F2F2F2" w:val="clear"/>
            <w:vAlign w:val="center"/>
          </w:tcPr>
          <w:p>
            <w:pPr>
              <w:spacing w:after="40" w:before="40"/>
              <w:jc w:val="center"/>
            </w:pPr>
            <w:r>
              <w:rPr>
                <w:rFonts w:ascii="Calibri" w:cs="Calibri" w:eastAsia="Calibri" w:hAnsi="Calibri"/>
                <w:color w:val="000000"/>
                <w:sz w:val="20"/>
                <w:szCs w:val="20"/>
              </w:rPr>
              <w:t xml:space="preserve">150%</w:t>
            </w:r>
          </w:p>
        </w:tc>
      </w:tr>
    </w:tbl>
    <w:p>
      <w:pPr>
        <w:spacing w:after="0"/>
      </w:pPr>
    </w:p>
    <w:p>
      <w:pPr>
        <w:spacing w:after="160" w:before="0" w:line="276"/>
        <w:jc w:val="both"/>
      </w:pPr>
      <w:r>
        <w:rPr>
          <w:rFonts w:ascii="Calibri" w:cs="Calibri" w:eastAsia="Calibri" w:hAnsi="Calibri"/>
          <w:color w:val="000000"/>
          <w:sz w:val="24"/>
          <w:szCs w:val="24"/>
        </w:rPr>
        <w:t xml:space="preserve">Performance Period: </w:t>
      </w:r>
      <w:r>
        <w:rPr>
          <w:rFonts w:ascii="Calibri" w:cs="Calibri" w:eastAsia="Calibri" w:hAnsi="Calibri"/>
          <w:b/>
          <w:bCs/>
          <w:color w:val="2B4C7E"/>
          <w:sz w:val="24"/>
          <w:szCs w:val="24"/>
          <w:highlight w:val="yellow"/>
          <w:highlightCs w:val="yellow"/>
        </w:rPr>
        <w:t xml:space="preserve">[START DATE]</w:t>
      </w:r>
      <w:r>
        <w:rPr>
          <w:rFonts w:ascii="Calibri" w:cs="Calibri" w:eastAsia="Calibri" w:hAnsi="Calibri"/>
          <w:color w:val="000000"/>
          <w:sz w:val="24"/>
          <w:szCs w:val="24"/>
        </w:rPr>
        <w:t xml:space="preserve"> through </w:t>
      </w:r>
      <w:r>
        <w:rPr>
          <w:rFonts w:ascii="Calibri" w:cs="Calibri" w:eastAsia="Calibri" w:hAnsi="Calibri"/>
          <w:b/>
          <w:bCs/>
          <w:color w:val="2B4C7E"/>
          <w:sz w:val="24"/>
          <w:szCs w:val="24"/>
          <w:highlight w:val="yellow"/>
          <w:highlightCs w:val="yellow"/>
        </w:rPr>
        <w:t xml:space="preserve">[END DATE]</w:t>
      </w:r>
    </w:p>
    <w:p>
      <w:pPr>
        <w:spacing w:after="160" w:before="0" w:line="276"/>
        <w:jc w:val="both"/>
      </w:pPr>
      <w:r>
        <w:rPr>
          <w:rFonts w:ascii="Calibri" w:cs="Calibri" w:eastAsia="Calibri" w:hAnsi="Calibri"/>
          <w:color w:val="000000"/>
          <w:sz w:val="24"/>
          <w:szCs w:val="24"/>
        </w:rPr>
        <w:t xml:space="preserve">Performance Metric(s): </w:t>
      </w:r>
      <w:r>
        <w:rPr>
          <w:rFonts w:ascii="Calibri" w:cs="Calibri" w:eastAsia="Calibri" w:hAnsi="Calibri"/>
          <w:b/>
          <w:bCs/>
          <w:color w:val="2B4C7E"/>
          <w:sz w:val="24"/>
          <w:szCs w:val="24"/>
          <w:highlight w:val="yellow"/>
          <w:highlightCs w:val="yellow"/>
        </w:rPr>
        <w:t xml:space="preserve">[E.G., REVENUE, EBITDA, NET INCOME, CUSTOMER ACQUISITION, PRODUCT MILESTONES]</w:t>
      </w:r>
    </w:p>
    <w:p>
      <w:pPr>
        <w:spacing w:after="160" w:before="0" w:line="276"/>
        <w:jc w:val="both"/>
      </w:pPr>
      <w:r>
        <w:rPr>
          <w:rFonts w:ascii="Calibri" w:cs="Calibri" w:eastAsia="Calibri" w:hAnsi="Calibri"/>
          <w:color w:val="000000"/>
          <w:sz w:val="24"/>
          <w:szCs w:val="24"/>
        </w:rPr>
        <w:t xml:space="preserve">Certification Required: The Committee shall certify in writing the level of performance achievement prior to any settlement of performance-vested Phantom Units.</w:t>
      </w:r>
    </w:p>
    <w:p>
      <w:pPr>
        <w:pStyle w:val="Heading3"/>
        <w:spacing w:after="120" w:before="240"/>
      </w:pPr>
      <w:r>
        <w:rPr>
          <w:rFonts w:ascii="Calibri" w:cs="Calibri" w:eastAsia="Calibri" w:hAnsi="Calibri"/>
          <w:b/>
          <w:bCs/>
          <w:color w:val="333333"/>
          <w:sz w:val="24"/>
          <w:szCs w:val="24"/>
        </w:rPr>
        <w:t xml:space="preserve">Option 6: Hybrid Time + Performance Vesting</w:t>
      </w:r>
    </w:p>
    <w:p>
      <w:pPr>
        <w:spacing w:after="160" w:before="0" w:line="276"/>
        <w:jc w:val="both"/>
      </w:pPr>
      <w:r>
        <w:rPr>
          <w:rFonts w:ascii="Calibri" w:cs="Calibri" w:eastAsia="Calibri" w:hAnsi="Calibri"/>
          <w:color w:val="000000"/>
          <w:sz w:val="24"/>
          <w:szCs w:val="24"/>
        </w:rPr>
        <w:t xml:space="preserve">Under this option, 50% of the Phantom Units are subject to time-based vesting (per Option 1 or Option 2 above) and 50% are subject to performance-based vesting (per Option 5 above). Both the time-based and performance-based conditions must be satisfied for the applicable portion to vest.</w:t>
      </w:r>
    </w:p>
    <w:p>
      <w:r>
        <w:br w:type="page"/>
      </w:r>
    </w:p>
    <w:p>
      <w:pPr>
        <w:pStyle w:val="Heading1"/>
        <w:spacing w:after="200" w:before="360"/>
      </w:pPr>
      <w:r>
        <w:rPr>
          <w:rFonts w:ascii="Calibri" w:cs="Calibri" w:eastAsia="Calibri" w:hAnsi="Calibri"/>
          <w:b/>
          <w:bCs/>
          <w:color w:val="333333"/>
          <w:sz w:val="28"/>
          <w:szCs w:val="28"/>
        </w:rPr>
        <w:t xml:space="preserve">EXHIBIT C: VALUATION METHODOLOGY SUMMARY</w:t>
      </w:r>
    </w:p>
    <w:p>
      <w:pPr>
        <w:spacing w:after="0"/>
      </w:pPr>
    </w:p>
    <w:p>
      <w:pPr>
        <w:pStyle w:val="Heading3"/>
        <w:spacing w:after="120" w:before="240"/>
      </w:pPr>
      <w:r>
        <w:rPr>
          <w:rFonts w:ascii="Calibri" w:cs="Calibri" w:eastAsia="Calibri" w:hAnsi="Calibri"/>
          <w:b/>
          <w:bCs/>
          <w:color w:val="333333"/>
          <w:sz w:val="24"/>
          <w:szCs w:val="24"/>
        </w:rPr>
        <w:t xml:space="preserve">1.  Purpose</w:t>
      </w:r>
    </w:p>
    <w:p>
      <w:pPr>
        <w:spacing w:after="160" w:before="0" w:line="276"/>
        <w:jc w:val="both"/>
      </w:pPr>
      <w:r>
        <w:rPr>
          <w:rFonts w:ascii="Calibri" w:cs="Calibri" w:eastAsia="Calibri" w:hAnsi="Calibri"/>
          <w:color w:val="000000"/>
          <w:sz w:val="24"/>
          <w:szCs w:val="24"/>
        </w:rPr>
        <w:t xml:space="preserve">This Exhibit summarizes the valuation methodologies that the Committee may use to determine the Fair Market Value of the Company and a notional equity unit for purposes of the Plan. This summary is provided for informational purposes and does not limit the Committee's discretion under Article XI.</w:t>
      </w:r>
    </w:p>
    <w:p>
      <w:pPr>
        <w:pStyle w:val="Heading3"/>
        <w:spacing w:after="120" w:before="240"/>
      </w:pPr>
      <w:r>
        <w:rPr>
          <w:rFonts w:ascii="Calibri" w:cs="Calibri" w:eastAsia="Calibri" w:hAnsi="Calibri"/>
          <w:b/>
          <w:bCs/>
          <w:color w:val="333333"/>
          <w:sz w:val="24"/>
          <w:szCs w:val="24"/>
        </w:rPr>
        <w:t xml:space="preserve">2.  Primary Valuation Approaches</w:t>
      </w:r>
    </w:p>
    <w:p>
      <w:pPr>
        <w:spacing w:after="0"/>
      </w:pPr>
    </w:p>
    <w:p>
      <w:pPr>
        <w:pStyle w:val="Heading3"/>
        <w:spacing w:after="120" w:before="160"/>
      </w:pPr>
      <w:r>
        <w:rPr>
          <w:rFonts w:ascii="Calibri" w:cs="Calibri" w:eastAsia="Calibri" w:hAnsi="Calibri"/>
          <w:b/>
          <w:bCs/>
          <w:color w:val="333333"/>
          <w:sz w:val="24"/>
          <w:szCs w:val="24"/>
        </w:rPr>
        <w:t xml:space="preserve">2.1  Income Approach (Discounted Cash Flow)</w:t>
      </w:r>
    </w:p>
    <w:p>
      <w:pPr>
        <w:spacing w:after="160" w:before="0" w:line="276"/>
        <w:jc w:val="both"/>
      </w:pPr>
      <w:r>
        <w:rPr>
          <w:rFonts w:ascii="Calibri" w:cs="Calibri" w:eastAsia="Calibri" w:hAnsi="Calibri"/>
          <w:color w:val="000000"/>
          <w:sz w:val="24"/>
          <w:szCs w:val="24"/>
        </w:rPr>
        <w:t xml:space="preserve">The income approach estimates the value of the Company based on the present value of expected future cash flows, discounted at an appropriate rate reflecting the risk associated with those cash flows.</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Projection Period: </w:t>
      </w:r>
      <w:r>
        <w:rPr>
          <w:rFonts w:ascii="Calibri" w:cs="Calibri" w:eastAsia="Calibri" w:hAnsi="Calibri"/>
          <w:b/>
          <w:bCs/>
          <w:color w:val="2B4C7E"/>
          <w:sz w:val="24"/>
          <w:szCs w:val="24"/>
          <w:highlight w:val="yellow"/>
          <w:highlightCs w:val="yellow"/>
        </w:rPr>
        <w:t xml:space="preserve">[NUMBER, E.G., FIVE (5)]</w:t>
      </w:r>
      <w:r>
        <w:rPr>
          <w:rFonts w:ascii="Calibri" w:cs="Calibri" w:eastAsia="Calibri" w:hAnsi="Calibri"/>
          <w:color w:val="000000"/>
          <w:sz w:val="24"/>
          <w:szCs w:val="24"/>
        </w:rPr>
        <w:t xml:space="preserve"> years of projected free cash flows</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Discount Rate: Weighted average cost of capital ("WACC") of </w:t>
      </w:r>
      <w:r>
        <w:rPr>
          <w:rFonts w:ascii="Calibri" w:cs="Calibri" w:eastAsia="Calibri" w:hAnsi="Calibri"/>
          <w:b/>
          <w:bCs/>
          <w:color w:val="2B4C7E"/>
          <w:sz w:val="24"/>
          <w:szCs w:val="24"/>
          <w:highlight w:val="yellow"/>
          <w:highlightCs w:val="yellow"/>
        </w:rPr>
        <w:t xml:space="preserve">[RATE, E.G., [X]%]</w:t>
      </w:r>
      <w:r>
        <w:rPr>
          <w:rFonts w:ascii="Calibri" w:cs="Calibri" w:eastAsia="Calibri" w:hAnsi="Calibri"/>
          <w:color w:val="000000"/>
          <w:sz w:val="24"/>
          <w:szCs w:val="24"/>
        </w:rPr>
        <w:t xml:space="preserve">, reflecting the Company's risk profile</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Terminal Value: Calculated using either a perpetuity growth model or an exit multiple</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Adjustments: Working capital normalization, non-recurring items, excess/deficient assets</w:t>
      </w:r>
    </w:p>
    <w:p>
      <w:pPr>
        <w:pStyle w:val="Heading3"/>
        <w:spacing w:after="120" w:before="160"/>
      </w:pPr>
      <w:r>
        <w:rPr>
          <w:rFonts w:ascii="Calibri" w:cs="Calibri" w:eastAsia="Calibri" w:hAnsi="Calibri"/>
          <w:b/>
          <w:bCs/>
          <w:color w:val="333333"/>
          <w:sz w:val="24"/>
          <w:szCs w:val="24"/>
        </w:rPr>
        <w:t xml:space="preserve">2.2  Market Approach (Comparable Company Analysis)</w:t>
      </w:r>
    </w:p>
    <w:p>
      <w:pPr>
        <w:spacing w:after="160" w:before="0" w:line="276"/>
        <w:jc w:val="both"/>
      </w:pPr>
      <w:r>
        <w:rPr>
          <w:rFonts w:ascii="Calibri" w:cs="Calibri" w:eastAsia="Calibri" w:hAnsi="Calibri"/>
          <w:color w:val="000000"/>
          <w:sz w:val="24"/>
          <w:szCs w:val="24"/>
        </w:rPr>
        <w:t xml:space="preserve">The market approach estimates value by reference to valuation multiples derived from publicly traded companies or recent transactions involving comparable companies.</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Comparable Companies: Selected based on industry, size, growth profile, and profitability</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Valuation Multiples: EV/Revenue, EV/EBITDA, EV/EBIT, P/E, as applicable</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Adjustments: Size discount, marketability discount, control premium (as applicable)</w:t>
      </w:r>
    </w:p>
    <w:p>
      <w:pPr>
        <w:pStyle w:val="Heading3"/>
        <w:spacing w:after="120" w:before="160"/>
      </w:pPr>
      <w:r>
        <w:rPr>
          <w:rFonts w:ascii="Calibri" w:cs="Calibri" w:eastAsia="Calibri" w:hAnsi="Calibri"/>
          <w:b/>
          <w:bCs/>
          <w:color w:val="333333"/>
          <w:sz w:val="24"/>
          <w:szCs w:val="24"/>
        </w:rPr>
        <w:t xml:space="preserve">2.3  Asset Approach (Adjusted Net Asset Value)</w:t>
      </w:r>
    </w:p>
    <w:p>
      <w:pPr>
        <w:spacing w:after="160" w:before="0" w:line="276"/>
        <w:jc w:val="both"/>
      </w:pPr>
      <w:r>
        <w:rPr>
          <w:rFonts w:ascii="Calibri" w:cs="Calibri" w:eastAsia="Calibri" w:hAnsi="Calibri"/>
          <w:color w:val="000000"/>
          <w:sz w:val="24"/>
          <w:szCs w:val="24"/>
        </w:rPr>
        <w:t xml:space="preserve">The asset approach estimates value based on the fair market value of the Company's net assets (total assets minus total liabilities).</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Appropriate for asset-intensive businesses or holding companies</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Adjustments: Revaluation of tangible and intangible assets to fair market value</w:t>
      </w:r>
    </w:p>
    <w:p>
      <w:pPr>
        <w:pStyle w:val="Heading3"/>
        <w:spacing w:after="120" w:before="240"/>
      </w:pPr>
      <w:r>
        <w:rPr>
          <w:rFonts w:ascii="Calibri" w:cs="Calibri" w:eastAsia="Calibri" w:hAnsi="Calibri"/>
          <w:b/>
          <w:bCs/>
          <w:color w:val="333333"/>
          <w:sz w:val="24"/>
          <w:szCs w:val="24"/>
        </w:rPr>
        <w:t xml:space="preserve">3.  Formula-Based Valuation (if elected)</w:t>
      </w:r>
    </w:p>
    <w:p>
      <w:pPr>
        <w:spacing w:after="160" w:before="0" w:line="276"/>
        <w:jc w:val="both"/>
      </w:pPr>
      <w:r>
        <w:rPr>
          <w:rFonts w:ascii="Calibri" w:cs="Calibri" w:eastAsia="Calibri" w:hAnsi="Calibri"/>
          <w:color w:val="000000"/>
          <w:sz w:val="24"/>
          <w:szCs w:val="24"/>
        </w:rPr>
        <w:t xml:space="preserve">If the Committee elects a formula-based approach, the Fair Market Value shall be calculated as follows:</w:t>
      </w:r>
    </w:p>
    <w:p>
      <w:pPr>
        <w:spacing w:after="0"/>
      </w:pPr>
    </w:p>
    <w:p>
      <w:pPr>
        <w:spacing w:after="120" w:before="60"/>
        <w:jc w:val="center"/>
      </w:pPr>
      <w:r>
        <w:rPr>
          <w:rFonts w:ascii="Calibri" w:cs="Calibri" w:eastAsia="Calibri" w:hAnsi="Calibri"/>
          <w:b/>
          <w:bCs/>
          <w:sz w:val="24"/>
          <w:szCs w:val="24"/>
        </w:rPr>
        <w:t xml:space="preserve">Total Enterprise Value = </w:t>
      </w:r>
      <w:r>
        <w:rPr>
          <w:rFonts w:ascii="Calibri" w:cs="Calibri" w:eastAsia="Calibri" w:hAnsi="Calibri"/>
          <w:b/>
          <w:bCs/>
          <w:color w:val="2B4C7E"/>
          <w:sz w:val="24"/>
          <w:szCs w:val="24"/>
          <w:highlight w:val="yellow"/>
          <w:highlightCs w:val="yellow"/>
        </w:rPr>
        <w:t xml:space="preserve">[MULTIPLE]</w:t>
      </w:r>
      <w:r>
        <w:rPr>
          <w:rFonts w:ascii="Calibri" w:cs="Calibri" w:eastAsia="Calibri" w:hAnsi="Calibri"/>
          <w:color w:val="000000"/>
          <w:sz w:val="24"/>
          <w:szCs w:val="24"/>
        </w:rPr>
        <w:t xml:space="preserve">  x  </w:t>
      </w:r>
      <w:r>
        <w:rPr>
          <w:rFonts w:ascii="Calibri" w:cs="Calibri" w:eastAsia="Calibri" w:hAnsi="Calibri"/>
          <w:b/>
          <w:bCs/>
          <w:color w:val="2B4C7E"/>
          <w:sz w:val="24"/>
          <w:szCs w:val="24"/>
          <w:highlight w:val="yellow"/>
          <w:highlightCs w:val="yellow"/>
        </w:rPr>
        <w:t xml:space="preserve">[EBITDA / REVENUE / OTHER METRIC]</w:t>
      </w:r>
    </w:p>
    <w:p>
      <w:pPr>
        <w:spacing w:after="0"/>
      </w:pPr>
    </w:p>
    <w:p>
      <w:pPr>
        <w:spacing w:after="160" w:before="0" w:line="276"/>
        <w:jc w:val="both"/>
      </w:pPr>
      <w:r>
        <w:rPr>
          <w:rFonts w:ascii="Calibri" w:cs="Calibri" w:eastAsia="Calibri" w:hAnsi="Calibri"/>
          <w:color w:val="000000"/>
          <w:sz w:val="24"/>
          <w:szCs w:val="24"/>
        </w:rPr>
        <w:t xml:space="preserve">Fair Market Value Per Unit = (Total Enterprise Value - Funded Indebtedness) / </w:t>
      </w:r>
      <w:r>
        <w:rPr>
          <w:rFonts w:ascii="Calibri" w:cs="Calibri" w:eastAsia="Calibri" w:hAnsi="Calibri"/>
          <w:b/>
          <w:bCs/>
          <w:color w:val="2B4C7E"/>
          <w:sz w:val="24"/>
          <w:szCs w:val="24"/>
          <w:highlight w:val="yellow"/>
          <w:highlightCs w:val="yellow"/>
        </w:rPr>
        <w:t xml:space="preserve">[TOTAL FULLY DILUTED UNITS]</w:t>
      </w:r>
    </w:p>
    <w:p>
      <w:pPr>
        <w:spacing w:after="0"/>
      </w:pPr>
    </w:p>
    <w:p>
      <w:pPr>
        <w:pStyle w:val="Heading3"/>
        <w:spacing w:after="120" w:before="240"/>
      </w:pPr>
      <w:r>
        <w:rPr>
          <w:rFonts w:ascii="Calibri" w:cs="Calibri" w:eastAsia="Calibri" w:hAnsi="Calibri"/>
          <w:b/>
          <w:bCs/>
          <w:color w:val="333333"/>
          <w:sz w:val="24"/>
          <w:szCs w:val="24"/>
        </w:rPr>
        <w:t xml:space="preserve">4.  Discounts and Premiums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2B4C7E" w:val="clear"/>
            <w:vAlign w:val="center"/>
          </w:tcPr>
          <w:p>
            <w:pPr>
              <w:jc w:val="center"/>
            </w:pPr>
            <w:r>
              <w:rPr>
                <w:rFonts w:ascii="Calibri" w:cs="Calibri" w:eastAsia="Calibri" w:hAnsi="Calibri"/>
                <w:b/>
                <w:bCs/>
                <w:color w:val="FFFFFF"/>
                <w:sz w:val="20"/>
                <w:szCs w:val="20"/>
              </w:rPr>
              <w:t xml:space="preserve">Adjustment</w:t>
            </w:r>
          </w:p>
        </w:tc>
        <w:tc>
          <w:tcPr>
            <w:tcW w:type="dxa" w:w="3120"/>
            <w:shd w:fill="2B4C7E" w:val="clear"/>
            <w:vAlign w:val="center"/>
          </w:tcPr>
          <w:p>
            <w:pPr>
              <w:jc w:val="center"/>
            </w:pPr>
            <w:r>
              <w:rPr>
                <w:rFonts w:ascii="Calibri" w:cs="Calibri" w:eastAsia="Calibri" w:hAnsi="Calibri"/>
                <w:b/>
                <w:bCs/>
                <w:color w:val="FFFFFF"/>
                <w:sz w:val="20"/>
                <w:szCs w:val="20"/>
              </w:rPr>
              <w:t xml:space="preserve">Typical Range</w:t>
            </w:r>
          </w:p>
        </w:tc>
        <w:tc>
          <w:tcPr>
            <w:tcW w:type="dxa" w:w="3120"/>
            <w:shd w:fill="2B4C7E" w:val="clear"/>
            <w:vAlign w:val="center"/>
          </w:tcPr>
          <w:p>
            <w:pPr>
              <w:jc w:val="center"/>
            </w:pPr>
            <w:r>
              <w:rPr>
                <w:rFonts w:ascii="Calibri" w:cs="Calibri" w:eastAsia="Calibri" w:hAnsi="Calibri"/>
                <w:b/>
                <w:bCs/>
                <w:color w:val="FFFFFF"/>
                <w:sz w:val="20"/>
                <w:szCs w:val="20"/>
              </w:rPr>
              <w:t xml:space="preserve">Application</w:t>
            </w:r>
          </w:p>
        </w:tc>
      </w:tr>
      <w:tr>
        <w:tc>
          <w:tcPr>
            <w:tcW w:type="dxa" w:w="3120"/>
            <w:vAlign w:val="center"/>
          </w:tcPr>
          <w:p>
            <w:pPr>
              <w:spacing w:after="40" w:before="40"/>
              <w:jc w:val="left"/>
            </w:pPr>
            <w:r>
              <w:rPr>
                <w:rFonts w:ascii="Calibri" w:cs="Calibri" w:eastAsia="Calibri" w:hAnsi="Calibri"/>
                <w:color w:val="000000"/>
                <w:sz w:val="20"/>
                <w:szCs w:val="20"/>
              </w:rPr>
              <w:t xml:space="preserve">Discount for Lack of Marketability (DLOM)</w:t>
            </w:r>
          </w:p>
        </w:tc>
        <w:tc>
          <w:tcPr>
            <w:tcW w:type="dxa" w:w="3120"/>
            <w:vAlign w:val="center"/>
          </w:tcPr>
          <w:p>
            <w:pPr>
              <w:spacing w:after="40" w:before="40"/>
              <w:jc w:val="center"/>
            </w:pPr>
            <w:r>
              <w:rPr>
                <w:rFonts w:ascii="Calibri" w:cs="Calibri" w:eastAsia="Calibri" w:hAnsi="Calibri"/>
                <w:color w:val="000000"/>
                <w:sz w:val="20"/>
                <w:szCs w:val="20"/>
              </w:rPr>
              <w:t xml:space="preserve">15% - 35%</w:t>
            </w:r>
          </w:p>
        </w:tc>
        <w:tc>
          <w:tcPr>
            <w:tcW w:type="dxa" w:w="3120"/>
            <w:vAlign w:val="center"/>
          </w:tcPr>
          <w:p>
            <w:pPr>
              <w:spacing w:after="40" w:before="40"/>
              <w:jc w:val="left"/>
            </w:pPr>
            <w:r>
              <w:rPr>
                <w:rFonts w:ascii="Calibri" w:cs="Calibri" w:eastAsia="Calibri" w:hAnsi="Calibri"/>
                <w:color w:val="000000"/>
                <w:sz w:val="20"/>
                <w:szCs w:val="20"/>
              </w:rPr>
              <w:t xml:space="preserve">Applied to minority interests in private companies</w:t>
            </w:r>
          </w:p>
        </w:tc>
      </w:tr>
      <w:tr>
        <w:tc>
          <w:tcPr>
            <w:tcW w:type="dxa" w:w="3120"/>
            <w:shd w:fill="F2F2F2" w:val="clear"/>
            <w:vAlign w:val="center"/>
          </w:tcPr>
          <w:p>
            <w:pPr>
              <w:spacing w:after="40" w:before="40"/>
              <w:jc w:val="left"/>
            </w:pPr>
            <w:r>
              <w:rPr>
                <w:rFonts w:ascii="Calibri" w:cs="Calibri" w:eastAsia="Calibri" w:hAnsi="Calibri"/>
                <w:color w:val="000000"/>
                <w:sz w:val="20"/>
                <w:szCs w:val="20"/>
              </w:rPr>
              <w:t xml:space="preserve">Discount for Lack of Control (DLOC)</w:t>
            </w:r>
          </w:p>
        </w:tc>
        <w:tc>
          <w:tcPr>
            <w:tcW w:type="dxa" w:w="3120"/>
            <w:shd w:fill="F2F2F2" w:val="clear"/>
            <w:vAlign w:val="center"/>
          </w:tcPr>
          <w:p>
            <w:pPr>
              <w:spacing w:after="40" w:before="40"/>
              <w:jc w:val="center"/>
            </w:pPr>
            <w:r>
              <w:rPr>
                <w:rFonts w:ascii="Calibri" w:cs="Calibri" w:eastAsia="Calibri" w:hAnsi="Calibri"/>
                <w:color w:val="000000"/>
                <w:sz w:val="20"/>
                <w:szCs w:val="20"/>
              </w:rPr>
              <w:t xml:space="preserve">10% - 30%</w:t>
            </w:r>
          </w:p>
        </w:tc>
        <w:tc>
          <w:tcPr>
            <w:tcW w:type="dxa" w:w="3120"/>
            <w:shd w:fill="F2F2F2" w:val="clear"/>
            <w:vAlign w:val="center"/>
          </w:tcPr>
          <w:p>
            <w:pPr>
              <w:spacing w:after="40" w:before="40"/>
              <w:jc w:val="left"/>
            </w:pPr>
            <w:r>
              <w:rPr>
                <w:rFonts w:ascii="Calibri" w:cs="Calibri" w:eastAsia="Calibri" w:hAnsi="Calibri"/>
                <w:color w:val="000000"/>
                <w:sz w:val="20"/>
                <w:szCs w:val="20"/>
              </w:rPr>
              <w:t xml:space="preserve">Applied when valuing non-controlling interests</w:t>
            </w:r>
          </w:p>
        </w:tc>
      </w:tr>
      <w:tr>
        <w:tc>
          <w:tcPr>
            <w:tcW w:type="dxa" w:w="3120"/>
            <w:vAlign w:val="center"/>
          </w:tcPr>
          <w:p>
            <w:pPr>
              <w:spacing w:after="40" w:before="40"/>
              <w:jc w:val="left"/>
            </w:pPr>
            <w:r>
              <w:rPr>
                <w:rFonts w:ascii="Calibri" w:cs="Calibri" w:eastAsia="Calibri" w:hAnsi="Calibri"/>
                <w:color w:val="000000"/>
                <w:sz w:val="20"/>
                <w:szCs w:val="20"/>
              </w:rPr>
              <w:t xml:space="preserve">Control Premium</w:t>
            </w:r>
          </w:p>
        </w:tc>
        <w:tc>
          <w:tcPr>
            <w:tcW w:type="dxa" w:w="3120"/>
            <w:vAlign w:val="center"/>
          </w:tcPr>
          <w:p>
            <w:pPr>
              <w:spacing w:after="40" w:before="40"/>
              <w:jc w:val="center"/>
            </w:pPr>
            <w:r>
              <w:rPr>
                <w:rFonts w:ascii="Calibri" w:cs="Calibri" w:eastAsia="Calibri" w:hAnsi="Calibri"/>
                <w:color w:val="000000"/>
                <w:sz w:val="20"/>
                <w:szCs w:val="20"/>
              </w:rPr>
              <w:t xml:space="preserve">20% - 40%</w:t>
            </w:r>
          </w:p>
        </w:tc>
        <w:tc>
          <w:tcPr>
            <w:tcW w:type="dxa" w:w="3120"/>
            <w:vAlign w:val="center"/>
          </w:tcPr>
          <w:p>
            <w:pPr>
              <w:spacing w:after="40" w:before="40"/>
              <w:jc w:val="left"/>
            </w:pPr>
            <w:r>
              <w:rPr>
                <w:rFonts w:ascii="Calibri" w:cs="Calibri" w:eastAsia="Calibri" w:hAnsi="Calibri"/>
                <w:color w:val="000000"/>
                <w:sz w:val="20"/>
                <w:szCs w:val="20"/>
              </w:rPr>
              <w:t xml:space="preserve">Applied in Change of Control transactions</w:t>
            </w:r>
          </w:p>
        </w:tc>
      </w:tr>
      <w:tr>
        <w:tc>
          <w:tcPr>
            <w:tcW w:type="dxa" w:w="3120"/>
            <w:shd w:fill="F2F2F2" w:val="clear"/>
            <w:vAlign w:val="center"/>
          </w:tcPr>
          <w:p>
            <w:pPr>
              <w:spacing w:after="40" w:before="40"/>
              <w:jc w:val="left"/>
            </w:pPr>
            <w:r>
              <w:rPr>
                <w:rFonts w:ascii="Calibri" w:cs="Calibri" w:eastAsia="Calibri" w:hAnsi="Calibri"/>
                <w:color w:val="000000"/>
                <w:sz w:val="20"/>
                <w:szCs w:val="20"/>
              </w:rPr>
              <w:t xml:space="preserve">Key Person Discount</w:t>
            </w:r>
          </w:p>
        </w:tc>
        <w:tc>
          <w:tcPr>
            <w:tcW w:type="dxa" w:w="3120"/>
            <w:shd w:fill="F2F2F2" w:val="clear"/>
            <w:vAlign w:val="center"/>
          </w:tcPr>
          <w:p>
            <w:pPr>
              <w:spacing w:after="40" w:before="40"/>
              <w:jc w:val="center"/>
            </w:pPr>
            <w:r>
              <w:rPr>
                <w:rFonts w:ascii="Calibri" w:cs="Calibri" w:eastAsia="Calibri" w:hAnsi="Calibri"/>
                <w:color w:val="000000"/>
                <w:sz w:val="20"/>
                <w:szCs w:val="20"/>
              </w:rPr>
              <w:t xml:space="preserve">5% - 25%</w:t>
            </w:r>
          </w:p>
        </w:tc>
        <w:tc>
          <w:tcPr>
            <w:tcW w:type="dxa" w:w="3120"/>
            <w:shd w:fill="F2F2F2" w:val="clear"/>
            <w:vAlign w:val="center"/>
          </w:tcPr>
          <w:p>
            <w:pPr>
              <w:spacing w:after="40" w:before="40"/>
              <w:jc w:val="left"/>
            </w:pPr>
            <w:r>
              <w:rPr>
                <w:rFonts w:ascii="Calibri" w:cs="Calibri" w:eastAsia="Calibri" w:hAnsi="Calibri"/>
                <w:color w:val="000000"/>
                <w:sz w:val="20"/>
                <w:szCs w:val="20"/>
              </w:rPr>
              <w:t xml:space="preserve">Applied when value depends on key individuals</w:t>
            </w:r>
          </w:p>
        </w:tc>
      </w:tr>
    </w:tbl>
    <w:p>
      <w:pPr>
        <w:spacing w:after="0"/>
      </w:pPr>
    </w:p>
    <w:p>
      <w:pPr>
        <w:pStyle w:val="Heading3"/>
        <w:spacing w:after="120" w:before="240"/>
      </w:pPr>
      <w:r>
        <w:rPr>
          <w:rFonts w:ascii="Calibri" w:cs="Calibri" w:eastAsia="Calibri" w:hAnsi="Calibri"/>
          <w:b/>
          <w:bCs/>
          <w:color w:val="333333"/>
          <w:sz w:val="24"/>
          <w:szCs w:val="24"/>
        </w:rPr>
        <w:t xml:space="preserve">5.  Valuation Report Contents</w:t>
      </w:r>
    </w:p>
    <w:p>
      <w:pPr>
        <w:spacing w:after="160" w:before="0" w:line="276"/>
        <w:jc w:val="both"/>
      </w:pPr>
      <w:r>
        <w:rPr>
          <w:rFonts w:ascii="Calibri" w:cs="Calibri" w:eastAsia="Calibri" w:hAnsi="Calibri"/>
          <w:color w:val="000000"/>
          <w:sz w:val="24"/>
          <w:szCs w:val="24"/>
        </w:rPr>
        <w:t xml:space="preserve">Each formal valuation report prepared for the Company should include:</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Effective date of valuation</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Standard of value applied (Fair Market Value)</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Valuation methodologies used and rationale for selection</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Key assumptions and inputs</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color w:val="000000"/>
          <w:sz w:val="24"/>
          <w:szCs w:val="24"/>
        </w:rPr>
        <w:t xml:space="preserve">Financial analysis and adjustments</w:t>
      </w:r>
    </w:p>
    <w:p>
      <w:pPr>
        <w:spacing w:after="160" w:before="0" w:line="276"/>
        <w:ind w:left="720"/>
        <w:jc w:val="both"/>
      </w:pPr>
      <w:r>
        <w:rPr>
          <w:rFonts w:ascii="Calibri" w:cs="Calibri" w:eastAsia="Calibri" w:hAnsi="Calibri"/>
          <w:color w:val="000000"/>
          <w:sz w:val="24"/>
          <w:szCs w:val="24"/>
        </w:rPr>
        <w:t xml:space="preserve">(f)  </w:t>
      </w:r>
      <w:r>
        <w:rPr>
          <w:rFonts w:ascii="Calibri" w:cs="Calibri" w:eastAsia="Calibri" w:hAnsi="Calibri"/>
          <w:color w:val="000000"/>
          <w:sz w:val="24"/>
          <w:szCs w:val="24"/>
        </w:rPr>
        <w:t xml:space="preserve">Conclusion of value</w:t>
      </w:r>
    </w:p>
    <w:p>
      <w:pPr>
        <w:spacing w:after="160" w:before="0" w:line="276"/>
        <w:ind w:left="720"/>
        <w:jc w:val="both"/>
      </w:pPr>
      <w:r>
        <w:rPr>
          <w:rFonts w:ascii="Calibri" w:cs="Calibri" w:eastAsia="Calibri" w:hAnsi="Calibri"/>
          <w:color w:val="000000"/>
          <w:sz w:val="24"/>
          <w:szCs w:val="24"/>
        </w:rPr>
        <w:t xml:space="preserve">(g)  </w:t>
      </w:r>
      <w:r>
        <w:rPr>
          <w:rFonts w:ascii="Calibri" w:cs="Calibri" w:eastAsia="Calibri" w:hAnsi="Calibri"/>
          <w:color w:val="000000"/>
          <w:sz w:val="24"/>
          <w:szCs w:val="24"/>
        </w:rPr>
        <w:t xml:space="preserve">Qualifications and independence of the appraiser</w:t>
      </w:r>
    </w:p>
    <w:p>
      <w:pPr>
        <w:spacing w:after="160" w:before="0" w:line="276"/>
        <w:ind w:left="720"/>
        <w:jc w:val="both"/>
      </w:pPr>
      <w:r>
        <w:rPr>
          <w:rFonts w:ascii="Calibri" w:cs="Calibri" w:eastAsia="Calibri" w:hAnsi="Calibri"/>
          <w:color w:val="000000"/>
          <w:sz w:val="24"/>
          <w:szCs w:val="24"/>
        </w:rPr>
        <w:t xml:space="preserve">(h)  </w:t>
      </w:r>
      <w:r>
        <w:rPr>
          <w:rFonts w:ascii="Calibri" w:cs="Calibri" w:eastAsia="Calibri" w:hAnsi="Calibri"/>
          <w:color w:val="000000"/>
          <w:sz w:val="24"/>
          <w:szCs w:val="24"/>
        </w:rPr>
        <w:t xml:space="preserve">Compliance with applicable valuation standards (e.g., ASA, AICPA, Section 409A)</w:t>
      </w:r>
    </w:p>
    <w:p>
      <w:r>
        <w:br w:type="page"/>
      </w:r>
    </w:p>
    <w:p>
      <w:pPr>
        <w:pStyle w:val="Heading1"/>
        <w:spacing w:after="200" w:before="360"/>
      </w:pPr>
      <w:r>
        <w:rPr>
          <w:rFonts w:ascii="Calibri" w:cs="Calibri" w:eastAsia="Calibri" w:hAnsi="Calibri"/>
          <w:b/>
          <w:bCs/>
          <w:color w:val="333333"/>
          <w:sz w:val="28"/>
          <w:szCs w:val="28"/>
        </w:rPr>
        <w:t xml:space="preserve">EXHIBIT D: CHANGE OF CONTROL SETTLEMENT WORKSHEET</w:t>
      </w:r>
    </w:p>
    <w:p>
      <w:pPr>
        <w:spacing w:after="0"/>
      </w:pPr>
    </w:p>
    <w:p>
      <w:pPr>
        <w:spacing w:after="160" w:before="0" w:line="276"/>
        <w:jc w:val="both"/>
      </w:pPr>
      <w:r>
        <w:rPr>
          <w:rFonts w:ascii="Calibri" w:cs="Calibri" w:eastAsia="Calibri" w:hAnsi="Calibri"/>
          <w:i/>
          <w:iCs/>
          <w:color w:val="808080"/>
          <w:sz w:val="24"/>
          <w:szCs w:val="24"/>
        </w:rPr>
        <w:t xml:space="preserve">This worksheet is provided to facilitate the calculation of settlement amounts upon a Change of Control. All calculations should be verified by the Company's legal and financial advisors.</w:t>
      </w:r>
    </w:p>
    <w:p>
      <w:pPr>
        <w:spacing w:after="0"/>
      </w:pPr>
    </w:p>
    <w:p>
      <w:pPr>
        <w:pStyle w:val="Heading3"/>
        <w:spacing w:after="120" w:before="240"/>
      </w:pPr>
      <w:r>
        <w:rPr>
          <w:rFonts w:ascii="Calibri" w:cs="Calibri" w:eastAsia="Calibri" w:hAnsi="Calibri"/>
          <w:b/>
          <w:bCs/>
          <w:color w:val="333333"/>
          <w:sz w:val="24"/>
          <w:szCs w:val="24"/>
        </w:rPr>
        <w:t xml:space="preserve">Part 1: Transaction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2B4C7E" w:val="clear"/>
            <w:vAlign w:val="center"/>
          </w:tcPr>
          <w:p>
            <w:pPr>
              <w:jc w:val="center"/>
            </w:pPr>
            <w:r>
              <w:rPr>
                <w:rFonts w:ascii="Calibri" w:cs="Calibri" w:eastAsia="Calibri" w:hAnsi="Calibri"/>
                <w:b/>
                <w:bCs/>
                <w:color w:val="FFFFFF"/>
                <w:sz w:val="20"/>
                <w:szCs w:val="20"/>
              </w:rPr>
              <w:t xml:space="preserve">Item</w:t>
            </w:r>
          </w:p>
        </w:tc>
        <w:tc>
          <w:tcPr>
            <w:tcW w:type="dxa" w:w="4680"/>
            <w:shd w:fill="2B4C7E" w:val="clear"/>
            <w:vAlign w:val="center"/>
          </w:tcPr>
          <w:p>
            <w:pPr>
              <w:jc w:val="center"/>
            </w:pPr>
            <w:r>
              <w:rPr>
                <w:rFonts w:ascii="Calibri" w:cs="Calibri" w:eastAsia="Calibri" w:hAnsi="Calibri"/>
                <w:b/>
                <w:bCs/>
                <w:color w:val="FFFFFF"/>
                <w:sz w:val="20"/>
                <w:szCs w:val="20"/>
              </w:rPr>
              <w:t xml:space="preserve">Value</w:t>
            </w:r>
          </w:p>
        </w:tc>
      </w:tr>
      <w:tr>
        <w:tc>
          <w:tcPr>
            <w:tcW w:type="dxa" w:w="4680"/>
            <w:vAlign w:val="center"/>
          </w:tcPr>
          <w:p>
            <w:pPr>
              <w:spacing w:after="40" w:before="40"/>
              <w:jc w:val="left"/>
            </w:pPr>
            <w:r>
              <w:rPr>
                <w:rFonts w:ascii="Calibri" w:cs="Calibri" w:eastAsia="Calibri" w:hAnsi="Calibri"/>
                <w:color w:val="000000"/>
                <w:sz w:val="20"/>
                <w:szCs w:val="20"/>
              </w:rPr>
              <w:t xml:space="preserve">Date of Change of Control:</w:t>
            </w:r>
          </w:p>
        </w:tc>
        <w:tc>
          <w:tcPr>
            <w:tcW w:type="dxa" w:w="4680"/>
            <w:vAlign w:val="center"/>
          </w:tcPr>
          <w:p>
            <w:pPr>
              <w:spacing w:after="40" w:before="40"/>
              <w:jc w:val="left"/>
            </w:pPr>
            <w:r>
              <w:rPr>
                <w:rFonts w:ascii="Calibri" w:cs="Calibri" w:eastAsia="Calibri" w:hAnsi="Calibri"/>
                <w:color w:val="000000"/>
                <w:sz w:val="20"/>
                <w:szCs w:val="20"/>
              </w:rPr>
              <w:t xml:space="preserve">[DATE]</w:t>
            </w:r>
          </w:p>
        </w:tc>
      </w:tr>
      <w:tr>
        <w:tc>
          <w:tcPr>
            <w:tcW w:type="dxa" w:w="4680"/>
            <w:shd w:fill="F2F2F2" w:val="clear"/>
            <w:vAlign w:val="center"/>
          </w:tcPr>
          <w:p>
            <w:pPr>
              <w:spacing w:after="40" w:before="40"/>
              <w:jc w:val="left"/>
            </w:pPr>
            <w:r>
              <w:rPr>
                <w:rFonts w:ascii="Calibri" w:cs="Calibri" w:eastAsia="Calibri" w:hAnsi="Calibri"/>
                <w:color w:val="000000"/>
                <w:sz w:val="20"/>
                <w:szCs w:val="20"/>
              </w:rPr>
              <w:t xml:space="preserve">Type of Transaction:</w:t>
            </w:r>
          </w:p>
        </w:tc>
        <w:tc>
          <w:tcPr>
            <w:tcW w:type="dxa" w:w="4680"/>
            <w:shd w:fill="F2F2F2" w:val="clear"/>
            <w:vAlign w:val="center"/>
          </w:tcPr>
          <w:p>
            <w:pPr>
              <w:spacing w:after="40" w:before="40"/>
              <w:jc w:val="left"/>
            </w:pPr>
            <w:r>
              <w:rPr>
                <w:rFonts w:ascii="Calibri" w:cs="Calibri" w:eastAsia="Calibri" w:hAnsi="Calibri"/>
                <w:color w:val="000000"/>
                <w:sz w:val="20"/>
                <w:szCs w:val="20"/>
              </w:rPr>
              <w:t xml:space="preserve">[ASSET SALE / MERGER / EQUITY CHANGE / OTHER]</w:t>
            </w:r>
          </w:p>
        </w:tc>
      </w:tr>
      <w:tr>
        <w:tc>
          <w:tcPr>
            <w:tcW w:type="dxa" w:w="4680"/>
            <w:vAlign w:val="center"/>
          </w:tcPr>
          <w:p>
            <w:pPr>
              <w:spacing w:after="40" w:before="40"/>
              <w:jc w:val="left"/>
            </w:pPr>
            <w:r>
              <w:rPr>
                <w:rFonts w:ascii="Calibri" w:cs="Calibri" w:eastAsia="Calibri" w:hAnsi="Calibri"/>
                <w:color w:val="000000"/>
                <w:sz w:val="20"/>
                <w:szCs w:val="20"/>
              </w:rPr>
              <w:t xml:space="preserve">Total Transaction Consideration:</w:t>
            </w:r>
          </w:p>
        </w:tc>
        <w:tc>
          <w:tcPr>
            <w:tcW w:type="dxa" w:w="4680"/>
            <w:vAlign w:val="center"/>
          </w:tcPr>
          <w:p>
            <w:pPr>
              <w:spacing w:after="40" w:before="40"/>
              <w:jc w:val="left"/>
            </w:pPr>
            <w:r>
              <w:rPr>
                <w:rFonts w:ascii="Calibri" w:cs="Calibri" w:eastAsia="Calibri" w:hAnsi="Calibri"/>
                <w:color w:val="000000"/>
                <w:sz w:val="20"/>
                <w:szCs w:val="20"/>
              </w:rPr>
              <w:t xml:space="preserve">$[AMOUNT]</w:t>
            </w:r>
          </w:p>
        </w:tc>
      </w:tr>
      <w:tr>
        <w:tc>
          <w:tcPr>
            <w:tcW w:type="dxa" w:w="4680"/>
            <w:shd w:fill="F2F2F2" w:val="clear"/>
            <w:vAlign w:val="center"/>
          </w:tcPr>
          <w:p>
            <w:pPr>
              <w:spacing w:after="40" w:before="40"/>
              <w:jc w:val="left"/>
            </w:pPr>
            <w:r>
              <w:rPr>
                <w:rFonts w:ascii="Calibri" w:cs="Calibri" w:eastAsia="Calibri" w:hAnsi="Calibri"/>
                <w:color w:val="000000"/>
                <w:sz w:val="20"/>
                <w:szCs w:val="20"/>
              </w:rPr>
              <w:t xml:space="preserve">Per-Unit Consideration to Equity Holders:</w:t>
            </w:r>
          </w:p>
        </w:tc>
        <w:tc>
          <w:tcPr>
            <w:tcW w:type="dxa" w:w="4680"/>
            <w:shd w:fill="F2F2F2" w:val="clear"/>
            <w:vAlign w:val="center"/>
          </w:tcPr>
          <w:p>
            <w:pPr>
              <w:spacing w:after="40" w:before="40"/>
              <w:jc w:val="left"/>
            </w:pPr>
            <w:r>
              <w:rPr>
                <w:rFonts w:ascii="Calibri" w:cs="Calibri" w:eastAsia="Calibri" w:hAnsi="Calibri"/>
                <w:color w:val="000000"/>
                <w:sz w:val="20"/>
                <w:szCs w:val="20"/>
              </w:rPr>
              <w:t xml:space="preserve">$[AMOUNT]</w:t>
            </w:r>
          </w:p>
        </w:tc>
      </w:tr>
      <w:tr>
        <w:tc>
          <w:tcPr>
            <w:tcW w:type="dxa" w:w="4680"/>
            <w:vAlign w:val="center"/>
          </w:tcPr>
          <w:p>
            <w:pPr>
              <w:spacing w:after="40" w:before="40"/>
              <w:jc w:val="left"/>
            </w:pPr>
            <w:r>
              <w:rPr>
                <w:rFonts w:ascii="Calibri" w:cs="Calibri" w:eastAsia="Calibri" w:hAnsi="Calibri"/>
                <w:color w:val="000000"/>
                <w:sz w:val="20"/>
                <w:szCs w:val="20"/>
              </w:rPr>
              <w:t xml:space="preserve">Successor Entity (if applicable):</w:t>
            </w:r>
          </w:p>
        </w:tc>
        <w:tc>
          <w:tcPr>
            <w:tcW w:type="dxa" w:w="4680"/>
            <w:vAlign w:val="center"/>
          </w:tcPr>
          <w:p>
            <w:pPr>
              <w:spacing w:after="40" w:before="40"/>
              <w:jc w:val="left"/>
            </w:pPr>
            <w:r>
              <w:rPr>
                <w:rFonts w:ascii="Calibri" w:cs="Calibri" w:eastAsia="Calibri" w:hAnsi="Calibri"/>
                <w:color w:val="000000"/>
                <w:sz w:val="20"/>
                <w:szCs w:val="20"/>
              </w:rPr>
              <w:t xml:space="preserve">[NAME]</w:t>
            </w:r>
          </w:p>
        </w:tc>
      </w:tr>
      <w:tr>
        <w:tc>
          <w:tcPr>
            <w:tcW w:type="dxa" w:w="4680"/>
            <w:shd w:fill="F2F2F2" w:val="clear"/>
            <w:vAlign w:val="center"/>
          </w:tcPr>
          <w:p>
            <w:pPr>
              <w:spacing w:after="40" w:before="40"/>
              <w:jc w:val="left"/>
            </w:pPr>
            <w:r>
              <w:rPr>
                <w:rFonts w:ascii="Calibri" w:cs="Calibri" w:eastAsia="Calibri" w:hAnsi="Calibri"/>
                <w:color w:val="000000"/>
                <w:sz w:val="20"/>
                <w:szCs w:val="20"/>
              </w:rPr>
              <w:t xml:space="preserve">Assumption/Substitution of Phantom Units:</w:t>
            </w:r>
          </w:p>
        </w:tc>
        <w:tc>
          <w:tcPr>
            <w:tcW w:type="dxa" w:w="4680"/>
            <w:shd w:fill="F2F2F2" w:val="clear"/>
            <w:vAlign w:val="center"/>
          </w:tcPr>
          <w:p>
            <w:pPr>
              <w:spacing w:after="40" w:before="40"/>
              <w:jc w:val="left"/>
            </w:pPr>
            <w:r>
              <w:rPr>
                <w:rFonts w:ascii="Calibri" w:cs="Calibri" w:eastAsia="Calibri" w:hAnsi="Calibri"/>
                <w:color w:val="000000"/>
                <w:sz w:val="20"/>
                <w:szCs w:val="20"/>
              </w:rPr>
              <w:t xml:space="preserve">[YES / NO]</w:t>
            </w:r>
          </w:p>
        </w:tc>
      </w:tr>
    </w:tbl>
    <w:p>
      <w:pPr>
        <w:spacing w:after="0"/>
      </w:pPr>
    </w:p>
    <w:p>
      <w:pPr>
        <w:pStyle w:val="Heading3"/>
        <w:spacing w:after="120" w:before="240"/>
      </w:pPr>
      <w:r>
        <w:rPr>
          <w:rFonts w:ascii="Calibri" w:cs="Calibri" w:eastAsia="Calibri" w:hAnsi="Calibri"/>
          <w:b/>
          <w:bCs/>
          <w:color w:val="333333"/>
          <w:sz w:val="24"/>
          <w:szCs w:val="24"/>
        </w:rPr>
        <w:t xml:space="preserve">Part 2: Participant Settlement Calculation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shd w:fill="2B4C7E" w:val="clear"/>
            <w:vAlign w:val="center"/>
          </w:tcPr>
          <w:p>
            <w:pPr>
              <w:jc w:val="center"/>
            </w:pPr>
            <w:r>
              <w:rPr>
                <w:rFonts w:ascii="Calibri" w:cs="Calibri" w:eastAsia="Calibri" w:hAnsi="Calibri"/>
                <w:b/>
                <w:bCs/>
                <w:color w:val="FFFFFF"/>
                <w:sz w:val="20"/>
                <w:szCs w:val="20"/>
              </w:rPr>
              <w:t xml:space="preserve">Participant</w:t>
            </w:r>
          </w:p>
        </w:tc>
        <w:tc>
          <w:tcPr>
            <w:tcW w:type="dxa" w:w="1560"/>
            <w:shd w:fill="2B4C7E" w:val="clear"/>
            <w:vAlign w:val="center"/>
          </w:tcPr>
          <w:p>
            <w:pPr>
              <w:jc w:val="center"/>
            </w:pPr>
            <w:r>
              <w:rPr>
                <w:rFonts w:ascii="Calibri" w:cs="Calibri" w:eastAsia="Calibri" w:hAnsi="Calibri"/>
                <w:b/>
                <w:bCs/>
                <w:color w:val="FFFFFF"/>
                <w:sz w:val="20"/>
                <w:szCs w:val="20"/>
              </w:rPr>
              <w:t xml:space="preserve">Total Units</w:t>
            </w:r>
          </w:p>
        </w:tc>
        <w:tc>
          <w:tcPr>
            <w:tcW w:type="dxa" w:w="1560"/>
            <w:shd w:fill="2B4C7E" w:val="clear"/>
            <w:vAlign w:val="center"/>
          </w:tcPr>
          <w:p>
            <w:pPr>
              <w:jc w:val="center"/>
            </w:pPr>
            <w:r>
              <w:rPr>
                <w:rFonts w:ascii="Calibri" w:cs="Calibri" w:eastAsia="Calibri" w:hAnsi="Calibri"/>
                <w:b/>
                <w:bCs/>
                <w:color w:val="FFFFFF"/>
                <w:sz w:val="20"/>
                <w:szCs w:val="20"/>
              </w:rPr>
              <w:t xml:space="preserve">Vested Units</w:t>
            </w:r>
          </w:p>
        </w:tc>
        <w:tc>
          <w:tcPr>
            <w:tcW w:type="dxa" w:w="1560"/>
            <w:shd w:fill="2B4C7E" w:val="clear"/>
            <w:vAlign w:val="center"/>
          </w:tcPr>
          <w:p>
            <w:pPr>
              <w:jc w:val="center"/>
            </w:pPr>
            <w:r>
              <w:rPr>
                <w:rFonts w:ascii="Calibri" w:cs="Calibri" w:eastAsia="Calibri" w:hAnsi="Calibri"/>
                <w:b/>
                <w:bCs/>
                <w:color w:val="FFFFFF"/>
                <w:sz w:val="20"/>
                <w:szCs w:val="20"/>
              </w:rPr>
              <w:t xml:space="preserve">Base Value</w:t>
            </w:r>
          </w:p>
        </w:tc>
        <w:tc>
          <w:tcPr>
            <w:tcW w:type="dxa" w:w="1560"/>
            <w:shd w:fill="2B4C7E" w:val="clear"/>
            <w:vAlign w:val="center"/>
          </w:tcPr>
          <w:p>
            <w:pPr>
              <w:jc w:val="center"/>
            </w:pPr>
            <w:r>
              <w:rPr>
                <w:rFonts w:ascii="Calibri" w:cs="Calibri" w:eastAsia="Calibri" w:hAnsi="Calibri"/>
                <w:b/>
                <w:bCs/>
                <w:color w:val="FFFFFF"/>
                <w:sz w:val="20"/>
                <w:szCs w:val="20"/>
              </w:rPr>
              <w:t xml:space="preserve">FMV/Unit</w:t>
            </w:r>
          </w:p>
        </w:tc>
        <w:tc>
          <w:tcPr>
            <w:tcW w:type="dxa" w:w="1560"/>
            <w:shd w:fill="2B4C7E" w:val="clear"/>
            <w:vAlign w:val="center"/>
          </w:tcPr>
          <w:p>
            <w:pPr>
              <w:jc w:val="center"/>
            </w:pPr>
            <w:r>
              <w:rPr>
                <w:rFonts w:ascii="Calibri" w:cs="Calibri" w:eastAsia="Calibri" w:hAnsi="Calibri"/>
                <w:b/>
                <w:bCs/>
                <w:color w:val="FFFFFF"/>
                <w:sz w:val="20"/>
                <w:szCs w:val="20"/>
              </w:rPr>
              <w:t xml:space="preserve">Settlement</w:t>
            </w:r>
          </w:p>
        </w:tc>
      </w:tr>
      <w:tr>
        <w:tc>
          <w:tcPr>
            <w:tcW w:type="dxa" w:w="1560"/>
            <w:vAlign w:val="center"/>
          </w:tcPr>
          <w:p>
            <w:pPr>
              <w:spacing w:after="40" w:before="40"/>
              <w:jc w:val="left"/>
            </w:pPr>
            <w:r>
              <w:rPr>
                <w:rFonts w:ascii="Calibri" w:cs="Calibri" w:eastAsia="Calibri" w:hAnsi="Calibri"/>
                <w:color w:val="000000"/>
                <w:sz w:val="20"/>
                <w:szCs w:val="20"/>
              </w:rPr>
              <w:t xml:space="preserve">[Name]</w:t>
            </w:r>
          </w:p>
        </w:tc>
        <w:tc>
          <w:tcPr>
            <w:tcW w:type="dxa" w:w="1560"/>
            <w:vAlign w:val="center"/>
          </w:tcPr>
          <w:p>
            <w:pPr>
              <w:spacing w:after="40" w:before="40"/>
              <w:jc w:val="center"/>
            </w:pPr>
            <w:r>
              <w:rPr>
                <w:rFonts w:ascii="Calibri" w:cs="Calibri" w:eastAsia="Calibri" w:hAnsi="Calibri"/>
                <w:color w:val="000000"/>
                <w:sz w:val="20"/>
                <w:szCs w:val="20"/>
              </w:rPr>
              <w:t xml:space="preserve">[#]</w:t>
            </w:r>
          </w:p>
        </w:tc>
        <w:tc>
          <w:tcPr>
            <w:tcW w:type="dxa" w:w="1560"/>
            <w:vAlign w:val="center"/>
          </w:tcPr>
          <w:p>
            <w:pPr>
              <w:spacing w:after="40" w:before="40"/>
              <w:jc w:val="center"/>
            </w:pPr>
            <w:r>
              <w:rPr>
                <w:rFonts w:ascii="Calibri" w:cs="Calibri" w:eastAsia="Calibri" w:hAnsi="Calibri"/>
                <w:color w:val="000000"/>
                <w:sz w:val="20"/>
                <w:szCs w:val="20"/>
              </w:rPr>
              <w:t xml:space="preserve">[#]</w:t>
            </w:r>
          </w:p>
        </w:tc>
        <w:tc>
          <w:tcPr>
            <w:tcW w:type="dxa" w:w="1560"/>
            <w:vAlign w:val="center"/>
          </w:tcPr>
          <w:p>
            <w:pPr>
              <w:spacing w:after="40" w:before="40"/>
              <w:jc w:val="center"/>
            </w:pPr>
            <w:r>
              <w:rPr>
                <w:rFonts w:ascii="Calibri" w:cs="Calibri" w:eastAsia="Calibri" w:hAnsi="Calibri"/>
                <w:color w:val="000000"/>
                <w:sz w:val="20"/>
                <w:szCs w:val="20"/>
              </w:rPr>
              <w:t xml:space="preserve">$[__]</w:t>
            </w:r>
          </w:p>
        </w:tc>
        <w:tc>
          <w:tcPr>
            <w:tcW w:type="dxa" w:w="1560"/>
            <w:vAlign w:val="center"/>
          </w:tcPr>
          <w:p>
            <w:pPr>
              <w:spacing w:after="40" w:before="40"/>
              <w:jc w:val="center"/>
            </w:pPr>
            <w:r>
              <w:rPr>
                <w:rFonts w:ascii="Calibri" w:cs="Calibri" w:eastAsia="Calibri" w:hAnsi="Calibri"/>
                <w:color w:val="000000"/>
                <w:sz w:val="20"/>
                <w:szCs w:val="20"/>
              </w:rPr>
              <w:t xml:space="preserve">$[__]</w:t>
            </w:r>
          </w:p>
        </w:tc>
        <w:tc>
          <w:tcPr>
            <w:tcW w:type="dxa" w:w="1560"/>
            <w:vAlign w:val="center"/>
          </w:tcPr>
          <w:p>
            <w:pPr>
              <w:spacing w:after="40" w:before="40"/>
              <w:jc w:val="center"/>
            </w:pPr>
            <w:r>
              <w:rPr>
                <w:rFonts w:ascii="Calibri" w:cs="Calibri" w:eastAsia="Calibri" w:hAnsi="Calibri"/>
                <w:color w:val="000000"/>
                <w:sz w:val="20"/>
                <w:szCs w:val="20"/>
              </w:rPr>
              <w:t xml:space="preserve">$[__]</w:t>
            </w:r>
          </w:p>
        </w:tc>
      </w:tr>
      <w:tr>
        <w:tc>
          <w:tcPr>
            <w:tcW w:type="dxa" w:w="1560"/>
            <w:shd w:fill="F2F2F2" w:val="clear"/>
            <w:vAlign w:val="center"/>
          </w:tcPr>
          <w:p>
            <w:pPr>
              <w:spacing w:after="40" w:before="40"/>
              <w:jc w:val="left"/>
            </w:pPr>
            <w:r>
              <w:rPr>
                <w:rFonts w:ascii="Calibri" w:cs="Calibri" w:eastAsia="Calibri" w:hAnsi="Calibri"/>
                <w:color w:val="000000"/>
                <w:sz w:val="20"/>
                <w:szCs w:val="20"/>
              </w:rPr>
              <w:t xml:space="preserve">[Name]</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$[__]</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$[__]</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$[__]</w:t>
            </w:r>
          </w:p>
        </w:tc>
      </w:tr>
      <w:tr>
        <w:tc>
          <w:tcPr>
            <w:tcW w:type="dxa" w:w="1560"/>
            <w:vAlign w:val="center"/>
          </w:tcPr>
          <w:p>
            <w:pPr>
              <w:spacing w:after="40" w:before="40"/>
              <w:jc w:val="left"/>
            </w:pPr>
            <w:r>
              <w:rPr>
                <w:rFonts w:ascii="Calibri" w:cs="Calibri" w:eastAsia="Calibri" w:hAnsi="Calibri"/>
                <w:color w:val="000000"/>
                <w:sz w:val="20"/>
                <w:szCs w:val="20"/>
              </w:rPr>
              <w:t xml:space="preserve">[Name]</w:t>
            </w:r>
          </w:p>
        </w:tc>
        <w:tc>
          <w:tcPr>
            <w:tcW w:type="dxa" w:w="1560"/>
            <w:vAlign w:val="center"/>
          </w:tcPr>
          <w:p>
            <w:pPr>
              <w:spacing w:after="40" w:before="40"/>
              <w:jc w:val="center"/>
            </w:pPr>
            <w:r>
              <w:rPr>
                <w:rFonts w:ascii="Calibri" w:cs="Calibri" w:eastAsia="Calibri" w:hAnsi="Calibri"/>
                <w:color w:val="000000"/>
                <w:sz w:val="20"/>
                <w:szCs w:val="20"/>
              </w:rPr>
              <w:t xml:space="preserve">[#]</w:t>
            </w:r>
          </w:p>
        </w:tc>
        <w:tc>
          <w:tcPr>
            <w:tcW w:type="dxa" w:w="1560"/>
            <w:vAlign w:val="center"/>
          </w:tcPr>
          <w:p>
            <w:pPr>
              <w:spacing w:after="40" w:before="40"/>
              <w:jc w:val="center"/>
            </w:pPr>
            <w:r>
              <w:rPr>
                <w:rFonts w:ascii="Calibri" w:cs="Calibri" w:eastAsia="Calibri" w:hAnsi="Calibri"/>
                <w:color w:val="000000"/>
                <w:sz w:val="20"/>
                <w:szCs w:val="20"/>
              </w:rPr>
              <w:t xml:space="preserve">[#]</w:t>
            </w:r>
          </w:p>
        </w:tc>
        <w:tc>
          <w:tcPr>
            <w:tcW w:type="dxa" w:w="1560"/>
            <w:vAlign w:val="center"/>
          </w:tcPr>
          <w:p>
            <w:pPr>
              <w:spacing w:after="40" w:before="40"/>
              <w:jc w:val="center"/>
            </w:pPr>
            <w:r>
              <w:rPr>
                <w:rFonts w:ascii="Calibri" w:cs="Calibri" w:eastAsia="Calibri" w:hAnsi="Calibri"/>
                <w:color w:val="000000"/>
                <w:sz w:val="20"/>
                <w:szCs w:val="20"/>
              </w:rPr>
              <w:t xml:space="preserve">$[__]</w:t>
            </w:r>
          </w:p>
        </w:tc>
        <w:tc>
          <w:tcPr>
            <w:tcW w:type="dxa" w:w="1560"/>
            <w:vAlign w:val="center"/>
          </w:tcPr>
          <w:p>
            <w:pPr>
              <w:spacing w:after="40" w:before="40"/>
              <w:jc w:val="center"/>
            </w:pPr>
            <w:r>
              <w:rPr>
                <w:rFonts w:ascii="Calibri" w:cs="Calibri" w:eastAsia="Calibri" w:hAnsi="Calibri"/>
                <w:color w:val="000000"/>
                <w:sz w:val="20"/>
                <w:szCs w:val="20"/>
              </w:rPr>
              <w:t xml:space="preserve">$[__]</w:t>
            </w:r>
          </w:p>
        </w:tc>
        <w:tc>
          <w:tcPr>
            <w:tcW w:type="dxa" w:w="1560"/>
            <w:vAlign w:val="center"/>
          </w:tcPr>
          <w:p>
            <w:pPr>
              <w:spacing w:after="40" w:before="40"/>
              <w:jc w:val="center"/>
            </w:pPr>
            <w:r>
              <w:rPr>
                <w:rFonts w:ascii="Calibri" w:cs="Calibri" w:eastAsia="Calibri" w:hAnsi="Calibri"/>
                <w:color w:val="000000"/>
                <w:sz w:val="20"/>
                <w:szCs w:val="20"/>
              </w:rPr>
              <w:t xml:space="preserve">$[__]</w:t>
            </w:r>
          </w:p>
        </w:tc>
      </w:tr>
      <w:tr>
        <w:tc>
          <w:tcPr>
            <w:tcW w:type="dxa" w:w="1560"/>
            <w:shd w:fill="F2F2F2" w:val="clear"/>
            <w:vAlign w:val="center"/>
          </w:tcPr>
          <w:p>
            <w:pPr>
              <w:spacing w:after="40" w:before="40"/>
              <w:jc w:val="left"/>
            </w:pPr>
            <w:r>
              <w:rPr>
                <w:rFonts w:ascii="Calibri" w:cs="Calibri" w:eastAsia="Calibri" w:hAnsi="Calibri"/>
                <w:b/>
                <w:bCs/>
                <w:color w:val="000000"/>
                <w:sz w:val="20"/>
                <w:szCs w:val="20"/>
              </w:rPr>
              <w:t xml:space="preserve">TOTAL</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N/A</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N/A</w:t>
            </w:r>
          </w:p>
        </w:tc>
        <w:tc>
          <w:tcPr>
            <w:tcW w:type="dxa" w:w="1560"/>
            <w:shd w:fill="F2F2F2" w:val="clear"/>
            <w:vAlign w:val="center"/>
          </w:tcPr>
          <w:p>
            <w:pPr>
              <w:spacing w:after="40" w:before="40"/>
              <w:jc w:val="center"/>
            </w:pPr>
            <w:r>
              <w:rPr>
                <w:rFonts w:ascii="Calibri" w:cs="Calibri" w:eastAsia="Calibri" w:hAnsi="Calibri"/>
                <w:color w:val="000000"/>
                <w:sz w:val="20"/>
                <w:szCs w:val="20"/>
              </w:rPr>
              <w:t xml:space="preserve">$[__]</w:t>
            </w:r>
          </w:p>
        </w:tc>
      </w:tr>
    </w:tbl>
    <w:p>
      <w:pPr>
        <w:spacing w:after="0"/>
      </w:pPr>
    </w:p>
    <w:p>
      <w:pPr>
        <w:pStyle w:val="Heading3"/>
        <w:spacing w:after="120" w:before="240"/>
      </w:pPr>
      <w:r>
        <w:rPr>
          <w:rFonts w:ascii="Calibri" w:cs="Calibri" w:eastAsia="Calibri" w:hAnsi="Calibri"/>
          <w:b/>
          <w:bCs/>
          <w:color w:val="333333"/>
          <w:sz w:val="24"/>
          <w:szCs w:val="24"/>
        </w:rPr>
        <w:t xml:space="preserve">Part 3: Settlement Formulas</w:t>
      </w:r>
    </w:p>
    <w:p>
      <w:pPr>
        <w:spacing w:after="160" w:before="0" w:line="276"/>
        <w:jc w:val="both"/>
      </w:pPr>
      <w:r>
        <w:rPr>
          <w:rFonts w:ascii="Calibri" w:cs="Calibri" w:eastAsia="Calibri" w:hAnsi="Calibri"/>
          <w:b/>
          <w:bCs/>
          <w:sz w:val="24"/>
          <w:szCs w:val="24"/>
        </w:rPr>
        <w:t xml:space="preserve">Full Value Units: </w:t>
      </w:r>
      <w:r>
        <w:rPr>
          <w:rFonts w:ascii="Calibri" w:cs="Calibri" w:eastAsia="Calibri" w:hAnsi="Calibri"/>
          <w:color w:val="000000"/>
          <w:sz w:val="24"/>
          <w:szCs w:val="24"/>
        </w:rPr>
        <w:t xml:space="preserve">Settlement = Vested Units x FMV per Unit</w:t>
      </w:r>
    </w:p>
    <w:p>
      <w:pPr>
        <w:spacing w:after="160" w:before="0" w:line="276"/>
        <w:jc w:val="both"/>
      </w:pPr>
      <w:r>
        <w:rPr>
          <w:rFonts w:ascii="Calibri" w:cs="Calibri" w:eastAsia="Calibri" w:hAnsi="Calibri"/>
          <w:b/>
          <w:bCs/>
          <w:sz w:val="24"/>
          <w:szCs w:val="24"/>
        </w:rPr>
        <w:t xml:space="preserve">Appreciation Rights: </w:t>
      </w:r>
      <w:r>
        <w:rPr>
          <w:rFonts w:ascii="Calibri" w:cs="Calibri" w:eastAsia="Calibri" w:hAnsi="Calibri"/>
          <w:color w:val="000000"/>
          <w:sz w:val="24"/>
          <w:szCs w:val="24"/>
        </w:rPr>
        <w:t xml:space="preserve">Settlement = Vested Units x (FMV per Unit - Base Value)</w:t>
      </w:r>
    </w:p>
    <w:p>
      <w:pPr>
        <w:spacing w:after="160" w:before="0" w:line="276"/>
        <w:jc w:val="both"/>
      </w:pPr>
      <w:r>
        <w:rPr>
          <w:rFonts w:ascii="Calibri" w:cs="Calibri" w:eastAsia="Calibri" w:hAnsi="Calibri"/>
          <w:color w:val="000000"/>
          <w:sz w:val="24"/>
          <w:szCs w:val="24"/>
        </w:rPr>
        <w:t xml:space="preserve">If FMV per Unit &lt; Base Value, Appreciation Rights settlement = $0.00</w:t>
      </w:r>
    </w:p>
    <w:p>
      <w:pPr>
        <w:spacing w:after="0"/>
      </w:pPr>
    </w:p>
    <w:p>
      <w:pPr>
        <w:pStyle w:val="Heading3"/>
        <w:spacing w:after="120" w:before="240"/>
      </w:pPr>
      <w:r>
        <w:rPr>
          <w:rFonts w:ascii="Calibri" w:cs="Calibri" w:eastAsia="Calibri" w:hAnsi="Calibri"/>
          <w:b/>
          <w:bCs/>
          <w:color w:val="333333"/>
          <w:sz w:val="24"/>
          <w:szCs w:val="24"/>
        </w:rPr>
        <w:t xml:space="preserve">Part 4: Payment Logistics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2B4C7E" w:val="clear"/>
            <w:vAlign w:val="center"/>
          </w:tcPr>
          <w:p>
            <w:pPr>
              <w:jc w:val="center"/>
            </w:pPr>
            <w:r>
              <w:rPr>
                <w:rFonts w:ascii="Calibri" w:cs="Calibri" w:eastAsia="Calibri" w:hAnsi="Calibri"/>
                <w:b/>
                <w:bCs/>
                <w:color w:val="FFFFFF"/>
                <w:sz w:val="20"/>
                <w:szCs w:val="20"/>
              </w:rPr>
              <w:t xml:space="preserve">Item</w:t>
            </w:r>
          </w:p>
        </w:tc>
        <w:tc>
          <w:tcPr>
            <w:tcW w:type="dxa" w:w="4680"/>
            <w:shd w:fill="2B4C7E" w:val="clear"/>
            <w:vAlign w:val="center"/>
          </w:tcPr>
          <w:p>
            <w:pPr>
              <w:jc w:val="center"/>
            </w:pPr>
            <w:r>
              <w:rPr>
                <w:rFonts w:ascii="Calibri" w:cs="Calibri" w:eastAsia="Calibri" w:hAnsi="Calibri"/>
                <w:b/>
                <w:bCs/>
                <w:color w:val="FFFFFF"/>
                <w:sz w:val="20"/>
                <w:szCs w:val="20"/>
              </w:rPr>
              <w:t xml:space="preserve">Details</w:t>
            </w:r>
          </w:p>
        </w:tc>
      </w:tr>
      <w:tr>
        <w:tc>
          <w:tcPr>
            <w:tcW w:type="dxa" w:w="4680"/>
            <w:vAlign w:val="center"/>
          </w:tcPr>
          <w:p>
            <w:pPr>
              <w:spacing w:after="40" w:before="40"/>
              <w:jc w:val="left"/>
            </w:pPr>
            <w:r>
              <w:rPr>
                <w:rFonts w:ascii="Calibri" w:cs="Calibri" w:eastAsia="Calibri" w:hAnsi="Calibri"/>
                <w:color w:val="000000"/>
                <w:sz w:val="20"/>
                <w:szCs w:val="20"/>
              </w:rPr>
              <w:t xml:space="preserve">Payment Deadline:</w:t>
            </w:r>
          </w:p>
        </w:tc>
        <w:tc>
          <w:tcPr>
            <w:tcW w:type="dxa" w:w="4680"/>
            <w:vAlign w:val="center"/>
          </w:tcPr>
          <w:p>
            <w:pPr>
              <w:spacing w:after="40" w:before="40"/>
              <w:jc w:val="left"/>
            </w:pPr>
            <w:r>
              <w:rPr>
                <w:rFonts w:ascii="Calibri" w:cs="Calibri" w:eastAsia="Calibri" w:hAnsi="Calibri"/>
                <w:color w:val="000000"/>
                <w:sz w:val="20"/>
                <w:szCs w:val="20"/>
              </w:rPr>
              <w:t xml:space="preserve">[DATE] (within [30] days of CIC)</w:t>
            </w:r>
          </w:p>
        </w:tc>
      </w:tr>
      <w:tr>
        <w:tc>
          <w:tcPr>
            <w:tcW w:type="dxa" w:w="4680"/>
            <w:shd w:fill="F2F2F2" w:val="clear"/>
            <w:vAlign w:val="center"/>
          </w:tcPr>
          <w:p>
            <w:pPr>
              <w:spacing w:after="40" w:before="40"/>
              <w:jc w:val="left"/>
            </w:pPr>
            <w:r>
              <w:rPr>
                <w:rFonts w:ascii="Calibri" w:cs="Calibri" w:eastAsia="Calibri" w:hAnsi="Calibri"/>
                <w:color w:val="000000"/>
                <w:sz w:val="20"/>
                <w:szCs w:val="20"/>
              </w:rPr>
              <w:t xml:space="preserve">Payment Form:</w:t>
            </w:r>
          </w:p>
        </w:tc>
        <w:tc>
          <w:tcPr>
            <w:tcW w:type="dxa" w:w="4680"/>
            <w:shd w:fill="F2F2F2" w:val="clear"/>
            <w:vAlign w:val="center"/>
          </w:tcPr>
          <w:p>
            <w:pPr>
              <w:spacing w:after="40" w:before="40"/>
              <w:jc w:val="left"/>
            </w:pPr>
            <w:r>
              <w:rPr>
                <w:rFonts w:ascii="Calibri" w:cs="Calibri" w:eastAsia="Calibri" w:hAnsi="Calibri"/>
                <w:color w:val="000000"/>
                <w:sz w:val="20"/>
                <w:szCs w:val="20"/>
              </w:rPr>
              <w:t xml:space="preserve">[LUMP SUM / INSTALLMENTS]</w:t>
            </w:r>
          </w:p>
        </w:tc>
      </w:tr>
      <w:tr>
        <w:tc>
          <w:tcPr>
            <w:tcW w:type="dxa" w:w="4680"/>
            <w:vAlign w:val="center"/>
          </w:tcPr>
          <w:p>
            <w:pPr>
              <w:spacing w:after="40" w:before="40"/>
              <w:jc w:val="left"/>
            </w:pPr>
            <w:r>
              <w:rPr>
                <w:rFonts w:ascii="Calibri" w:cs="Calibri" w:eastAsia="Calibri" w:hAnsi="Calibri"/>
                <w:color w:val="000000"/>
                <w:sz w:val="20"/>
                <w:szCs w:val="20"/>
              </w:rPr>
              <w:t xml:space="preserve">Tax Withholding Rate:</w:t>
            </w:r>
          </w:p>
        </w:tc>
        <w:tc>
          <w:tcPr>
            <w:tcW w:type="dxa" w:w="4680"/>
            <w:vAlign w:val="center"/>
          </w:tcPr>
          <w:p>
            <w:pPr>
              <w:spacing w:after="40" w:before="40"/>
              <w:jc w:val="left"/>
            </w:pPr>
            <w:r>
              <w:rPr>
                <w:rFonts w:ascii="Calibri" w:cs="Calibri" w:eastAsia="Calibri" w:hAnsi="Calibri"/>
                <w:color w:val="000000"/>
                <w:sz w:val="20"/>
                <w:szCs w:val="20"/>
              </w:rPr>
              <w:t xml:space="preserve">[__]% Federal + [__]% State</w:t>
            </w:r>
          </w:p>
        </w:tc>
      </w:tr>
      <w:tr>
        <w:tc>
          <w:tcPr>
            <w:tcW w:type="dxa" w:w="4680"/>
            <w:shd w:fill="F2F2F2" w:val="clear"/>
            <w:vAlign w:val="center"/>
          </w:tcPr>
          <w:p>
            <w:pPr>
              <w:spacing w:after="40" w:before="40"/>
              <w:jc w:val="left"/>
            </w:pPr>
            <w:r>
              <w:rPr>
                <w:rFonts w:ascii="Calibri" w:cs="Calibri" w:eastAsia="Calibri" w:hAnsi="Calibri"/>
                <w:color w:val="000000"/>
                <w:sz w:val="20"/>
                <w:szCs w:val="20"/>
              </w:rPr>
              <w:t xml:space="preserve">Net Payment Method:</w:t>
            </w:r>
          </w:p>
        </w:tc>
        <w:tc>
          <w:tcPr>
            <w:tcW w:type="dxa" w:w="4680"/>
            <w:shd w:fill="F2F2F2" w:val="clear"/>
            <w:vAlign w:val="center"/>
          </w:tcPr>
          <w:p>
            <w:pPr>
              <w:spacing w:after="40" w:before="40"/>
              <w:jc w:val="left"/>
            </w:pPr>
            <w:r>
              <w:rPr>
                <w:rFonts w:ascii="Calibri" w:cs="Calibri" w:eastAsia="Calibri" w:hAnsi="Calibri"/>
                <w:color w:val="000000"/>
                <w:sz w:val="20"/>
                <w:szCs w:val="20"/>
              </w:rPr>
              <w:t xml:space="preserve">[WIRE / CHECK / ACH]</w:t>
            </w:r>
          </w:p>
        </w:tc>
      </w:tr>
      <w:tr>
        <w:tc>
          <w:tcPr>
            <w:tcW w:type="dxa" w:w="4680"/>
            <w:vAlign w:val="center"/>
          </w:tcPr>
          <w:p>
            <w:pPr>
              <w:spacing w:after="40" w:before="40"/>
              <w:jc w:val="left"/>
            </w:pPr>
            <w:r>
              <w:rPr>
                <w:rFonts w:ascii="Calibri" w:cs="Calibri" w:eastAsia="Calibri" w:hAnsi="Calibri"/>
                <w:color w:val="000000"/>
                <w:sz w:val="20"/>
                <w:szCs w:val="20"/>
              </w:rPr>
              <w:t xml:space="preserve">Escrow Required:</w:t>
            </w:r>
          </w:p>
        </w:tc>
        <w:tc>
          <w:tcPr>
            <w:tcW w:type="dxa" w:w="4680"/>
            <w:vAlign w:val="center"/>
          </w:tcPr>
          <w:p>
            <w:pPr>
              <w:spacing w:after="40" w:before="40"/>
              <w:jc w:val="left"/>
            </w:pPr>
            <w:r>
              <w:rPr>
                <w:rFonts w:ascii="Calibri" w:cs="Calibri" w:eastAsia="Calibri" w:hAnsi="Calibri"/>
                <w:color w:val="000000"/>
                <w:sz w:val="20"/>
                <w:szCs w:val="20"/>
              </w:rPr>
              <w:t xml:space="preserve">[YES / NO] - Amount: $[__]</w:t>
            </w:r>
          </w:p>
        </w:tc>
      </w:tr>
      <w:tr>
        <w:tc>
          <w:tcPr>
            <w:tcW w:type="dxa" w:w="4680"/>
            <w:shd w:fill="F2F2F2" w:val="clear"/>
            <w:vAlign w:val="center"/>
          </w:tcPr>
          <w:p>
            <w:pPr>
              <w:spacing w:after="40" w:before="40"/>
              <w:jc w:val="left"/>
            </w:pPr>
            <w:r>
              <w:rPr>
                <w:rFonts w:ascii="Calibri" w:cs="Calibri" w:eastAsia="Calibri" w:hAnsi="Calibri"/>
                <w:color w:val="000000"/>
                <w:sz w:val="20"/>
                <w:szCs w:val="20"/>
              </w:rPr>
              <w:t xml:space="preserve">Section 409A Six-Month Delay:</w:t>
            </w:r>
          </w:p>
        </w:tc>
        <w:tc>
          <w:tcPr>
            <w:tcW w:type="dxa" w:w="4680"/>
            <w:shd w:fill="F2F2F2" w:val="clear"/>
            <w:vAlign w:val="center"/>
          </w:tcPr>
          <w:p>
            <w:pPr>
              <w:spacing w:after="40" w:before="40"/>
              <w:jc w:val="left"/>
            </w:pPr>
            <w:r>
              <w:rPr>
                <w:rFonts w:ascii="Calibri" w:cs="Calibri" w:eastAsia="Calibri" w:hAnsi="Calibri"/>
                <w:color w:val="000000"/>
                <w:sz w:val="20"/>
                <w:szCs w:val="20"/>
              </w:rPr>
              <w:t xml:space="preserve">[APPLICABLE / NOT APPLICABLE]</w:t>
            </w:r>
          </w:p>
        </w:tc>
      </w:tr>
    </w:tbl>
    <w:p>
      <w:pPr>
        <w:spacing w:after="0"/>
      </w:pPr>
    </w:p>
    <w:p>
      <w:pPr>
        <w:pStyle w:val="Heading3"/>
        <w:spacing w:after="120" w:before="240"/>
      </w:pPr>
      <w:r>
        <w:rPr>
          <w:rFonts w:ascii="Calibri" w:cs="Calibri" w:eastAsia="Calibri" w:hAnsi="Calibri"/>
          <w:b/>
          <w:bCs/>
          <w:color w:val="333333"/>
          <w:sz w:val="24"/>
          <w:szCs w:val="24"/>
        </w:rPr>
        <w:t xml:space="preserve">Part 5: Approvals</w:t>
      </w:r>
    </w:p>
    <w:p>
      <w:pPr>
        <w:spacing w:after="160" w:before="0" w:line="276"/>
        <w:jc w:val="both"/>
      </w:pPr>
      <w:r>
        <w:rPr>
          <w:rFonts w:ascii="Calibri" w:cs="Calibri" w:eastAsia="Calibri" w:hAnsi="Calibri"/>
          <w:color w:val="000000"/>
          <w:sz w:val="24"/>
          <w:szCs w:val="24"/>
        </w:rPr>
        <w:t xml:space="preserve">Committee Certification: _______________________  Date: ___________</w:t>
      </w:r>
    </w:p>
    <w:p>
      <w:pPr>
        <w:spacing w:after="160" w:before="0" w:line="276"/>
        <w:jc w:val="both"/>
      </w:pPr>
      <w:r>
        <w:rPr>
          <w:rFonts w:ascii="Calibri" w:cs="Calibri" w:eastAsia="Calibri" w:hAnsi="Calibri"/>
          <w:color w:val="000000"/>
          <w:sz w:val="24"/>
          <w:szCs w:val="24"/>
        </w:rPr>
        <w:t xml:space="preserve">CFO / Finance Officer: _______________________  Date: ___________</w:t>
      </w:r>
    </w:p>
    <w:p>
      <w:pPr>
        <w:spacing w:after="160" w:before="0" w:line="276"/>
        <w:jc w:val="both"/>
      </w:pPr>
      <w:r>
        <w:rPr>
          <w:rFonts w:ascii="Calibri" w:cs="Calibri" w:eastAsia="Calibri" w:hAnsi="Calibri"/>
          <w:color w:val="000000"/>
          <w:sz w:val="24"/>
          <w:szCs w:val="24"/>
        </w:rPr>
        <w:t xml:space="preserve">Legal Counsel Review: _______________________  Date: ___________</w:t>
      </w:r>
    </w:p>
    <w:p>
      <w:r>
        <w:br w:type="page"/>
      </w:r>
    </w:p>
    <w:p>
      <w:pPr>
        <w:pStyle w:val="Heading1"/>
        <w:spacing w:after="200" w:before="360"/>
      </w:pPr>
      <w:r>
        <w:rPr>
          <w:rFonts w:ascii="Calibri" w:cs="Calibri" w:eastAsia="Calibri" w:hAnsi="Calibri"/>
          <w:b/>
          <w:bCs/>
          <w:color w:val="333333"/>
          <w:sz w:val="28"/>
          <w:szCs w:val="28"/>
        </w:rPr>
        <w:t xml:space="preserve">EXHIBIT E: SECTION 409A COMPLIANCE CHECKLIST</w:t>
      </w:r>
    </w:p>
    <w:p>
      <w:pPr>
        <w:spacing w:after="0"/>
      </w:pPr>
    </w:p>
    <w:p>
      <w:pPr>
        <w:spacing w:after="160" w:before="0" w:line="276"/>
        <w:jc w:val="both"/>
      </w:pPr>
      <w:r>
        <w:rPr>
          <w:rFonts w:ascii="Calibri" w:cs="Calibri" w:eastAsia="Calibri" w:hAnsi="Calibri"/>
          <w:i/>
          <w:iCs/>
          <w:color w:val="808080"/>
          <w:sz w:val="24"/>
          <w:szCs w:val="24"/>
        </w:rPr>
        <w:t xml:space="preserve">This checklist is provided as a reference tool to assist the Committee and the Company's legal and tax advisors in evaluating Section 409A compliance. It does not constitute legal or tax advice.</w:t>
      </w:r>
    </w:p>
    <w:p>
      <w:pPr>
        <w:spacing w:after="0"/>
      </w:pPr>
    </w:p>
    <w:p>
      <w:pPr>
        <w:pStyle w:val="Heading3"/>
        <w:spacing w:after="120" w:before="240"/>
      </w:pPr>
      <w:r>
        <w:rPr>
          <w:rFonts w:ascii="Calibri" w:cs="Calibri" w:eastAsia="Calibri" w:hAnsi="Calibri"/>
          <w:b/>
          <w:bCs/>
          <w:color w:val="333333"/>
          <w:sz w:val="24"/>
          <w:szCs w:val="24"/>
        </w:rPr>
        <w:t xml:space="preserve">1.  Plan Design</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Phantom Units constitute "deferred compensation" subject to Section 409A, OR qualify for a short-term deferral exemption</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Settlement events are limited to permissible distribution events under Section 409A (separation from service, Change of Control, disability, death, specified time, or unforeseeable emergency)</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Participants have no right to accelerate or defer settlement timing (except as permitted under Section 409A)</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Anti-acceleration rules are satisfied (no impermissible acceleration of settlement)</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Plan does not permit substitution of payments or linkage between plans</w:t>
      </w:r>
    </w:p>
    <w:p>
      <w:pPr>
        <w:pStyle w:val="Heading3"/>
        <w:spacing w:after="120" w:before="240"/>
      </w:pPr>
      <w:r>
        <w:rPr>
          <w:rFonts w:ascii="Calibri" w:cs="Calibri" w:eastAsia="Calibri" w:hAnsi="Calibri"/>
          <w:b/>
          <w:bCs/>
          <w:color w:val="333333"/>
          <w:sz w:val="24"/>
          <w:szCs w:val="24"/>
        </w:rPr>
        <w:t xml:space="preserve">2.  Election Timing</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Initial deferral elections (if any) are made within 30 days of initial eligibility, or before the start of the performance period</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Subsequent deferral elections (if any) comply with the 12-month advance election and 5-year push-out rules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No retroactive elections are permitted</w:t>
      </w:r>
    </w:p>
    <w:p>
      <w:pPr>
        <w:pStyle w:val="Heading3"/>
        <w:spacing w:after="120" w:before="240"/>
      </w:pPr>
      <w:r>
        <w:rPr>
          <w:rFonts w:ascii="Calibri" w:cs="Calibri" w:eastAsia="Calibri" w:hAnsi="Calibri"/>
          <w:b/>
          <w:bCs/>
          <w:color w:val="333333"/>
          <w:sz w:val="24"/>
          <w:szCs w:val="24"/>
        </w:rPr>
        <w:t xml:space="preserve">3.  Separation from Service</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"Separation from service" is defined consistently with Treasury Regulation Section 1.409A-1(h)</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Specified employee identification procedure is in place (if applicable)</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Six-month delay is implemented for specified employees upon separation from service</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Employee vs. independent contractor separation rules are properly applied</w:t>
      </w:r>
    </w:p>
    <w:p>
      <w:pPr>
        <w:pStyle w:val="Heading3"/>
        <w:spacing w:after="120" w:before="240"/>
      </w:pPr>
      <w:r>
        <w:rPr>
          <w:rFonts w:ascii="Calibri" w:cs="Calibri" w:eastAsia="Calibri" w:hAnsi="Calibri"/>
          <w:b/>
          <w:bCs/>
          <w:color w:val="333333"/>
          <w:sz w:val="24"/>
          <w:szCs w:val="24"/>
        </w:rPr>
        <w:t xml:space="preserve">4.  Change of Control</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"Change of Control" definition is consistent with Treasury Regulation Section 1.409A-3(i)(5)</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Change of control ownership thresholds comply with 409A requirements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Plan termination upon CIC complies with Treasury Regulation Section 1.409A-3(j)(4)(ix)</w:t>
      </w:r>
    </w:p>
    <w:p>
      <w:pPr>
        <w:pStyle w:val="Heading3"/>
        <w:spacing w:after="120" w:before="240"/>
      </w:pPr>
      <w:r>
        <w:rPr>
          <w:rFonts w:ascii="Calibri" w:cs="Calibri" w:eastAsia="Calibri" w:hAnsi="Calibri"/>
          <w:b/>
          <w:bCs/>
          <w:color w:val="333333"/>
          <w:sz w:val="24"/>
          <w:szCs w:val="24"/>
        </w:rPr>
        <w:t xml:space="preserve">5.  Valuation</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Valuation methodology complies with Treasury Regulation Section 1.409A-1(b)(5)(iv)</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Independent appraisals are conducted with reasonable frequency (at least every 12 months)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Valuation is performed by qualified persons with significant knowledge and experience</w:t>
      </w:r>
    </w:p>
    <w:p>
      <w:pPr>
        <w:pStyle w:val="Heading3"/>
        <w:spacing w:after="120" w:before="240"/>
      </w:pPr>
      <w:r>
        <w:rPr>
          <w:rFonts w:ascii="Calibri" w:cs="Calibri" w:eastAsia="Calibri" w:hAnsi="Calibri"/>
          <w:b/>
          <w:bCs/>
          <w:color w:val="333333"/>
          <w:sz w:val="24"/>
          <w:szCs w:val="24"/>
        </w:rPr>
        <w:t xml:space="preserve">6.  Document Compliance</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Plan document specifies the amount, timing, and form of payment with sufficient definiteness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Award Agreements are consistent with the Plan and Section 409A</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Amendments do not constitute impermissible material modifications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Operational practices conform to the written terms of the Plan and Award Agreements</w:t>
      </w:r>
    </w:p>
    <w:p>
      <w:pPr>
        <w:pStyle w:val="Heading3"/>
        <w:spacing w:after="120" w:before="240"/>
      </w:pPr>
      <w:r>
        <w:rPr>
          <w:rFonts w:ascii="Calibri" w:cs="Calibri" w:eastAsia="Calibri" w:hAnsi="Calibri"/>
          <w:b/>
          <w:bCs/>
          <w:color w:val="333333"/>
          <w:sz w:val="24"/>
          <w:szCs w:val="24"/>
        </w:rPr>
        <w:t xml:space="preserve">7.  Reporting and Withholding</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Deferred compensation is properly reported on Form W-2 (Box 12, Code Y) or Form 1099-NEC</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FICA/FUTA taxes are properly withheld and reported at vesting (or later if applicable)</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Income taxes are withheld at the time of settlement</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Company maintains adequate records for Section 409A reporting</w:t>
      </w:r>
    </w:p>
    <w:p>
      <w:pPr>
        <w:pStyle w:val="Heading3"/>
        <w:spacing w:after="120" w:before="240"/>
      </w:pPr>
      <w:r>
        <w:rPr>
          <w:rFonts w:ascii="Calibri" w:cs="Calibri" w:eastAsia="Calibri" w:hAnsi="Calibri"/>
          <w:b/>
          <w:bCs/>
          <w:color w:val="333333"/>
          <w:sz w:val="24"/>
          <w:szCs w:val="24"/>
        </w:rPr>
        <w:t xml:space="preserve">8.  Correction Procedures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Company is aware of IRS correction programs for Section 409A operational and documentary failures</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Procedures are in place to identify and correct any Section 409A failures promptly</w:t>
      </w:r>
    </w:p>
    <w:p>
      <w:pPr>
        <w:spacing w:after="160" w:before="0" w:line="276"/>
        <w:ind w:left="720"/>
        <w:jc w:val="both"/>
      </w:pPr>
      <w:r>
        <w:rPr>
          <w:rFonts w:ascii="Calibri" w:cs="Calibri" w:eastAsia="Calibri" w:hAnsi="Calibri"/>
          <w:color w:val="000000"/>
          <w:sz w:val="24"/>
          <w:szCs w:val="24"/>
        </w:rPr>
        <w:t xml:space="preserve">[ ]  </w:t>
      </w:r>
      <w:r>
        <w:rPr>
          <w:rFonts w:ascii="Calibri" w:cs="Calibri" w:eastAsia="Calibri" w:hAnsi="Calibri"/>
          <w:color w:val="000000"/>
          <w:sz w:val="24"/>
          <w:szCs w:val="24"/>
        </w:rPr>
        <w:t xml:space="preserve">Company monitors IRS and Treasury guidance for changes affecting plan compliance</w:t>
      </w:r>
    </w:p>
    <w:p>
      <w:pPr>
        <w:spacing w:after="0"/>
      </w:pPr>
    </w:p>
    <w:p>
      <w:pPr>
        <w:spacing w:after="160" w:before="0" w:line="276"/>
        <w:jc w:val="both"/>
      </w:pPr>
      <w:r>
        <w:rPr>
          <w:rFonts w:ascii="Calibri" w:cs="Calibri" w:eastAsia="Calibri" w:hAnsi="Calibri"/>
          <w:color w:val="000000"/>
          <w:sz w:val="24"/>
          <w:szCs w:val="24"/>
        </w:rPr>
        <w:t xml:space="preserve">Reviewed by: ___________________________  Date: ___________</w:t>
      </w:r>
    </w:p>
    <w:p>
      <w:pPr>
        <w:spacing w:after="160" w:before="0" w:line="276"/>
        <w:jc w:val="both"/>
      </w:pPr>
      <w:r>
        <w:rPr>
          <w:rFonts w:ascii="Calibri" w:cs="Calibri" w:eastAsia="Calibri" w:hAnsi="Calibri"/>
          <w:color w:val="000000"/>
          <w:sz w:val="24"/>
          <w:szCs w:val="24"/>
        </w:rPr>
        <w:t xml:space="preserve">Legal Counsel: ___________________________  Date: ___________</w:t>
      </w:r>
    </w:p>
    <w:p>
      <w:pPr>
        <w:spacing w:after="160" w:before="0" w:line="276"/>
        <w:jc w:val="both"/>
      </w:pPr>
      <w:r>
        <w:rPr>
          <w:rFonts w:ascii="Calibri" w:cs="Calibri" w:eastAsia="Calibri" w:hAnsi="Calibri"/>
          <w:color w:val="000000"/>
          <w:sz w:val="24"/>
          <w:szCs w:val="24"/>
        </w:rPr>
        <w:t xml:space="preserve">Tax Advisor: ___________________________  Date: ___________</w:t>
      </w:r>
    </w:p>
    <w:p>
      <w:r>
        <w:br w:type="page"/>
      </w:r>
    </w:p>
    <w:p>
      <w:pPr>
        <w:pStyle w:val="Heading1"/>
        <w:spacing w:after="200" w:before="360"/>
      </w:pPr>
      <w:r>
        <w:rPr>
          <w:rFonts w:ascii="Calibri" w:cs="Calibri" w:eastAsia="Calibri" w:hAnsi="Calibri"/>
          <w:b/>
          <w:bCs/>
          <w:color w:val="333333"/>
          <w:sz w:val="28"/>
          <w:szCs w:val="28"/>
        </w:rPr>
        <w:t xml:space="preserve">EXHIBIT F: PARTICIPANT ACKNOWLEDGMENT FORM</w:t>
      </w:r>
    </w:p>
    <w:p>
      <w:pPr>
        <w:spacing w:after="0"/>
      </w:pPr>
    </w:p>
    <w:p>
      <w:pPr>
        <w:spacing w:after="200"/>
        <w:jc w:val="center"/>
      </w:pPr>
      <w:r>
        <w:rPr>
          <w:rFonts w:ascii="Calibri" w:cs="Calibri" w:eastAsia="Calibri" w:hAnsi="Calibri"/>
          <w:b/>
          <w:bCs/>
          <w:color w:val="333333"/>
          <w:sz w:val="28"/>
          <w:szCs w:val="28"/>
        </w:rPr>
        <w:t xml:space="preserve">PARTICIPANT ACKNOWLEDGMENT AND CONSENT</w:t>
      </w:r>
    </w:p>
    <w:p>
      <w:pPr>
        <w:spacing w:after="0"/>
      </w:pPr>
    </w:p>
    <w:p>
      <w:pPr>
        <w:spacing w:after="160" w:before="0" w:line="276"/>
        <w:jc w:val="both"/>
      </w:pPr>
      <w:r>
        <w:rPr>
          <w:rFonts w:ascii="Calibri" w:cs="Calibri" w:eastAsia="Calibri" w:hAnsi="Calibri"/>
          <w:color w:val="000000"/>
          <w:sz w:val="24"/>
          <w:szCs w:val="24"/>
        </w:rPr>
        <w:t xml:space="preserve">I, the undersigned Participant in the </w:t>
      </w:r>
      <w:r>
        <w:rPr>
          <w:rFonts w:ascii="Calibri" w:cs="Calibri" w:eastAsia="Calibri" w:hAnsi="Calibri"/>
          <w:b/>
          <w:bCs/>
          <w:color w:val="2B4C7E"/>
          <w:sz w:val="24"/>
          <w:szCs w:val="24"/>
          <w:highlight w:val="yellow"/>
          <w:highlightCs w:val="yellow"/>
        </w:rPr>
        <w:t xml:space="preserve">[COMPANY NAME]</w:t>
      </w:r>
      <w:r>
        <w:rPr>
          <w:rFonts w:ascii="Calibri" w:cs="Calibri" w:eastAsia="Calibri" w:hAnsi="Calibri"/>
          <w:color w:val="000000"/>
          <w:sz w:val="24"/>
          <w:szCs w:val="24"/>
        </w:rPr>
        <w:t xml:space="preserve"> Phantom Equity Plan (the "Plan"), hereby acknowledge and confirm the following:</w:t>
      </w:r>
    </w:p>
    <w:p>
      <w:pPr>
        <w:spacing w:after="0"/>
      </w:pPr>
    </w:p>
    <w:p>
      <w:pPr>
        <w:pStyle w:val="Heading3"/>
        <w:spacing w:after="120" w:before="240"/>
      </w:pPr>
      <w:r>
        <w:rPr>
          <w:rFonts w:ascii="Calibri" w:cs="Calibri" w:eastAsia="Calibri" w:hAnsi="Calibri"/>
          <w:b/>
          <w:bCs/>
          <w:color w:val="333333"/>
          <w:sz w:val="24"/>
          <w:szCs w:val="24"/>
        </w:rPr>
        <w:t xml:space="preserve">1.  Receipt and Review of Plan Documents</w:t>
      </w:r>
    </w:p>
    <w:p>
      <w:pPr>
        <w:spacing w:after="160" w:before="0" w:line="276"/>
        <w:jc w:val="both"/>
      </w:pPr>
      <w:r>
        <w:rPr>
          <w:rFonts w:ascii="Calibri" w:cs="Calibri" w:eastAsia="Calibri" w:hAnsi="Calibri"/>
          <w:color w:val="000000"/>
          <w:sz w:val="24"/>
          <w:szCs w:val="24"/>
        </w:rPr>
        <w:t xml:space="preserve">I acknowledge that I have received, read, and understand: (a) the Plan document; (b) my individual Award Agreement, dated as of the Grant Date specified therein; and (c) any summary or description of the Plan provided by the Company.</w:t>
      </w:r>
    </w:p>
    <w:p>
      <w:pPr>
        <w:pStyle w:val="Heading3"/>
        <w:spacing w:after="120" w:before="240"/>
      </w:pPr>
      <w:r>
        <w:rPr>
          <w:rFonts w:ascii="Calibri" w:cs="Calibri" w:eastAsia="Calibri" w:hAnsi="Calibri"/>
          <w:b/>
          <w:bCs/>
          <w:color w:val="333333"/>
          <w:sz w:val="24"/>
          <w:szCs w:val="24"/>
        </w:rPr>
        <w:t xml:space="preserve">2.  Nature of Phantom Units</w:t>
      </w:r>
    </w:p>
    <w:p>
      <w:pPr>
        <w:spacing w:after="160" w:before="0" w:line="276"/>
        <w:jc w:val="both"/>
      </w:pPr>
      <w:r>
        <w:rPr>
          <w:rFonts w:ascii="Calibri" w:cs="Calibri" w:eastAsia="Calibri" w:hAnsi="Calibri"/>
          <w:color w:val="000000"/>
          <w:sz w:val="24"/>
          <w:szCs w:val="24"/>
        </w:rPr>
        <w:t xml:space="preserve">I understand and acknowledge that:</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Phantom Units are contractual rights to receive cash payments and do not represent actual equity interests, membership interests, stock, or any other form of ownership in the Company;</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I will not have any voting rights, dividend rights (unless expressly provided in my Award Agreement), or other rights of an equity holder by virtue of holding Phantom Units;</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Phantom Units may not be sold, transferred, assigned, pledged, or otherwise disposed of, except by will or the laws of descent and distribution;</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My rights under the Plan are solely those of an unsecured general creditor of the Company, and the Company is not obligated to fund, secure, or segregate any assets for my benefit; and</w:t>
      </w:r>
    </w:p>
    <w:p>
      <w:pPr>
        <w:spacing w:after="160" w:before="0" w:line="276"/>
        <w:ind w:left="720"/>
        <w:jc w:val="both"/>
      </w:pPr>
      <w:r>
        <w:rPr>
          <w:rFonts w:ascii="Calibri" w:cs="Calibri" w:eastAsia="Calibri" w:hAnsi="Calibri"/>
          <w:color w:val="000000"/>
          <w:sz w:val="24"/>
          <w:szCs w:val="24"/>
        </w:rPr>
        <w:t xml:space="preserve">(e)  </w:t>
      </w:r>
      <w:r>
        <w:rPr>
          <w:rFonts w:ascii="Calibri" w:cs="Calibri" w:eastAsia="Calibri" w:hAnsi="Calibri"/>
          <w:color w:val="000000"/>
          <w:sz w:val="24"/>
          <w:szCs w:val="24"/>
        </w:rPr>
        <w:t xml:space="preserve">The value of Phantom Units may increase or decrease based on the performance of the Company, and there is no guarantee that I will receive any settlement payment.</w:t>
      </w:r>
    </w:p>
    <w:p>
      <w:pPr>
        <w:pStyle w:val="Heading3"/>
        <w:spacing w:after="120" w:before="240"/>
      </w:pPr>
      <w:r>
        <w:rPr>
          <w:rFonts w:ascii="Calibri" w:cs="Calibri" w:eastAsia="Calibri" w:hAnsi="Calibri"/>
          <w:b/>
          <w:bCs/>
          <w:color w:val="333333"/>
          <w:sz w:val="24"/>
          <w:szCs w:val="24"/>
        </w:rPr>
        <w:t xml:space="preserve">3.  Vesting and Forfeiture</w:t>
      </w:r>
    </w:p>
    <w:p>
      <w:pPr>
        <w:spacing w:after="160" w:before="0" w:line="276"/>
        <w:jc w:val="both"/>
      </w:pPr>
      <w:r>
        <w:rPr>
          <w:rFonts w:ascii="Calibri" w:cs="Calibri" w:eastAsia="Calibri" w:hAnsi="Calibri"/>
          <w:color w:val="000000"/>
          <w:sz w:val="24"/>
          <w:szCs w:val="24"/>
        </w:rPr>
        <w:t xml:space="preserve">I understand that my Phantom Units are subject to the vesting conditions specified in my Award Agreement, and that unvested Phantom Units will be forfeited upon my Termination of Service (except as otherwise provided in the Plan or my Award Agreement). I further understand that all Phantom Units (whether vested or unvested) are subject to the forfeiture and clawback provisions set forth in Article X of the Plan.</w:t>
      </w:r>
    </w:p>
    <w:p>
      <w:pPr>
        <w:pStyle w:val="Heading3"/>
        <w:spacing w:after="120" w:before="240"/>
      </w:pPr>
      <w:r>
        <w:rPr>
          <w:rFonts w:ascii="Calibri" w:cs="Calibri" w:eastAsia="Calibri" w:hAnsi="Calibri"/>
          <w:b/>
          <w:bCs/>
          <w:color w:val="333333"/>
          <w:sz w:val="24"/>
          <w:szCs w:val="24"/>
        </w:rPr>
        <w:t xml:space="preserve">4.  Tax Matters</w:t>
      </w:r>
    </w:p>
    <w:p>
      <w:pPr>
        <w:spacing w:after="160" w:before="0" w:line="276"/>
        <w:jc w:val="both"/>
      </w:pPr>
      <w:r>
        <w:rPr>
          <w:rFonts w:ascii="Calibri" w:cs="Calibri" w:eastAsia="Calibri" w:hAnsi="Calibri"/>
          <w:color w:val="000000"/>
          <w:sz w:val="24"/>
          <w:szCs w:val="24"/>
        </w:rPr>
        <w:t xml:space="preserve">I understand and acknowledge that:</w:t>
      </w:r>
    </w:p>
    <w:p>
      <w:pPr>
        <w:spacing w:after="160" w:before="0" w:line="276"/>
        <w:ind w:left="720"/>
        <w:jc w:val="both"/>
      </w:pPr>
      <w:r>
        <w:rPr>
          <w:rFonts w:ascii="Calibri" w:cs="Calibri" w:eastAsia="Calibri" w:hAnsi="Calibri"/>
          <w:color w:val="000000"/>
          <w:sz w:val="24"/>
          <w:szCs w:val="24"/>
        </w:rPr>
        <w:t xml:space="preserve">(a)  </w:t>
      </w:r>
      <w:r>
        <w:rPr>
          <w:rFonts w:ascii="Calibri" w:cs="Calibri" w:eastAsia="Calibri" w:hAnsi="Calibri"/>
          <w:color w:val="000000"/>
          <w:sz w:val="24"/>
          <w:szCs w:val="24"/>
        </w:rPr>
        <w:t xml:space="preserve">The Company has not provided me with any tax advice regarding the Phantom Units, and I have been advised to consult with my own independent tax advisor;</w:t>
      </w:r>
    </w:p>
    <w:p>
      <w:pPr>
        <w:spacing w:after="160" w:before="0" w:line="276"/>
        <w:ind w:left="720"/>
        <w:jc w:val="both"/>
      </w:pPr>
      <w:r>
        <w:rPr>
          <w:rFonts w:ascii="Calibri" w:cs="Calibri" w:eastAsia="Calibri" w:hAnsi="Calibri"/>
          <w:color w:val="000000"/>
          <w:sz w:val="24"/>
          <w:szCs w:val="24"/>
        </w:rPr>
        <w:t xml:space="preserve">(b)  </w:t>
      </w:r>
      <w:r>
        <w:rPr>
          <w:rFonts w:ascii="Calibri" w:cs="Calibri" w:eastAsia="Calibri" w:hAnsi="Calibri"/>
          <w:color w:val="000000"/>
          <w:sz w:val="24"/>
          <w:szCs w:val="24"/>
        </w:rPr>
        <w:t xml:space="preserve">I am solely responsible for the payment of all taxes (including income taxes, employment taxes, and any penalties or interest) arising from the grant, vesting, and settlement of Phantom Units;</w:t>
      </w:r>
    </w:p>
    <w:p>
      <w:pPr>
        <w:spacing w:after="160" w:before="0" w:line="276"/>
        <w:ind w:left="720"/>
        <w:jc w:val="both"/>
      </w:pPr>
      <w:r>
        <w:rPr>
          <w:rFonts w:ascii="Calibri" w:cs="Calibri" w:eastAsia="Calibri" w:hAnsi="Calibri"/>
          <w:color w:val="000000"/>
          <w:sz w:val="24"/>
          <w:szCs w:val="24"/>
        </w:rPr>
        <w:t xml:space="preserve">(c)  </w:t>
      </w:r>
      <w:r>
        <w:rPr>
          <w:rFonts w:ascii="Calibri" w:cs="Calibri" w:eastAsia="Calibri" w:hAnsi="Calibri"/>
          <w:color w:val="000000"/>
          <w:sz w:val="24"/>
          <w:szCs w:val="24"/>
        </w:rPr>
        <w:t xml:space="preserve">The Company will withhold applicable taxes from any settlement payment; and</w:t>
      </w:r>
    </w:p>
    <w:p>
      <w:pPr>
        <w:spacing w:after="160" w:before="0" w:line="276"/>
        <w:ind w:left="720"/>
        <w:jc w:val="both"/>
      </w:pPr>
      <w:r>
        <w:rPr>
          <w:rFonts w:ascii="Calibri" w:cs="Calibri" w:eastAsia="Calibri" w:hAnsi="Calibri"/>
          <w:color w:val="000000"/>
          <w:sz w:val="24"/>
          <w:szCs w:val="24"/>
        </w:rPr>
        <w:t xml:space="preserve">(d)  </w:t>
      </w:r>
      <w:r>
        <w:rPr>
          <w:rFonts w:ascii="Calibri" w:cs="Calibri" w:eastAsia="Calibri" w:hAnsi="Calibri"/>
          <w:color w:val="000000"/>
          <w:sz w:val="24"/>
          <w:szCs w:val="24"/>
        </w:rPr>
        <w:t xml:space="preserve">The Plan and my Award Agreement are intended to comply with, or be exempt from, Section 409A of the Internal Revenue Code, but the Company does not guarantee any particular tax treatment.</w:t>
      </w:r>
    </w:p>
    <w:p>
      <w:pPr>
        <w:pStyle w:val="Heading3"/>
        <w:spacing w:after="120" w:before="240"/>
      </w:pPr>
      <w:r>
        <w:rPr>
          <w:rFonts w:ascii="Calibri" w:cs="Calibri" w:eastAsia="Calibri" w:hAnsi="Calibri"/>
          <w:b/>
          <w:bCs/>
          <w:color w:val="333333"/>
          <w:sz w:val="24"/>
          <w:szCs w:val="24"/>
        </w:rPr>
        <w:t xml:space="preserve">5.  Confidentiality</w:t>
      </w:r>
    </w:p>
    <w:p>
      <w:pPr>
        <w:spacing w:after="160" w:before="0" w:line="276"/>
        <w:jc w:val="both"/>
      </w:pPr>
      <w:r>
        <w:rPr>
          <w:rFonts w:ascii="Calibri" w:cs="Calibri" w:eastAsia="Calibri" w:hAnsi="Calibri"/>
          <w:color w:val="000000"/>
          <w:sz w:val="24"/>
          <w:szCs w:val="24"/>
        </w:rPr>
        <w:t xml:space="preserve">I agree to maintain the confidentiality of: (a) the terms of the Plan and my Award Agreement; (b) the number and value of Phantom Units granted to me; (c) any valuation information provided to me by the Company; and (d) any other non-public information concerning the Company's compensation practices. I will not disclose such information to any person except my spouse, legal counsel, tax advisor, or financial advisor (each of whom shall be bound by this confidentiality obligation), or as required by law.</w:t>
      </w:r>
    </w:p>
    <w:p>
      <w:pPr>
        <w:pStyle w:val="Heading3"/>
        <w:spacing w:after="120" w:before="240"/>
      </w:pPr>
      <w:r>
        <w:rPr>
          <w:rFonts w:ascii="Calibri" w:cs="Calibri" w:eastAsia="Calibri" w:hAnsi="Calibri"/>
          <w:b/>
          <w:bCs/>
          <w:color w:val="333333"/>
          <w:sz w:val="24"/>
          <w:szCs w:val="24"/>
        </w:rPr>
        <w:t xml:space="preserve">6.  Restrictive Covenants</w:t>
      </w:r>
    </w:p>
    <w:p>
      <w:pPr>
        <w:spacing w:after="160" w:before="0" w:line="276"/>
        <w:jc w:val="both"/>
      </w:pPr>
      <w:r>
        <w:rPr>
          <w:rFonts w:ascii="Calibri" w:cs="Calibri" w:eastAsia="Calibri" w:hAnsi="Calibri"/>
          <w:color w:val="000000"/>
          <w:sz w:val="24"/>
          <w:szCs w:val="24"/>
        </w:rPr>
        <w:t xml:space="preserve">I acknowledge that my Award Agreement may contain restrictive covenant obligations (including non-competition, non-solicitation, and non-disparagement covenants), and I agree to comply with all such obligations as a condition of my participation in the Plan.</w:t>
      </w:r>
    </w:p>
    <w:p>
      <w:pPr>
        <w:pStyle w:val="Heading3"/>
        <w:spacing w:after="120" w:before="240"/>
      </w:pPr>
      <w:r>
        <w:rPr>
          <w:rFonts w:ascii="Calibri" w:cs="Calibri" w:eastAsia="Calibri" w:hAnsi="Calibri"/>
          <w:b/>
          <w:bCs/>
          <w:color w:val="333333"/>
          <w:sz w:val="24"/>
          <w:szCs w:val="24"/>
        </w:rPr>
        <w:t xml:space="preserve">7.  Compliance with Clawback Policies</w:t>
      </w:r>
    </w:p>
    <w:p>
      <w:pPr>
        <w:spacing w:after="160" w:before="0" w:line="276"/>
        <w:jc w:val="both"/>
      </w:pPr>
      <w:r>
        <w:rPr>
          <w:rFonts w:ascii="Calibri" w:cs="Calibri" w:eastAsia="Calibri" w:hAnsi="Calibri"/>
          <w:color w:val="000000"/>
          <w:sz w:val="24"/>
          <w:szCs w:val="24"/>
        </w:rPr>
        <w:t xml:space="preserve">I agree that all Phantom Units and settlement payments are subject to any clawback, recoupment, or compensation recovery policy adopted by the Company, including any policy adopted to comply with the Dodd-Frank Wall Street Reform and Consumer Protection Act or applicable stock exchange listing standards.</w:t>
      </w:r>
    </w:p>
    <w:p>
      <w:pPr>
        <w:pStyle w:val="Heading3"/>
        <w:spacing w:after="120" w:before="240"/>
      </w:pPr>
      <w:r>
        <w:rPr>
          <w:rFonts w:ascii="Calibri" w:cs="Calibri" w:eastAsia="Calibri" w:hAnsi="Calibri"/>
          <w:b/>
          <w:bCs/>
          <w:color w:val="333333"/>
          <w:sz w:val="24"/>
          <w:szCs w:val="24"/>
        </w:rPr>
        <w:t xml:space="preserve">8.  At-Will Employment</w:t>
      </w:r>
    </w:p>
    <w:p>
      <w:pPr>
        <w:spacing w:after="160" w:before="0" w:line="276"/>
        <w:jc w:val="both"/>
      </w:pPr>
      <w:r>
        <w:rPr>
          <w:rFonts w:ascii="Calibri" w:cs="Calibri" w:eastAsia="Calibri" w:hAnsi="Calibri"/>
          <w:color w:val="000000"/>
          <w:sz w:val="24"/>
          <w:szCs w:val="24"/>
        </w:rPr>
        <w:t xml:space="preserve">I understand that nothing in the Plan or my Award Agreement confers upon me any right to continued employment or engagement with the Company, or limits the Company's right to terminate my service at any time, with or without Cause, subject to the terms of any separate employment or service agreement.</w:t>
      </w:r>
    </w:p>
    <w:p>
      <w:pPr>
        <w:spacing w:after="0"/>
      </w:pPr>
    </w:p>
    <w:p>
      <w:pPr>
        <w:spacing w:after="0"/>
      </w:pPr>
    </w:p>
    <w:p>
      <w:pPr>
        <w:spacing w:after="160" w:before="0" w:line="276"/>
        <w:jc w:val="both"/>
      </w:pPr>
      <w:r>
        <w:rPr>
          <w:rFonts w:ascii="Calibri" w:cs="Calibri" w:eastAsia="Calibri" w:hAnsi="Calibri"/>
          <w:b/>
          <w:bCs/>
          <w:sz w:val="24"/>
          <w:szCs w:val="24"/>
        </w:rPr>
        <w:t xml:space="preserve">PARTICIPANT:</w:t>
      </w:r>
    </w:p>
    <w:p>
      <w:pPr>
        <w:spacing w:after="0"/>
      </w:pPr>
    </w:p>
    <w:p>
      <w:pPr>
        <w:spacing w:after="160" w:before="0" w:line="276"/>
        <w:jc w:val="both"/>
      </w:pPr>
      <w:r>
        <w:rPr>
          <w:rFonts w:ascii="Calibri" w:cs="Calibri" w:eastAsia="Calibri" w:hAnsi="Calibri"/>
          <w:color w:val="000000"/>
          <w:sz w:val="24"/>
          <w:szCs w:val="24"/>
        </w:rPr>
        <w:t xml:space="preserve">Signature: _____________________________________________</w:t>
      </w:r>
    </w:p>
    <w:p>
      <w:pPr>
        <w:spacing w:after="0"/>
      </w:pPr>
    </w:p>
    <w:p>
      <w:pPr>
        <w:spacing w:after="160" w:before="0" w:line="276"/>
        <w:jc w:val="both"/>
      </w:pPr>
      <w:r>
        <w:rPr>
          <w:rFonts w:ascii="Calibri" w:cs="Calibri" w:eastAsia="Calibri" w:hAnsi="Calibri"/>
          <w:color w:val="000000"/>
          <w:sz w:val="24"/>
          <w:szCs w:val="24"/>
        </w:rPr>
        <w:t xml:space="preserve">Printed Name: </w:t>
      </w:r>
      <w:r>
        <w:rPr>
          <w:rFonts w:ascii="Calibri" w:cs="Calibri" w:eastAsia="Calibri" w:hAnsi="Calibri"/>
          <w:b/>
          <w:bCs/>
          <w:color w:val="2B4C7E"/>
          <w:sz w:val="24"/>
          <w:szCs w:val="24"/>
          <w:highlight w:val="yellow"/>
          <w:highlightCs w:val="yellow"/>
        </w:rPr>
        <w:t xml:space="preserve">[PARTICIPANT NAME]</w:t>
      </w:r>
    </w:p>
    <w:p>
      <w:pPr>
        <w:spacing w:after="0"/>
      </w:pPr>
    </w:p>
    <w:p>
      <w:pPr>
        <w:spacing w:after="160" w:before="0" w:line="276"/>
        <w:jc w:val="both"/>
      </w:pPr>
      <w:r>
        <w:rPr>
          <w:rFonts w:ascii="Calibri" w:cs="Calibri" w:eastAsia="Calibri" w:hAnsi="Calibri"/>
          <w:color w:val="000000"/>
          <w:sz w:val="24"/>
          <w:szCs w:val="24"/>
        </w:rPr>
        <w:t xml:space="preserve">Date: </w:t>
      </w:r>
      <w:r>
        <w:rPr>
          <w:rFonts w:ascii="Calibri" w:cs="Calibri" w:eastAsia="Calibri" w:hAnsi="Calibri"/>
          <w:b/>
          <w:bCs/>
          <w:color w:val="2B4C7E"/>
          <w:sz w:val="24"/>
          <w:szCs w:val="24"/>
          <w:highlight w:val="yellow"/>
          <w:highlightCs w:val="yellow"/>
        </w:rPr>
        <w:t xml:space="preserve">[DATE]</w:t>
      </w:r>
    </w:p>
    <w:p>
      <w:pPr>
        <w:spacing w:after="0"/>
      </w:pPr>
    </w:p>
    <w:p>
      <w:pPr>
        <w:spacing w:after="0"/>
      </w:pPr>
    </w:p>
    <w:p>
      <w:pPr>
        <w:spacing w:after="160" w:before="0" w:line="276"/>
        <w:jc w:val="both"/>
      </w:pPr>
      <w:r>
        <w:rPr>
          <w:rFonts w:ascii="Calibri" w:cs="Calibri" w:eastAsia="Calibri" w:hAnsi="Calibri"/>
          <w:b/>
          <w:bCs/>
          <w:sz w:val="24"/>
          <w:szCs w:val="24"/>
        </w:rPr>
        <w:t xml:space="preserve">COMPANY REPRESENTATIVE (Optional):</w:t>
      </w:r>
    </w:p>
    <w:p>
      <w:pPr>
        <w:spacing w:after="0"/>
      </w:pPr>
    </w:p>
    <w:p>
      <w:pPr>
        <w:spacing w:after="160" w:before="0" w:line="276"/>
        <w:jc w:val="both"/>
      </w:pPr>
      <w:r>
        <w:rPr>
          <w:rFonts w:ascii="Calibri" w:cs="Calibri" w:eastAsia="Calibri" w:hAnsi="Calibri"/>
          <w:color w:val="000000"/>
          <w:sz w:val="24"/>
          <w:szCs w:val="24"/>
        </w:rPr>
        <w:t xml:space="preserve">Signature: _____________________________________________</w:t>
      </w:r>
    </w:p>
    <w:p>
      <w:pPr>
        <w:spacing w:after="0"/>
      </w:pPr>
    </w:p>
    <w:p>
      <w:pPr>
        <w:spacing w:after="160" w:before="0" w:line="276"/>
        <w:jc w:val="both"/>
      </w:pPr>
      <w:r>
        <w:rPr>
          <w:rFonts w:ascii="Calibri" w:cs="Calibri" w:eastAsia="Calibri" w:hAnsi="Calibri"/>
          <w:color w:val="000000"/>
          <w:sz w:val="24"/>
          <w:szCs w:val="24"/>
        </w:rPr>
        <w:t xml:space="preserve">Printed Name: </w:t>
      </w:r>
      <w:r>
        <w:rPr>
          <w:rFonts w:ascii="Calibri" w:cs="Calibri" w:eastAsia="Calibri" w:hAnsi="Calibri"/>
          <w:b/>
          <w:bCs/>
          <w:color w:val="2B4C7E"/>
          <w:sz w:val="24"/>
          <w:szCs w:val="24"/>
          <w:highlight w:val="yellow"/>
          <w:highlightCs w:val="yellow"/>
        </w:rPr>
        <w:t xml:space="preserve">[NAME]</w:t>
      </w:r>
    </w:p>
    <w:p>
      <w:pPr>
        <w:spacing w:after="0"/>
      </w:pPr>
    </w:p>
    <w:p>
      <w:pPr>
        <w:spacing w:after="160" w:before="0" w:line="276"/>
        <w:jc w:val="both"/>
      </w:pPr>
      <w:r>
        <w:rPr>
          <w:rFonts w:ascii="Calibri" w:cs="Calibri" w:eastAsia="Calibri" w:hAnsi="Calibri"/>
          <w:color w:val="000000"/>
          <w:sz w:val="24"/>
          <w:szCs w:val="24"/>
        </w:rPr>
        <w:t xml:space="preserve">Title: </w:t>
      </w:r>
      <w:r>
        <w:rPr>
          <w:rFonts w:ascii="Calibri" w:cs="Calibri" w:eastAsia="Calibri" w:hAnsi="Calibri"/>
          <w:b/>
          <w:bCs/>
          <w:color w:val="2B4C7E"/>
          <w:sz w:val="24"/>
          <w:szCs w:val="24"/>
          <w:highlight w:val="yellow"/>
          <w:highlightCs w:val="yellow"/>
        </w:rPr>
        <w:t xml:space="preserve">[TITLE]</w:t>
      </w:r>
    </w:p>
    <w:p>
      <w:pPr>
        <w:spacing w:after="0"/>
      </w:pPr>
    </w:p>
    <w:p>
      <w:pPr>
        <w:spacing w:after="160" w:before="0" w:line="276"/>
        <w:jc w:val="both"/>
      </w:pPr>
      <w:r>
        <w:rPr>
          <w:rFonts w:ascii="Calibri" w:cs="Calibri" w:eastAsia="Calibri" w:hAnsi="Calibri"/>
          <w:color w:val="000000"/>
          <w:sz w:val="24"/>
          <w:szCs w:val="24"/>
        </w:rPr>
        <w:t xml:space="preserve">Date: </w:t>
      </w:r>
      <w:r>
        <w:rPr>
          <w:rFonts w:ascii="Calibri" w:cs="Calibri" w:eastAsia="Calibri" w:hAnsi="Calibri"/>
          <w:b/>
          <w:bCs/>
          <w:color w:val="2B4C7E"/>
          <w:sz w:val="24"/>
          <w:szCs w:val="24"/>
          <w:highlight w:val="yellow"/>
          <w:highlightCs w:val="yellow"/>
        </w:rPr>
        <w:t xml:space="preserve">[DATE]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8"/>
        <w:szCs w:val="18"/>
      </w:rPr>
      <w:t xml:space="preserve">Montague Law  |  For Informational Purposes Only  |  Page </w:t>
    </w:r>
    <w:r>
      <w:rPr>
        <w:rFonts w:ascii="Calibri" w:cs="Calibri" w:eastAsia="Calibri" w:hAnsi="Calibri"/>
        <w:color w:val="808080"/>
        <w:sz w:val="18"/>
        <w:szCs w:val="18"/>
      </w:rPr>
      <w:fldChar w:fldCharType="begin"/>
      <w:instrText xml:space="preserve">PAGE</w:instrText>
      <w:fldChar w:fldCharType="separate"/>
      <w:fldChar w:fldCharType="end"/>
    </w:r>
    <w:r>
      <w:rPr>
        <w:rFonts w:ascii="Calibri" w:cs="Calibri" w:eastAsia="Calibri" w:hAnsi="Calibri"/>
        <w:color w:val="808080"/>
        <w:sz w:val="18"/>
        <w:szCs w:val="18"/>
      </w:rPr>
      <w:t xml:space="preserve"> of </w:t>
    </w:r>
    <w:r>
      <w:rPr>
        <w:rFonts w:ascii="Calibri" w:cs="Calibri" w:eastAsia="Calibri" w:hAnsi="Calibri"/>
        <w:color w:val="80808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20"/>
        <w:szCs w:val="20"/>
      </w:rPr>
      <w:t xml:space="preserve">Phantom Equity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4"/>
        <w:szCs w:val="24"/>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333333"/>
      <w:sz w:val="28"/>
      <w:szCs w:val="28"/>
    </w:rPr>
  </w:style>
  <w:style w:type="paragraph" w:styleId="Heading2">
    <w:name w:val="Heading 2"/>
    <w:basedOn w:val="Normal"/>
    <w:next w:val="Normal"/>
    <w:qFormat/>
    <w:pPr>
      <w:spacing w:after="160" w:before="280"/>
    </w:pPr>
    <w:rPr>
      <w:rFonts w:ascii="Calibri" w:cs="Calibri" w:eastAsia="Calibri" w:hAnsi="Calibri"/>
      <w:b/>
      <w:bCs/>
      <w:color w:val="333333"/>
      <w:sz w:val="26"/>
      <w:szCs w:val="26"/>
    </w:rPr>
  </w:style>
  <w:style w:type="paragraph" w:styleId="Heading3">
    <w:name w:val="Heading 3"/>
    <w:basedOn w:val="Normal"/>
    <w:next w:val="Normal"/>
    <w:qFormat/>
    <w:pPr>
      <w:spacing w:after="120" w:before="240"/>
    </w:pPr>
    <w:rPr>
      <w:rFonts w:ascii="Calibri" w:cs="Calibri" w:eastAsia="Calibri" w:hAnsi="Calibri"/>
      <w:b/>
      <w:bCs/>
      <w:color w:val="333333"/>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2026-08-23T03:47:28.154Z</dcterms:created>
  <dcterms:modified xsi:type="dcterms:W3CDTF">2026-08-23T03:47:28.154Z</dcterms:modified>
</cp:coreProperties>
</file>

<file path=docProps/custom.xml><?xml version="1.0" encoding="utf-8"?>
<Properties xmlns="http://schemas.openxmlformats.org/officeDocument/2006/custom-properties" xmlns:vt="http://schemas.openxmlformats.org/officeDocument/2006/docPropsVTypes"/>
</file>