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0" w:line="276"/>
        <w:jc w:val="both"/>
      </w:pPr>
      <w:r>
        <w:rPr>
          <w:rFonts w:ascii="Calibri" w:cs="Calibri" w:eastAsia="Calibri" w:hAnsi="Calibri"/>
          <w:b w:val="false"/>
          <w:bCs w:val="false"/>
          <w:i w:val="false"/>
          <w:iCs w:val="false"/>
          <w:color w:val="333333"/>
          <w:sz w:val="22"/>
          <w:szCs w:val="22"/>
        </w:rPr>
        <w:t xml:space="preserve"/>
      </w:r>
    </w:p>
    <w:p>
      <w:pPr>
        <w:spacing w:after="80" w:before="0" w:line="276"/>
        <w:jc w:val="center"/>
      </w:pPr>
      <w:r>
        <w:rPr>
          <w:rFonts w:ascii="Calibri" w:cs="Calibri" w:eastAsia="Calibri" w:hAnsi="Calibri"/>
          <w:b/>
          <w:bCs/>
          <w:i w:val="false"/>
          <w:iCs w:val="false"/>
          <w:color w:val="1F3864"/>
          <w:sz w:val="40"/>
          <w:szCs w:val="40"/>
        </w:rPr>
        <w:t xml:space="preserve">[COMPANY NAME]</w:t>
      </w:r>
    </w:p>
    <w:p>
      <w:pPr>
        <w:spacing w:after="80" w:before="0" w:line="276"/>
        <w:jc w:val="both"/>
      </w:pPr>
      <w:r>
        <w:rPr>
          <w:rFonts w:ascii="Calibri" w:cs="Calibri" w:eastAsia="Calibri" w:hAnsi="Calibri"/>
          <w:b w:val="false"/>
          <w:bCs w:val="false"/>
          <w:i w:val="false"/>
          <w:iCs w:val="false"/>
          <w:color w:val="333333"/>
          <w:sz w:val="22"/>
          <w:szCs w:val="22"/>
        </w:rPr>
        <w:t xml:space="preserve"/>
      </w:r>
    </w:p>
    <w:p>
      <w:pPr>
        <w:spacing w:after="60" w:before="0" w:line="276"/>
        <w:jc w:val="center"/>
      </w:pPr>
      <w:r>
        <w:rPr>
          <w:rFonts w:ascii="Calibri" w:cs="Calibri" w:eastAsia="Calibri" w:hAnsi="Calibri"/>
          <w:b/>
          <w:bCs/>
          <w:i w:val="false"/>
          <w:iCs w:val="false"/>
          <w:color w:val="1F3864"/>
          <w:sz w:val="36"/>
          <w:szCs w:val="36"/>
        </w:rPr>
        <w:t xml:space="preserve">Open Source Software Policy</w:t>
      </w:r>
    </w:p>
    <w:p>
      <w:pPr>
        <w:spacing w:after="40" w:before="0" w:line="276"/>
        <w:jc w:val="both"/>
      </w:pPr>
      <w:r>
        <w:rPr>
          <w:rFonts w:ascii="Calibri" w:cs="Calibri" w:eastAsia="Calibri" w:hAnsi="Calibri"/>
          <w:b w:val="false"/>
          <w:bCs w:val="false"/>
          <w:i w:val="false"/>
          <w:iCs w:val="false"/>
          <w:color w:val="333333"/>
          <w:sz w:val="22"/>
          <w:szCs w:val="22"/>
        </w:rPr>
        <w:t xml:space="preserve"/>
      </w:r>
    </w:p>
    <w:p>
      <w:pPr>
        <w:pBdr>
          <w:bottom w:val="single" w:color="1F3864" w:sz="8" w:space="1"/>
        </w:pBdr>
        <w:spacing w:after="200"/>
      </w:pPr>
    </w:p>
    <w:p>
      <w:pPr>
        <w:spacing w:after="200" w:before="0" w:line="276"/>
        <w:jc w:val="center"/>
      </w:pPr>
      <w:r>
        <w:rPr>
          <w:rFonts w:ascii="Calibri" w:cs="Calibri" w:eastAsia="Calibri" w:hAnsi="Calibri"/>
          <w:b w:val="false"/>
          <w:bCs w:val="false"/>
          <w:i/>
          <w:iCs/>
          <w:color w:val="888888"/>
          <w:sz w:val="22"/>
          <w:szCs w:val="22"/>
        </w:rPr>
        <w:t xml:space="preserve">For Informational Purposes Only — Not Legal Advice</w:t>
      </w:r>
    </w:p>
    <w:p>
      <w:pPr>
        <w:spacing w:after="120" w:before="0" w:line="276"/>
        <w:jc w:val="both"/>
      </w:pPr>
      <w:r>
        <w:rPr>
          <w:rFonts w:ascii="Calibri" w:cs="Calibri" w:eastAsia="Calibri" w:hAnsi="Calibri"/>
          <w:b w:val="false"/>
          <w:bCs w:val="false"/>
          <w:i w:val="false"/>
          <w:iCs w:val="false"/>
          <w:color w:val="333333"/>
          <w:sz w:val="22"/>
          <w:szCs w:val="22"/>
        </w:rPr>
        <w:t xml:space="preserve"/>
      </w:r>
    </w:p>
    <w:p>
      <w:pPr>
        <w:spacing w:after="80" w:before="0" w:line="276"/>
        <w:jc w:val="center"/>
      </w:pPr>
      <w:r>
        <w:rPr>
          <w:rFonts w:ascii="Calibri" w:cs="Calibri" w:eastAsia="Calibri" w:hAnsi="Calibri"/>
          <w:b/>
          <w:bCs/>
          <w:color w:val="333333"/>
          <w:sz w:val="22"/>
          <w:szCs w:val="22"/>
        </w:rPr>
        <w:t xml:space="preserve">Policy Number:  </w:t>
      </w:r>
      <w:r>
        <w:rPr>
          <w:rFonts w:ascii="Calibri" w:cs="Calibri" w:eastAsia="Calibri" w:hAnsi="Calibri"/>
          <w:color w:val="333333"/>
          <w:sz w:val="22"/>
          <w:szCs w:val="22"/>
        </w:rPr>
        <w:t xml:space="preserve">[EF-023]</w:t>
      </w:r>
    </w:p>
    <w:p>
      <w:pPr>
        <w:spacing w:after="80" w:before="0" w:line="276"/>
        <w:jc w:val="center"/>
      </w:pPr>
      <w:r>
        <w:rPr>
          <w:rFonts w:ascii="Calibri" w:cs="Calibri" w:eastAsia="Calibri" w:hAnsi="Calibri"/>
          <w:b/>
          <w:bCs/>
          <w:color w:val="333333"/>
          <w:sz w:val="22"/>
          <w:szCs w:val="22"/>
        </w:rPr>
        <w:t xml:space="preserve">Version:  </w:t>
      </w:r>
      <w:r>
        <w:rPr>
          <w:rFonts w:ascii="Calibri" w:cs="Calibri" w:eastAsia="Calibri" w:hAnsi="Calibri"/>
          <w:color w:val="333333"/>
          <w:sz w:val="22"/>
          <w:szCs w:val="22"/>
        </w:rPr>
        <w:t xml:space="preserve">[1.0]</w:t>
      </w:r>
    </w:p>
    <w:p>
      <w:pPr>
        <w:spacing w:after="80" w:before="0" w:line="276"/>
        <w:jc w:val="center"/>
      </w:pPr>
      <w:r>
        <w:rPr>
          <w:rFonts w:ascii="Calibri" w:cs="Calibri" w:eastAsia="Calibri" w:hAnsi="Calibri"/>
          <w:b/>
          <w:bCs/>
          <w:color w:val="333333"/>
          <w:sz w:val="22"/>
          <w:szCs w:val="22"/>
        </w:rPr>
        <w:t xml:space="preserve">Effective Date:  </w:t>
      </w:r>
      <w:r>
        <w:rPr>
          <w:rFonts w:ascii="Calibri" w:cs="Calibri" w:eastAsia="Calibri" w:hAnsi="Calibri"/>
          <w:color w:val="333333"/>
          <w:sz w:val="22"/>
          <w:szCs w:val="22"/>
        </w:rPr>
        <w:t xml:space="preserve">[DATE]</w:t>
      </w:r>
    </w:p>
    <w:p>
      <w:pPr>
        <w:spacing w:after="80" w:before="0" w:line="276"/>
        <w:jc w:val="center"/>
      </w:pPr>
      <w:r>
        <w:rPr>
          <w:rFonts w:ascii="Calibri" w:cs="Calibri" w:eastAsia="Calibri" w:hAnsi="Calibri"/>
          <w:b/>
          <w:bCs/>
          <w:color w:val="333333"/>
          <w:sz w:val="22"/>
          <w:szCs w:val="22"/>
        </w:rPr>
        <w:t xml:space="preserve">Last Revised:  </w:t>
      </w:r>
      <w:r>
        <w:rPr>
          <w:rFonts w:ascii="Calibri" w:cs="Calibri" w:eastAsia="Calibri" w:hAnsi="Calibri"/>
          <w:color w:val="333333"/>
          <w:sz w:val="22"/>
          <w:szCs w:val="22"/>
        </w:rPr>
        <w:t xml:space="preserve">[DATE]</w:t>
      </w:r>
    </w:p>
    <w:p>
      <w:pPr>
        <w:spacing w:after="80" w:before="0" w:line="276"/>
        <w:jc w:val="center"/>
      </w:pPr>
      <w:r>
        <w:rPr>
          <w:rFonts w:ascii="Calibri" w:cs="Calibri" w:eastAsia="Calibri" w:hAnsi="Calibri"/>
          <w:b/>
          <w:bCs/>
          <w:color w:val="333333"/>
          <w:sz w:val="22"/>
          <w:szCs w:val="22"/>
        </w:rPr>
        <w:t xml:space="preserve">Policy Owner:  </w:t>
      </w:r>
      <w:r>
        <w:rPr>
          <w:rFonts w:ascii="Calibri" w:cs="Calibri" w:eastAsia="Calibri" w:hAnsi="Calibri"/>
          <w:color w:val="333333"/>
          <w:sz w:val="22"/>
          <w:szCs w:val="22"/>
        </w:rPr>
        <w:t xml:space="preserve">[TITLE / DEPARTMENT]</w:t>
      </w:r>
    </w:p>
    <w:p>
      <w:pPr>
        <w:spacing w:after="80" w:before="0" w:line="276"/>
        <w:jc w:val="center"/>
      </w:pPr>
      <w:r>
        <w:rPr>
          <w:rFonts w:ascii="Calibri" w:cs="Calibri" w:eastAsia="Calibri" w:hAnsi="Calibri"/>
          <w:b/>
          <w:bCs/>
          <w:color w:val="333333"/>
          <w:sz w:val="22"/>
          <w:szCs w:val="22"/>
        </w:rPr>
        <w:t xml:space="preserve">Approved By:  </w:t>
      </w:r>
      <w:r>
        <w:rPr>
          <w:rFonts w:ascii="Calibri" w:cs="Calibri" w:eastAsia="Calibri" w:hAnsi="Calibri"/>
          <w:color w:val="333333"/>
          <w:sz w:val="22"/>
          <w:szCs w:val="22"/>
        </w:rPr>
        <w:t xml:space="preserve">[NAME, TITLE]</w:t>
      </w:r>
    </w:p>
    <w:p>
      <w:pPr>
        <w:spacing w:after="200" w:before="0" w:line="276"/>
        <w:jc w:val="center"/>
      </w:pPr>
      <w:r>
        <w:rPr>
          <w:rFonts w:ascii="Calibri" w:cs="Calibri" w:eastAsia="Calibri" w:hAnsi="Calibri"/>
          <w:b/>
          <w:bCs/>
          <w:color w:val="333333"/>
          <w:sz w:val="22"/>
          <w:szCs w:val="22"/>
        </w:rPr>
        <w:t xml:space="preserve">Classification:  </w:t>
      </w:r>
      <w:r>
        <w:rPr>
          <w:rFonts w:ascii="Calibri" w:cs="Calibri" w:eastAsia="Calibri" w:hAnsi="Calibri"/>
          <w:color w:val="333333"/>
          <w:sz w:val="22"/>
          <w:szCs w:val="22"/>
        </w:rPr>
        <w:t xml:space="preserve">[CONFIDENTIAL / INTERNAL]</w:t>
      </w:r>
    </w:p>
    <w:p>
      <w:pPr>
        <w:spacing w:after="200" w:before="0" w:line="276"/>
        <w:jc w:val="both"/>
      </w:pPr>
      <w:r>
        <w:rPr>
          <w:rFonts w:ascii="Calibri" w:cs="Calibri" w:eastAsia="Calibri" w:hAnsi="Calibri"/>
          <w:b w:val="false"/>
          <w:bCs w:val="false"/>
          <w:i w:val="false"/>
          <w:iCs w:val="false"/>
          <w:color w:val="333333"/>
          <w:sz w:val="22"/>
          <w:szCs w:val="22"/>
        </w:rPr>
        <w:t xml:space="preserve"/>
      </w:r>
    </w:p>
    <w:p>
      <w:pPr>
        <w:spacing w:after="200" w:before="0" w:line="276"/>
        <w:jc w:val="center"/>
      </w:pPr>
      <w:r>
        <w:rPr>
          <w:rFonts w:ascii="Calibri" w:cs="Calibri" w:eastAsia="Calibri" w:hAnsi="Calibri"/>
          <w:b w:val="false"/>
          <w:bCs w:val="false"/>
          <w:i/>
          <w:iCs/>
          <w:color w:val="888888"/>
          <w:sz w:val="20"/>
          <w:szCs w:val="20"/>
        </w:rPr>
        <w:t xml:space="preserve">This document is a template provided by Montague Law for informational purposes only. It does not constitute legal advice and should not be relied upon as such. Organizations should consult qualified legal counsel before adopting, modifying, or implementing any policy based on this template. No attorney-client relationship is formed by the use of this template.</w:t>
      </w:r>
    </w:p>
    <w:p>
      <w:r>
        <w:br w:type="page"/>
      </w:r>
    </w:p>
    <w:p>
      <w:pPr>
        <w:spacing w:after="200" w:before="0" w:line="276"/>
        <w:jc w:val="center"/>
      </w:pPr>
      <w:r>
        <w:rPr>
          <w:rFonts w:ascii="Calibri" w:cs="Calibri" w:eastAsia="Calibri" w:hAnsi="Calibri"/>
          <w:b/>
          <w:bCs/>
          <w:i w:val="false"/>
          <w:iCs w:val="false"/>
          <w:color w:val="1F3864"/>
          <w:sz w:val="28"/>
          <w:szCs w:val="28"/>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 PURPOSE, SCOPE, AND DEFINITIONS</w:t>
      </w:r>
    </w:p>
    <w:p>
      <w:pPr>
        <w:pStyle w:val="Heading2"/>
        <w:spacing w:after="120" w:before="240"/>
        <w:jc w:val="left"/>
      </w:pPr>
      <w:r>
        <w:rPr>
          <w:rFonts w:ascii="Calibri" w:cs="Calibri" w:eastAsia="Calibri" w:hAnsi="Calibri"/>
          <w:b/>
          <w:bCs/>
          <w:color w:val="1F3864"/>
          <w:sz w:val="24"/>
          <w:szCs w:val="24"/>
        </w:rPr>
        <w:t xml:space="preserve">1.1 Purpose</w:t>
      </w:r>
    </w:p>
    <w:p>
      <w:pPr>
        <w:spacing w:after="120" w:before="0" w:line="276"/>
        <w:jc w:val="both"/>
      </w:pPr>
      <w:r>
        <w:rPr>
          <w:rFonts w:ascii="Calibri" w:cs="Calibri" w:eastAsia="Calibri" w:hAnsi="Calibri"/>
          <w:b w:val="false"/>
          <w:bCs w:val="false"/>
          <w:i w:val="false"/>
          <w:iCs w:val="false"/>
          <w:color w:val="333333"/>
          <w:sz w:val="22"/>
          <w:szCs w:val="22"/>
        </w:rPr>
        <w:t xml:space="preserve">This Open Source Software Policy (this "Policy") establishes the mandatory framework governing the acquisition, evaluation, approval, use, modification, combination, hosting, distribution, contribution to, and release of open-source software, source-available software, and related materials by [COMPANY NAME] (the "Company") and its subsidiaries, affiliates, divisions, and controlled joint ventures. This Policy is designed to:</w:t>
      </w:r>
    </w:p>
    <w:p>
      <w:pPr>
        <w:pStyle w:val="ListParagraph"/>
        <w:numPr>
          <w:ilvl w:val="0"/>
          <w:numId w:val="2"/>
        </w:numPr>
        <w:spacing w:after="60" w:line="276"/>
        <w:jc w:val="both"/>
      </w:pPr>
      <w:r>
        <w:rPr>
          <w:rFonts w:ascii="Calibri" w:cs="Calibri" w:eastAsia="Calibri" w:hAnsi="Calibri"/>
          <w:color w:val="333333"/>
          <w:sz w:val="22"/>
          <w:szCs w:val="22"/>
        </w:rPr>
        <w:t xml:space="preserve">Protect the Company's proprietary intellectual property and trade secrets from inadvertent disclosure, encumbrance, or loss of competitive advantage resulting from non-compliant use of open-source components;</w:t>
      </w:r>
    </w:p>
    <w:p>
      <w:pPr>
        <w:pStyle w:val="ListParagraph"/>
        <w:numPr>
          <w:ilvl w:val="0"/>
          <w:numId w:val="2"/>
        </w:numPr>
        <w:spacing w:after="60" w:line="276"/>
        <w:jc w:val="both"/>
      </w:pPr>
      <w:r>
        <w:rPr>
          <w:rFonts w:ascii="Calibri" w:cs="Calibri" w:eastAsia="Calibri" w:hAnsi="Calibri"/>
          <w:color w:val="333333"/>
          <w:sz w:val="22"/>
          <w:szCs w:val="22"/>
        </w:rPr>
        <w:t xml:space="preserve">Ensure ongoing compliance with the terms and conditions of all applicable open-source licenses, including but not limited to attribution, notice, source-code disclosure, copyleft, patent-grant, and termination provisions;</w:t>
      </w:r>
    </w:p>
    <w:p>
      <w:pPr>
        <w:pStyle w:val="ListParagraph"/>
        <w:numPr>
          <w:ilvl w:val="0"/>
          <w:numId w:val="2"/>
        </w:numPr>
        <w:spacing w:after="60" w:line="276"/>
        <w:jc w:val="both"/>
      </w:pPr>
      <w:r>
        <w:rPr>
          <w:rFonts w:ascii="Calibri" w:cs="Calibri" w:eastAsia="Calibri" w:hAnsi="Calibri"/>
          <w:color w:val="333333"/>
          <w:sz w:val="22"/>
          <w:szCs w:val="22"/>
        </w:rPr>
        <w:t xml:space="preserve">Manage and mitigate security, operational, supply-chain, and legal risks associated with the incorporation of third-party open-source components into Company products, services, infrastructure, and internal tools;</w:t>
      </w:r>
    </w:p>
    <w:p>
      <w:pPr>
        <w:pStyle w:val="ListParagraph"/>
        <w:numPr>
          <w:ilvl w:val="0"/>
          <w:numId w:val="2"/>
        </w:numPr>
        <w:spacing w:after="60" w:line="276"/>
        <w:jc w:val="both"/>
      </w:pPr>
      <w:r>
        <w:rPr>
          <w:rFonts w:ascii="Calibri" w:cs="Calibri" w:eastAsia="Calibri" w:hAnsi="Calibri"/>
          <w:color w:val="333333"/>
          <w:sz w:val="22"/>
          <w:szCs w:val="22"/>
        </w:rPr>
        <w:t xml:space="preserve">Establish clear governance structures, roles, responsibilities, decision rights, escalation paths, and accountability mechanisms for open-source activities across all business units and functional teams;</w:t>
      </w:r>
    </w:p>
    <w:p>
      <w:pPr>
        <w:pStyle w:val="ListParagraph"/>
        <w:numPr>
          <w:ilvl w:val="0"/>
          <w:numId w:val="2"/>
        </w:numPr>
        <w:spacing w:after="60" w:line="276"/>
        <w:jc w:val="both"/>
      </w:pPr>
      <w:r>
        <w:rPr>
          <w:rFonts w:ascii="Calibri" w:cs="Calibri" w:eastAsia="Calibri" w:hAnsi="Calibri"/>
          <w:color w:val="333333"/>
          <w:sz w:val="22"/>
          <w:szCs w:val="22"/>
        </w:rPr>
        <w:t xml:space="preserve">Enable the Company to participate responsibly in open-source communities through contributions, sponsorships, and releases while safeguarding Company interests; and</w:t>
      </w:r>
    </w:p>
    <w:p>
      <w:pPr>
        <w:pStyle w:val="ListParagraph"/>
        <w:numPr>
          <w:ilvl w:val="0"/>
          <w:numId w:val="2"/>
        </w:numPr>
        <w:spacing w:after="60" w:line="276"/>
        <w:jc w:val="both"/>
      </w:pPr>
      <w:r>
        <w:rPr>
          <w:rFonts w:ascii="Calibri" w:cs="Calibri" w:eastAsia="Calibri" w:hAnsi="Calibri"/>
          <w:color w:val="333333"/>
          <w:sz w:val="22"/>
          <w:szCs w:val="22"/>
        </w:rPr>
        <w:t xml:space="preserve">Satisfy customer, partner, regulatory, contractual, and audit obligations related to open-source software inventory, provenance, and license compliance.</w:t>
      </w:r>
    </w:p>
    <w:p>
      <w:pPr>
        <w:pStyle w:val="Heading2"/>
        <w:spacing w:after="120" w:before="240"/>
        <w:jc w:val="left"/>
      </w:pPr>
      <w:r>
        <w:rPr>
          <w:rFonts w:ascii="Calibri" w:cs="Calibri" w:eastAsia="Calibri" w:hAnsi="Calibri"/>
          <w:b/>
          <w:bCs/>
          <w:color w:val="1F3864"/>
          <w:sz w:val="24"/>
          <w:szCs w:val="24"/>
        </w:rPr>
        <w:t xml:space="preserve">1.2 Scope</w:t>
      </w:r>
    </w:p>
    <w:p>
      <w:pPr>
        <w:spacing w:after="120" w:before="0" w:line="276"/>
        <w:jc w:val="both"/>
      </w:pPr>
      <w:r>
        <w:rPr>
          <w:rFonts w:ascii="Calibri" w:cs="Calibri" w:eastAsia="Calibri" w:hAnsi="Calibri"/>
          <w:b w:val="false"/>
          <w:bCs w:val="false"/>
          <w:i w:val="false"/>
          <w:iCs w:val="false"/>
          <w:color w:val="333333"/>
          <w:sz w:val="22"/>
          <w:szCs w:val="22"/>
        </w:rPr>
        <w:t xml:space="preserve">This Policy applies to all Personnel (as defined below) and to all software, code, data, models, and related materials in any form that are subject to an open-source or source-available license, including without limitation:</w:t>
      </w:r>
    </w:p>
    <w:p>
      <w:pPr>
        <w:pStyle w:val="ListParagraph"/>
        <w:numPr>
          <w:ilvl w:val="0"/>
          <w:numId w:val="2"/>
        </w:numPr>
        <w:spacing w:after="60" w:line="276"/>
        <w:jc w:val="both"/>
      </w:pPr>
      <w:r>
        <w:rPr>
          <w:rFonts w:ascii="Calibri" w:cs="Calibri" w:eastAsia="Calibri" w:hAnsi="Calibri"/>
          <w:color w:val="333333"/>
          <w:sz w:val="22"/>
          <w:szCs w:val="22"/>
        </w:rPr>
        <w:t xml:space="preserve">Complete software applications, libraries, frameworks, platforms, runtimes, and operating systems;</w:t>
      </w:r>
    </w:p>
    <w:p>
      <w:pPr>
        <w:pStyle w:val="ListParagraph"/>
        <w:numPr>
          <w:ilvl w:val="0"/>
          <w:numId w:val="2"/>
        </w:numPr>
        <w:spacing w:after="60" w:line="276"/>
        <w:jc w:val="both"/>
      </w:pPr>
      <w:r>
        <w:rPr>
          <w:rFonts w:ascii="Calibri" w:cs="Calibri" w:eastAsia="Calibri" w:hAnsi="Calibri"/>
          <w:color w:val="333333"/>
          <w:sz w:val="22"/>
          <w:szCs w:val="22"/>
        </w:rPr>
        <w:t xml:space="preserve">Code snippets, code fragments, algorithms, data structures, and design patterns copied, adapted, or derived from open-source projects, forums, documentation, tutorials, or Q&amp;A sites;</w:t>
      </w:r>
    </w:p>
    <w:p>
      <w:pPr>
        <w:pStyle w:val="ListParagraph"/>
        <w:numPr>
          <w:ilvl w:val="0"/>
          <w:numId w:val="2"/>
        </w:numPr>
        <w:spacing w:after="60" w:line="276"/>
        <w:jc w:val="both"/>
      </w:pPr>
      <w:r>
        <w:rPr>
          <w:rFonts w:ascii="Calibri" w:cs="Calibri" w:eastAsia="Calibri" w:hAnsi="Calibri"/>
          <w:color w:val="333333"/>
          <w:sz w:val="22"/>
          <w:szCs w:val="22"/>
        </w:rPr>
        <w:t xml:space="preserve">Packages, modules, plug-ins, extensions, and add-ons obtained from public or private package registries (e.g., npm, PyPI, Maven Central, NuGet, crates.io, RubyGems, Conda, Homebrew);</w:t>
      </w:r>
    </w:p>
    <w:p>
      <w:pPr>
        <w:pStyle w:val="ListParagraph"/>
        <w:numPr>
          <w:ilvl w:val="0"/>
          <w:numId w:val="2"/>
        </w:numPr>
        <w:spacing w:after="60" w:line="276"/>
        <w:jc w:val="both"/>
      </w:pPr>
      <w:r>
        <w:rPr>
          <w:rFonts w:ascii="Calibri" w:cs="Calibri" w:eastAsia="Calibri" w:hAnsi="Calibri"/>
          <w:color w:val="333333"/>
          <w:sz w:val="22"/>
          <w:szCs w:val="22"/>
        </w:rPr>
        <w:t xml:space="preserve">Transitive dependencies introduced automatically by package managers, build systems, or dependency-resolution tools, whether or not explicitly declared in project manifests;</w:t>
      </w:r>
    </w:p>
    <w:p>
      <w:pPr>
        <w:pStyle w:val="ListParagraph"/>
        <w:numPr>
          <w:ilvl w:val="0"/>
          <w:numId w:val="2"/>
        </w:numPr>
        <w:spacing w:after="60" w:line="276"/>
        <w:jc w:val="both"/>
      </w:pPr>
      <w:r>
        <w:rPr>
          <w:rFonts w:ascii="Calibri" w:cs="Calibri" w:eastAsia="Calibri" w:hAnsi="Calibri"/>
          <w:color w:val="333333"/>
          <w:sz w:val="22"/>
          <w:szCs w:val="22"/>
        </w:rPr>
        <w:t xml:space="preserve">Container images, base images, layers, and sidecar components obtained from public or private container registries (e.g., Docker Hub, GitHub Container Registry, Amazon ECR Public Gallery, Google Container Registry);</w:t>
      </w:r>
    </w:p>
    <w:p>
      <w:pPr>
        <w:pStyle w:val="ListParagraph"/>
        <w:numPr>
          <w:ilvl w:val="0"/>
          <w:numId w:val="2"/>
        </w:numPr>
        <w:spacing w:after="60" w:line="276"/>
        <w:jc w:val="both"/>
      </w:pPr>
      <w:r>
        <w:rPr>
          <w:rFonts w:ascii="Calibri" w:cs="Calibri" w:eastAsia="Calibri" w:hAnsi="Calibri"/>
          <w:color w:val="333333"/>
          <w:sz w:val="22"/>
          <w:szCs w:val="22"/>
        </w:rPr>
        <w:t xml:space="preserve">Build tools, compilers, linkers, code generators, transpilers, linters, formatters, static-analysis tools, and development utilities used in the software development lifecycle;</w:t>
      </w:r>
    </w:p>
    <w:p>
      <w:pPr>
        <w:pStyle w:val="ListParagraph"/>
        <w:numPr>
          <w:ilvl w:val="0"/>
          <w:numId w:val="2"/>
        </w:numPr>
        <w:spacing w:after="60" w:line="276"/>
        <w:jc w:val="both"/>
      </w:pPr>
      <w:r>
        <w:rPr>
          <w:rFonts w:ascii="Calibri" w:cs="Calibri" w:eastAsia="Calibri" w:hAnsi="Calibri"/>
          <w:color w:val="333333"/>
          <w:sz w:val="22"/>
          <w:szCs w:val="22"/>
        </w:rPr>
        <w:t xml:space="preserve">Firmware, embedded software, bootloaders, device drivers, board support packages, and hardware-description-language (HDL) code;</w:t>
      </w:r>
    </w:p>
    <w:p>
      <w:pPr>
        <w:pStyle w:val="ListParagraph"/>
        <w:numPr>
          <w:ilvl w:val="0"/>
          <w:numId w:val="2"/>
        </w:numPr>
        <w:spacing w:after="60" w:line="276"/>
        <w:jc w:val="both"/>
      </w:pPr>
      <w:r>
        <w:rPr>
          <w:rFonts w:ascii="Calibri" w:cs="Calibri" w:eastAsia="Calibri" w:hAnsi="Calibri"/>
          <w:color w:val="333333"/>
          <w:sz w:val="22"/>
          <w:szCs w:val="22"/>
        </w:rPr>
        <w:t xml:space="preserve">Machine-learning models, pre-trained weights, fine-tuned adapters, training datasets, evaluation benchmarks, tokenizers, and inference engines released under open-source or source-available licenses;</w:t>
      </w:r>
    </w:p>
    <w:p>
      <w:pPr>
        <w:pStyle w:val="ListParagraph"/>
        <w:numPr>
          <w:ilvl w:val="0"/>
          <w:numId w:val="2"/>
        </w:numPr>
        <w:spacing w:after="60" w:line="276"/>
        <w:jc w:val="both"/>
      </w:pPr>
      <w:r>
        <w:rPr>
          <w:rFonts w:ascii="Calibri" w:cs="Calibri" w:eastAsia="Calibri" w:hAnsi="Calibri"/>
          <w:color w:val="333333"/>
          <w:sz w:val="22"/>
          <w:szCs w:val="22"/>
        </w:rPr>
        <w:t xml:space="preserve">Fonts, icons, graphics, images, audio, video, and other media assets released under open-source or Creative Commons licenses;</w:t>
      </w:r>
    </w:p>
    <w:p>
      <w:pPr>
        <w:pStyle w:val="ListParagraph"/>
        <w:numPr>
          <w:ilvl w:val="0"/>
          <w:numId w:val="2"/>
        </w:numPr>
        <w:spacing w:after="60" w:line="276"/>
        <w:jc w:val="both"/>
      </w:pPr>
      <w:r>
        <w:rPr>
          <w:rFonts w:ascii="Calibri" w:cs="Calibri" w:eastAsia="Calibri" w:hAnsi="Calibri"/>
          <w:color w:val="333333"/>
          <w:sz w:val="22"/>
          <w:szCs w:val="22"/>
        </w:rPr>
        <w:t xml:space="preserve">Documentation, specifications, schemas, API definitions, protocol descriptions, and standards reference implementations;</w:t>
      </w:r>
    </w:p>
    <w:p>
      <w:pPr>
        <w:pStyle w:val="ListParagraph"/>
        <w:numPr>
          <w:ilvl w:val="0"/>
          <w:numId w:val="2"/>
        </w:numPr>
        <w:spacing w:after="60" w:line="276"/>
        <w:jc w:val="both"/>
      </w:pPr>
      <w:r>
        <w:rPr>
          <w:rFonts w:ascii="Calibri" w:cs="Calibri" w:eastAsia="Calibri" w:hAnsi="Calibri"/>
          <w:color w:val="333333"/>
          <w:sz w:val="22"/>
          <w:szCs w:val="22"/>
        </w:rPr>
        <w:t xml:space="preserve">Code, text, configuration, or other output generated, suggested, completed, or synthesized by AI-assisted coding tools (e.g., GitHub Copilot, Amazon CodeWhisperer, Codeium, Tabnine, ChatGPT, Claude) to the extent such output may incorporate, reproduce, or be derived from open-source training data; and</w:t>
      </w:r>
    </w:p>
    <w:p>
      <w:pPr>
        <w:pStyle w:val="ListParagraph"/>
        <w:numPr>
          <w:ilvl w:val="0"/>
          <w:numId w:val="2"/>
        </w:numPr>
        <w:spacing w:after="60" w:line="276"/>
        <w:jc w:val="both"/>
      </w:pPr>
      <w:r>
        <w:rPr>
          <w:rFonts w:ascii="Calibri" w:cs="Calibri" w:eastAsia="Calibri" w:hAnsi="Calibri"/>
          <w:color w:val="333333"/>
          <w:sz w:val="22"/>
          <w:szCs w:val="22"/>
        </w:rPr>
        <w:t xml:space="preserve">Any third-party code, component, or material that is provided without fee, provided under a public license, or whose license terms impose conditions on use, modification, or distribution, regardless of how such code or material is obtained or integrated.</w:t>
      </w:r>
    </w:p>
    <w:p>
      <w:pPr>
        <w:spacing w:after="120" w:before="0" w:line="276"/>
        <w:jc w:val="both"/>
      </w:pPr>
      <w:r>
        <w:rPr>
          <w:rFonts w:ascii="Calibri" w:cs="Calibri" w:eastAsia="Calibri" w:hAnsi="Calibri"/>
          <w:b w:val="false"/>
          <w:bCs w:val="false"/>
          <w:i w:val="false"/>
          <w:iCs w:val="false"/>
          <w:color w:val="333333"/>
          <w:sz w:val="22"/>
          <w:szCs w:val="22"/>
        </w:rPr>
        <w:t xml:space="preserve">This Policy applies globally and extends to all environments, including production, staging, development, testing, quality-assurance, demonstration, proof-of-concept, internal tools, and research/experimentation environments, whether hosted on-premises, in the cloud, at the edge, or on employee workstations.</w:t>
      </w:r>
    </w:p>
    <w:p>
      <w:pPr>
        <w:pStyle w:val="Heading2"/>
        <w:spacing w:after="120" w:before="240"/>
        <w:jc w:val="left"/>
      </w:pPr>
      <w:r>
        <w:rPr>
          <w:rFonts w:ascii="Calibri" w:cs="Calibri" w:eastAsia="Calibri" w:hAnsi="Calibri"/>
          <w:b/>
          <w:bCs/>
          <w:color w:val="1F3864"/>
          <w:sz w:val="24"/>
          <w:szCs w:val="24"/>
        </w:rPr>
        <w:t xml:space="preserve">1.3 Definitions</w:t>
      </w:r>
    </w:p>
    <w:p>
      <w:pPr>
        <w:spacing w:after="120" w:before="0" w:line="276"/>
        <w:jc w:val="both"/>
      </w:pPr>
      <w:r>
        <w:rPr>
          <w:rFonts w:ascii="Calibri" w:cs="Calibri" w:eastAsia="Calibri" w:hAnsi="Calibri"/>
          <w:b w:val="false"/>
          <w:bCs w:val="false"/>
          <w:i w:val="false"/>
          <w:iCs w:val="false"/>
          <w:color w:val="333333"/>
          <w:sz w:val="22"/>
          <w:szCs w:val="22"/>
        </w:rPr>
        <w:t xml:space="preserve">As used in this Policy, the following terms have the meanings set forth below. Terms defined elsewhere in this Policy have the meanings ascribed to them in context.</w:t>
      </w:r>
    </w:p>
    <w:p>
      <w:pPr>
        <w:spacing w:after="100" w:before="0" w:line="276"/>
        <w:jc w:val="both"/>
      </w:pPr>
      <w:r>
        <w:rPr>
          <w:rFonts w:ascii="Calibri" w:cs="Calibri" w:eastAsia="Calibri" w:hAnsi="Calibri"/>
          <w:b/>
          <w:bCs/>
          <w:color w:val="333333"/>
          <w:sz w:val="22"/>
          <w:szCs w:val="22"/>
        </w:rPr>
        <w:t xml:space="preserve">"Approved Component" </w:t>
      </w:r>
      <w:r>
        <w:rPr>
          <w:rFonts w:ascii="Calibri" w:cs="Calibri" w:eastAsia="Calibri" w:hAnsi="Calibri"/>
          <w:color w:val="333333"/>
          <w:sz w:val="22"/>
          <w:szCs w:val="22"/>
        </w:rPr>
        <w:t xml:space="preserve">means any open-source or source-available Component that has completed the Approval Workflow set forth in Section 5, has been assigned an approved status in the Company's Component Registry, and whose approval has not expired, been revoked, or been suspended.</w:t>
      </w:r>
    </w:p>
    <w:p>
      <w:pPr>
        <w:spacing w:after="100" w:before="0" w:line="276"/>
        <w:jc w:val="both"/>
      </w:pPr>
      <w:r>
        <w:rPr>
          <w:rFonts w:ascii="Calibri" w:cs="Calibri" w:eastAsia="Calibri" w:hAnsi="Calibri"/>
          <w:b/>
          <w:bCs/>
          <w:color w:val="333333"/>
          <w:sz w:val="22"/>
          <w:szCs w:val="22"/>
        </w:rPr>
        <w:t xml:space="preserve">"Approval Workflow" </w:t>
      </w:r>
      <w:r>
        <w:rPr>
          <w:rFonts w:ascii="Calibri" w:cs="Calibri" w:eastAsia="Calibri" w:hAnsi="Calibri"/>
          <w:color w:val="333333"/>
          <w:sz w:val="22"/>
          <w:szCs w:val="22"/>
        </w:rPr>
        <w:t xml:space="preserve">means the multi-stage review and approval process described in Section 5 of this Policy, comprising engineering, legal, security, product, and release reviews.</w:t>
      </w:r>
    </w:p>
    <w:p>
      <w:pPr>
        <w:spacing w:after="100" w:before="0" w:line="276"/>
        <w:jc w:val="both"/>
      </w:pPr>
      <w:r>
        <w:rPr>
          <w:rFonts w:ascii="Calibri" w:cs="Calibri" w:eastAsia="Calibri" w:hAnsi="Calibri"/>
          <w:b/>
          <w:bCs/>
          <w:color w:val="333333"/>
          <w:sz w:val="22"/>
          <w:szCs w:val="22"/>
        </w:rPr>
        <w:t xml:space="preserve">"Architecture" </w:t>
      </w:r>
      <w:r>
        <w:rPr>
          <w:rFonts w:ascii="Calibri" w:cs="Calibri" w:eastAsia="Calibri" w:hAnsi="Calibri"/>
          <w:color w:val="333333"/>
          <w:sz w:val="22"/>
          <w:szCs w:val="22"/>
        </w:rPr>
        <w:t xml:space="preserve">means the manner in which a Component is integrated with, linked to, combined with, invoked by, or otherwise interacts with Company Code, including static linking, dynamic linking, subprocessing, API invocation, client-server interaction, network-service interaction, plugin/extension hosting, and embedding.</w:t>
      </w:r>
    </w:p>
    <w:p>
      <w:pPr>
        <w:spacing w:after="100" w:before="0" w:line="276"/>
        <w:jc w:val="both"/>
      </w:pPr>
      <w:r>
        <w:rPr>
          <w:rFonts w:ascii="Calibri" w:cs="Calibri" w:eastAsia="Calibri" w:hAnsi="Calibri"/>
          <w:b/>
          <w:bCs/>
          <w:color w:val="333333"/>
          <w:sz w:val="22"/>
          <w:szCs w:val="22"/>
        </w:rPr>
        <w:t xml:space="preserve">"CI/CD Pipeline" </w:t>
      </w:r>
      <w:r>
        <w:rPr>
          <w:rFonts w:ascii="Calibri" w:cs="Calibri" w:eastAsia="Calibri" w:hAnsi="Calibri"/>
          <w:color w:val="333333"/>
          <w:sz w:val="22"/>
          <w:szCs w:val="22"/>
        </w:rPr>
        <w:t xml:space="preserve">means the Company's continuous integration and continuous delivery/deployment infrastructure, including build systems, automated test suites, artifact repositories, release-management tools, and deployment automation.</w:t>
      </w:r>
    </w:p>
    <w:p>
      <w:pPr>
        <w:spacing w:after="100" w:before="0" w:line="276"/>
        <w:jc w:val="both"/>
      </w:pPr>
      <w:r>
        <w:rPr>
          <w:rFonts w:ascii="Calibri" w:cs="Calibri" w:eastAsia="Calibri" w:hAnsi="Calibri"/>
          <w:b/>
          <w:bCs/>
          <w:color w:val="333333"/>
          <w:sz w:val="22"/>
          <w:szCs w:val="22"/>
        </w:rPr>
        <w:t xml:space="preserve">"Company Code" </w:t>
      </w:r>
      <w:r>
        <w:rPr>
          <w:rFonts w:ascii="Calibri" w:cs="Calibri" w:eastAsia="Calibri" w:hAnsi="Calibri"/>
          <w:color w:val="333333"/>
          <w:sz w:val="22"/>
          <w:szCs w:val="22"/>
        </w:rPr>
        <w:t xml:space="preserve">means any software, firmware, scripts, configuration, infrastructure-as-code, models, datasets, documentation, or other materials authored, owned, licensed, controlled, or commissioned by the Company, including works created by Personnel within the scope of their employment or engagement.</w:t>
      </w:r>
    </w:p>
    <w:p>
      <w:pPr>
        <w:spacing w:after="100" w:before="0" w:line="276"/>
        <w:jc w:val="both"/>
      </w:pPr>
      <w:r>
        <w:rPr>
          <w:rFonts w:ascii="Calibri" w:cs="Calibri" w:eastAsia="Calibri" w:hAnsi="Calibri"/>
          <w:b/>
          <w:bCs/>
          <w:color w:val="333333"/>
          <w:sz w:val="22"/>
          <w:szCs w:val="22"/>
        </w:rPr>
        <w:t xml:space="preserve">"Component" </w:t>
      </w:r>
      <w:r>
        <w:rPr>
          <w:rFonts w:ascii="Calibri" w:cs="Calibri" w:eastAsia="Calibri" w:hAnsi="Calibri"/>
          <w:color w:val="333333"/>
          <w:sz w:val="22"/>
          <w:szCs w:val="22"/>
        </w:rPr>
        <w:t xml:space="preserve">means any discrete unit of open-source or source-available software, code, data, model, or material that is identified by a unique combination of name, version, and source, including all files, documentation, and ancillary materials distributed as part of such unit.</w:t>
      </w:r>
    </w:p>
    <w:p>
      <w:pPr>
        <w:spacing w:after="100" w:before="0" w:line="276"/>
        <w:jc w:val="both"/>
      </w:pPr>
      <w:r>
        <w:rPr>
          <w:rFonts w:ascii="Calibri" w:cs="Calibri" w:eastAsia="Calibri" w:hAnsi="Calibri"/>
          <w:b/>
          <w:bCs/>
          <w:color w:val="333333"/>
          <w:sz w:val="22"/>
          <w:szCs w:val="22"/>
        </w:rPr>
        <w:t xml:space="preserve">"Component Registry" </w:t>
      </w:r>
      <w:r>
        <w:rPr>
          <w:rFonts w:ascii="Calibri" w:cs="Calibri" w:eastAsia="Calibri" w:hAnsi="Calibri"/>
          <w:color w:val="333333"/>
          <w:sz w:val="22"/>
          <w:szCs w:val="22"/>
        </w:rPr>
        <w:t xml:space="preserve">means the Company's authoritative inventory of all Components that have been submitted for review, including their approval status, license information, risk tier, conditions, expiration dates, and related metadata.</w:t>
      </w:r>
    </w:p>
    <w:p>
      <w:pPr>
        <w:spacing w:after="100" w:before="0" w:line="276"/>
        <w:jc w:val="both"/>
      </w:pPr>
      <w:r>
        <w:rPr>
          <w:rFonts w:ascii="Calibri" w:cs="Calibri" w:eastAsia="Calibri" w:hAnsi="Calibri"/>
          <w:b/>
          <w:bCs/>
          <w:color w:val="333333"/>
          <w:sz w:val="22"/>
          <w:szCs w:val="22"/>
        </w:rPr>
        <w:t xml:space="preserve">"Contribution" </w:t>
      </w:r>
      <w:r>
        <w:rPr>
          <w:rFonts w:ascii="Calibri" w:cs="Calibri" w:eastAsia="Calibri" w:hAnsi="Calibri"/>
          <w:color w:val="333333"/>
          <w:sz w:val="22"/>
          <w:szCs w:val="22"/>
        </w:rPr>
        <w:t xml:space="preserve">means any code, documentation, bug report, feature request, patch, pull request, issue comment, design proposal, translation, test case, or other material submitted by Personnel to an open-source project that is not owned or controlled by the Company.</w:t>
      </w:r>
    </w:p>
    <w:p>
      <w:pPr>
        <w:spacing w:after="100" w:before="0" w:line="276"/>
        <w:jc w:val="both"/>
      </w:pPr>
      <w:r>
        <w:rPr>
          <w:rFonts w:ascii="Calibri" w:cs="Calibri" w:eastAsia="Calibri" w:hAnsi="Calibri"/>
          <w:b/>
          <w:bCs/>
          <w:color w:val="333333"/>
          <w:sz w:val="22"/>
          <w:szCs w:val="22"/>
        </w:rPr>
        <w:t xml:space="preserve">"Copyleft License" </w:t>
      </w:r>
      <w:r>
        <w:rPr>
          <w:rFonts w:ascii="Calibri" w:cs="Calibri" w:eastAsia="Calibri" w:hAnsi="Calibri"/>
          <w:color w:val="333333"/>
          <w:sz w:val="22"/>
          <w:szCs w:val="22"/>
        </w:rPr>
        <w:t xml:space="preserve">means any open-source license that conditions the right to distribute derivative works or combined works on the distribution of the source code of such works under the same or a compatible license, including without limitation the GNU General Public License (GPL) family, the GNU Affero General Public License (AGPL), the Mozilla Public License (MPL), the Eclipse Public License (EPL), the Common Development and Distribution License (CDDL), and the European Union Public License (EUPL).</w:t>
      </w:r>
    </w:p>
    <w:p>
      <w:pPr>
        <w:spacing w:after="100" w:before="0" w:line="276"/>
        <w:jc w:val="both"/>
      </w:pPr>
      <w:r>
        <w:rPr>
          <w:rFonts w:ascii="Calibri" w:cs="Calibri" w:eastAsia="Calibri" w:hAnsi="Calibri"/>
          <w:b/>
          <w:bCs/>
          <w:color w:val="333333"/>
          <w:sz w:val="22"/>
          <w:szCs w:val="22"/>
        </w:rPr>
        <w:t xml:space="preserve">"Distribution" </w:t>
      </w:r>
      <w:r>
        <w:rPr>
          <w:rFonts w:ascii="Calibri" w:cs="Calibri" w:eastAsia="Calibri" w:hAnsi="Calibri"/>
          <w:color w:val="333333"/>
          <w:sz w:val="22"/>
          <w:szCs w:val="22"/>
        </w:rPr>
        <w:t xml:space="preserve">means any act of making a Component or Company Code incorporating a Component available to any person or entity outside the Company, whether by physical delivery, electronic transmission, download, SaaS access (where the applicable license treats such access as distribution, e.g., AGPL), OEM bundling, embedding in hardware, or any other means.</w:t>
      </w:r>
    </w:p>
    <w:p>
      <w:pPr>
        <w:spacing w:after="100" w:before="0" w:line="276"/>
        <w:jc w:val="both"/>
      </w:pPr>
      <w:r>
        <w:rPr>
          <w:rFonts w:ascii="Calibri" w:cs="Calibri" w:eastAsia="Calibri" w:hAnsi="Calibri"/>
          <w:b/>
          <w:bCs/>
          <w:color w:val="333333"/>
          <w:sz w:val="22"/>
          <w:szCs w:val="22"/>
        </w:rPr>
        <w:t xml:space="preserve">"Hosted Use" </w:t>
      </w:r>
      <w:r>
        <w:rPr>
          <w:rFonts w:ascii="Calibri" w:cs="Calibri" w:eastAsia="Calibri" w:hAnsi="Calibri"/>
          <w:color w:val="333333"/>
          <w:sz w:val="22"/>
          <w:szCs w:val="22"/>
        </w:rPr>
        <w:t xml:space="preserve">means the deployment or operation of a Component on Company infrastructure (including cloud infrastructure) to provide functionality to end users, customers, or third parties over a network, without distributing a copy of the Component itself to such persons or entities.</w:t>
      </w:r>
    </w:p>
    <w:p>
      <w:pPr>
        <w:spacing w:after="100" w:before="0" w:line="276"/>
        <w:jc w:val="both"/>
      </w:pPr>
      <w:r>
        <w:rPr>
          <w:rFonts w:ascii="Calibri" w:cs="Calibri" w:eastAsia="Calibri" w:hAnsi="Calibri"/>
          <w:b/>
          <w:bCs/>
          <w:color w:val="333333"/>
          <w:sz w:val="22"/>
          <w:szCs w:val="22"/>
        </w:rPr>
        <w:t xml:space="preserve">"Intake Record" </w:t>
      </w:r>
      <w:r>
        <w:rPr>
          <w:rFonts w:ascii="Calibri" w:cs="Calibri" w:eastAsia="Calibri" w:hAnsi="Calibri"/>
          <w:color w:val="333333"/>
          <w:sz w:val="22"/>
          <w:szCs w:val="22"/>
        </w:rPr>
        <w:t xml:space="preserve">means the standardized record created for each Component submitted for review under Section 4 of this Policy, capturing the mandatory fields specified therein.</w:t>
      </w:r>
    </w:p>
    <w:p>
      <w:pPr>
        <w:spacing w:after="100" w:before="0" w:line="276"/>
        <w:jc w:val="both"/>
      </w:pPr>
      <w:r>
        <w:rPr>
          <w:rFonts w:ascii="Calibri" w:cs="Calibri" w:eastAsia="Calibri" w:hAnsi="Calibri"/>
          <w:b/>
          <w:bCs/>
          <w:color w:val="333333"/>
          <w:sz w:val="22"/>
          <w:szCs w:val="22"/>
        </w:rPr>
        <w:t xml:space="preserve">"Modification" </w:t>
      </w:r>
      <w:r>
        <w:rPr>
          <w:rFonts w:ascii="Calibri" w:cs="Calibri" w:eastAsia="Calibri" w:hAnsi="Calibri"/>
          <w:color w:val="333333"/>
          <w:sz w:val="22"/>
          <w:szCs w:val="22"/>
        </w:rPr>
        <w:t xml:space="preserve">means any alteration, adaptation, translation, enhancement, bug fix, patch, extension, abridgment, or transformation of a Component, or any creation of a derivative work (as that term is understood under applicable copyright law) based upon a Component.</w:t>
      </w:r>
    </w:p>
    <w:p>
      <w:pPr>
        <w:spacing w:after="100" w:before="0" w:line="276"/>
        <w:jc w:val="both"/>
      </w:pPr>
      <w:r>
        <w:rPr>
          <w:rFonts w:ascii="Calibri" w:cs="Calibri" w:eastAsia="Calibri" w:hAnsi="Calibri"/>
          <w:b/>
          <w:bCs/>
          <w:color w:val="333333"/>
          <w:sz w:val="22"/>
          <w:szCs w:val="22"/>
        </w:rPr>
        <w:t xml:space="preserve">"Open Source Review Board (OSRB)" </w:t>
      </w:r>
      <w:r>
        <w:rPr>
          <w:rFonts w:ascii="Calibri" w:cs="Calibri" w:eastAsia="Calibri" w:hAnsi="Calibri"/>
          <w:color w:val="333333"/>
          <w:sz w:val="22"/>
          <w:szCs w:val="22"/>
        </w:rPr>
        <w:t xml:space="preserve">means the cross-functional body described in Section 5.1, responsible for overseeing the Company's open-source governance program and adjudicating escalated approval requests and exceptions.</w:t>
      </w:r>
    </w:p>
    <w:p>
      <w:pPr>
        <w:spacing w:after="100" w:before="0" w:line="276"/>
        <w:jc w:val="both"/>
      </w:pPr>
      <w:r>
        <w:rPr>
          <w:rFonts w:ascii="Calibri" w:cs="Calibri" w:eastAsia="Calibri" w:hAnsi="Calibri"/>
          <w:b/>
          <w:bCs/>
          <w:color w:val="333333"/>
          <w:sz w:val="22"/>
          <w:szCs w:val="22"/>
        </w:rPr>
        <w:t xml:space="preserve">"Permissive License" </w:t>
      </w:r>
      <w:r>
        <w:rPr>
          <w:rFonts w:ascii="Calibri" w:cs="Calibri" w:eastAsia="Calibri" w:hAnsi="Calibri"/>
          <w:color w:val="333333"/>
          <w:sz w:val="22"/>
          <w:szCs w:val="22"/>
        </w:rPr>
        <w:t xml:space="preserve">means any open-source license that permits use, modification, and distribution of the licensed software with minimal restrictions, typically limited to attribution and disclaimer requirements, including without limitation the MIT License, the BSD 2-Clause and 3-Clause Licenses, the Apache License 2.0, the ISC License, the Unlicense, and the zlib License.</w:t>
      </w:r>
    </w:p>
    <w:p>
      <w:pPr>
        <w:spacing w:after="100" w:before="0" w:line="276"/>
        <w:jc w:val="both"/>
      </w:pPr>
      <w:r>
        <w:rPr>
          <w:rFonts w:ascii="Calibri" w:cs="Calibri" w:eastAsia="Calibri" w:hAnsi="Calibri"/>
          <w:b/>
          <w:bCs/>
          <w:color w:val="333333"/>
          <w:sz w:val="22"/>
          <w:szCs w:val="22"/>
        </w:rPr>
        <w:t xml:space="preserve">"Personnel" </w:t>
      </w:r>
      <w:r>
        <w:rPr>
          <w:rFonts w:ascii="Calibri" w:cs="Calibri" w:eastAsia="Calibri" w:hAnsi="Calibri"/>
          <w:color w:val="333333"/>
          <w:sz w:val="22"/>
          <w:szCs w:val="22"/>
        </w:rPr>
        <w:t xml:space="preserve">means all employees, officers, directors, contractors, consultants, temporary workers, interns, agents, and any other individuals performing work on behalf of, or providing services to, the Company, regardless of location, employment status, or contractual arrangement.</w:t>
      </w:r>
    </w:p>
    <w:p>
      <w:pPr>
        <w:spacing w:after="100" w:before="0" w:line="276"/>
        <w:jc w:val="both"/>
      </w:pPr>
      <w:r>
        <w:rPr>
          <w:rFonts w:ascii="Calibri" w:cs="Calibri" w:eastAsia="Calibri" w:hAnsi="Calibri"/>
          <w:b/>
          <w:bCs/>
          <w:color w:val="333333"/>
          <w:sz w:val="22"/>
          <w:szCs w:val="22"/>
        </w:rPr>
        <w:t xml:space="preserve">"Release" </w:t>
      </w:r>
      <w:r>
        <w:rPr>
          <w:rFonts w:ascii="Calibri" w:cs="Calibri" w:eastAsia="Calibri" w:hAnsi="Calibri"/>
          <w:color w:val="333333"/>
          <w:sz w:val="22"/>
          <w:szCs w:val="22"/>
        </w:rPr>
        <w:t xml:space="preserve">means any open-source project initiated, created, published, or maintained by the Company and made available to the public under an open-source license.</w:t>
      </w:r>
    </w:p>
    <w:p>
      <w:pPr>
        <w:spacing w:after="100" w:before="0" w:line="276"/>
        <w:jc w:val="both"/>
      </w:pPr>
      <w:r>
        <w:rPr>
          <w:rFonts w:ascii="Calibri" w:cs="Calibri" w:eastAsia="Calibri" w:hAnsi="Calibri"/>
          <w:b/>
          <w:bCs/>
          <w:color w:val="333333"/>
          <w:sz w:val="22"/>
          <w:szCs w:val="22"/>
        </w:rPr>
        <w:t xml:space="preserve">"SBOM (Software Bill of Materials)" </w:t>
      </w:r>
      <w:r>
        <w:rPr>
          <w:rFonts w:ascii="Calibri" w:cs="Calibri" w:eastAsia="Calibri" w:hAnsi="Calibri"/>
          <w:color w:val="333333"/>
          <w:sz w:val="22"/>
          <w:szCs w:val="22"/>
        </w:rPr>
        <w:t xml:space="preserve">means a comprehensive, machine-readable inventory of all Components (direct and transitive) present in a given software product, service, build, or release, conforming to an accepted standard format (e.g., SPDX, CycloneDX, SWID).</w:t>
      </w:r>
    </w:p>
    <w:p>
      <w:pPr>
        <w:spacing w:after="100" w:before="0" w:line="276"/>
        <w:jc w:val="both"/>
      </w:pPr>
      <w:r>
        <w:rPr>
          <w:rFonts w:ascii="Calibri" w:cs="Calibri" w:eastAsia="Calibri" w:hAnsi="Calibri"/>
          <w:b/>
          <w:bCs/>
          <w:color w:val="333333"/>
          <w:sz w:val="22"/>
          <w:szCs w:val="22"/>
        </w:rPr>
        <w:t xml:space="preserve">"Source Available" </w:t>
      </w:r>
      <w:r>
        <w:rPr>
          <w:rFonts w:ascii="Calibri" w:cs="Calibri" w:eastAsia="Calibri" w:hAnsi="Calibri"/>
          <w:color w:val="333333"/>
          <w:sz w:val="22"/>
          <w:szCs w:val="22"/>
        </w:rPr>
        <w:t xml:space="preserve">means software whose source code is publicly viewable but whose license terms impose restrictions that do not satisfy the Open Source Definition maintained by the Open Source Initiative, including licenses that restrict commercial use, competitive use, field of use, or production deployment (e.g., Server Side Public License (SSPL), Business Source License (BSL/BUSL), Elastic License, Confluent Community License, MongoDB SSPL, Redis Source Available License (RSALv2), Functional Source License (FSL)).</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2. CORE GATE</w:t>
      </w:r>
    </w:p>
    <w:p>
      <w:pPr>
        <w:pStyle w:val="Heading2"/>
        <w:spacing w:after="120" w:before="240"/>
        <w:jc w:val="left"/>
      </w:pPr>
      <w:r>
        <w:rPr>
          <w:rFonts w:ascii="Calibri" w:cs="Calibri" w:eastAsia="Calibri" w:hAnsi="Calibri"/>
          <w:b/>
          <w:bCs/>
          <w:color w:val="1F3864"/>
          <w:sz w:val="24"/>
          <w:szCs w:val="24"/>
        </w:rPr>
        <w:t xml:space="preserve">2.1 Mandatory Pre-Approval Requirement</w:t>
      </w:r>
    </w:p>
    <w:p>
      <w:pPr>
        <w:spacing w:after="120" w:before="0" w:line="276"/>
        <w:jc w:val="both"/>
      </w:pPr>
      <w:r>
        <w:rPr>
          <w:rFonts w:ascii="Calibri" w:cs="Calibri" w:eastAsia="Calibri" w:hAnsi="Calibri"/>
          <w:b w:val="false"/>
          <w:bCs w:val="false"/>
          <w:i w:val="false"/>
          <w:iCs w:val="false"/>
          <w:color w:val="333333"/>
          <w:sz w:val="22"/>
          <w:szCs w:val="22"/>
        </w:rPr>
        <w:t xml:space="preserve">No Component shall be introduced into, incorporated within, linked to, deployed alongside, or otherwise used in connection with any Company Code, Company system, Company product, Company service, or Company infrastructure unless and until such Component has completed the Approval Workflow described in Section 5 and has been assigned an "Approved" status in the Component Registry. This requirement applies regardless of:</w:t>
      </w:r>
    </w:p>
    <w:p>
      <w:pPr>
        <w:pStyle w:val="ListParagraph"/>
        <w:numPr>
          <w:ilvl w:val="0"/>
          <w:numId w:val="2"/>
        </w:numPr>
        <w:spacing w:after="60" w:line="276"/>
        <w:jc w:val="both"/>
      </w:pPr>
      <w:r>
        <w:rPr>
          <w:rFonts w:ascii="Calibri" w:cs="Calibri" w:eastAsia="Calibri" w:hAnsi="Calibri"/>
          <w:color w:val="333333"/>
          <w:sz w:val="22"/>
          <w:szCs w:val="22"/>
        </w:rPr>
        <w:t xml:space="preserve">The nature of the environment (production, staging, development, testing, proof-of-concept, or research);</w:t>
      </w:r>
    </w:p>
    <w:p>
      <w:pPr>
        <w:pStyle w:val="ListParagraph"/>
        <w:numPr>
          <w:ilvl w:val="0"/>
          <w:numId w:val="2"/>
        </w:numPr>
        <w:spacing w:after="60" w:line="276"/>
        <w:jc w:val="both"/>
      </w:pPr>
      <w:r>
        <w:rPr>
          <w:rFonts w:ascii="Calibri" w:cs="Calibri" w:eastAsia="Calibri" w:hAnsi="Calibri"/>
          <w:color w:val="333333"/>
          <w:sz w:val="22"/>
          <w:szCs w:val="22"/>
        </w:rPr>
        <w:t xml:space="preserve">The method of introduction (direct inclusion, transitive dependency, container base image, build tool, code generation, AI suggestion, copy-paste, or any other means);</w:t>
      </w:r>
    </w:p>
    <w:p>
      <w:pPr>
        <w:pStyle w:val="ListParagraph"/>
        <w:numPr>
          <w:ilvl w:val="0"/>
          <w:numId w:val="2"/>
        </w:numPr>
        <w:spacing w:after="60" w:line="276"/>
        <w:jc w:val="both"/>
      </w:pPr>
      <w:r>
        <w:rPr>
          <w:rFonts w:ascii="Calibri" w:cs="Calibri" w:eastAsia="Calibri" w:hAnsi="Calibri"/>
          <w:color w:val="333333"/>
          <w:sz w:val="22"/>
          <w:szCs w:val="22"/>
        </w:rPr>
        <w:t xml:space="preserve">The perceived risk level of the Component or its license;</w:t>
      </w:r>
    </w:p>
    <w:p>
      <w:pPr>
        <w:pStyle w:val="ListParagraph"/>
        <w:numPr>
          <w:ilvl w:val="0"/>
          <w:numId w:val="2"/>
        </w:numPr>
        <w:spacing w:after="60" w:line="276"/>
        <w:jc w:val="both"/>
      </w:pPr>
      <w:r>
        <w:rPr>
          <w:rFonts w:ascii="Calibri" w:cs="Calibri" w:eastAsia="Calibri" w:hAnsi="Calibri"/>
          <w:color w:val="333333"/>
          <w:sz w:val="22"/>
          <w:szCs w:val="22"/>
        </w:rPr>
        <w:t xml:space="preserve">The urgency of the business need or project timeline; and</w:t>
      </w:r>
    </w:p>
    <w:p>
      <w:pPr>
        <w:pStyle w:val="ListParagraph"/>
        <w:numPr>
          <w:ilvl w:val="0"/>
          <w:numId w:val="2"/>
        </w:numPr>
        <w:spacing w:after="60" w:line="276"/>
        <w:jc w:val="both"/>
      </w:pPr>
      <w:r>
        <w:rPr>
          <w:rFonts w:ascii="Calibri" w:cs="Calibri" w:eastAsia="Calibri" w:hAnsi="Calibri"/>
          <w:color w:val="333333"/>
          <w:sz w:val="22"/>
          <w:szCs w:val="22"/>
        </w:rPr>
        <w:t xml:space="preserve">The seniority or role of the individual seeking to introduce the Component.</w:t>
      </w:r>
    </w:p>
    <w:p>
      <w:pPr>
        <w:pStyle w:val="Heading2"/>
        <w:spacing w:after="120" w:before="240"/>
        <w:jc w:val="left"/>
      </w:pPr>
      <w:r>
        <w:rPr>
          <w:rFonts w:ascii="Calibri" w:cs="Calibri" w:eastAsia="Calibri" w:hAnsi="Calibri"/>
          <w:b/>
          <w:bCs/>
          <w:color w:val="1F3864"/>
          <w:sz w:val="24"/>
          <w:szCs w:val="24"/>
        </w:rPr>
        <w:t xml:space="preserve">2.2 Prohibition on Unapproved Use</w:t>
      </w:r>
    </w:p>
    <w:p>
      <w:pPr>
        <w:spacing w:after="120" w:before="0" w:line="276"/>
        <w:jc w:val="both"/>
      </w:pPr>
      <w:r>
        <w:rPr>
          <w:rFonts w:ascii="Calibri" w:cs="Calibri" w:eastAsia="Calibri" w:hAnsi="Calibri"/>
          <w:b w:val="false"/>
          <w:bCs w:val="false"/>
          <w:i w:val="false"/>
          <w:iCs w:val="false"/>
          <w:color w:val="333333"/>
          <w:sz w:val="22"/>
          <w:szCs w:val="22"/>
        </w:rPr>
        <w:t xml:space="preserve">Any Personnel who introduces or causes to be introduced a Component into Company Code or Company systems without completing the Approval Workflow commits a violation of this Policy. Violations are subject to the enforcement and disciplinary measures described in Section 15.4. The Open Source Review Board may, in its discretion, order the immediate removal of any unapproved Component and the remediation of any affected builds, releases, or deployments.</w:t>
      </w:r>
    </w:p>
    <w:p>
      <w:pPr>
        <w:pStyle w:val="Heading2"/>
        <w:spacing w:after="120" w:before="240"/>
        <w:jc w:val="left"/>
      </w:pPr>
      <w:r>
        <w:rPr>
          <w:rFonts w:ascii="Calibri" w:cs="Calibri" w:eastAsia="Calibri" w:hAnsi="Calibri"/>
          <w:b/>
          <w:bCs/>
          <w:color w:val="1F3864"/>
          <w:sz w:val="24"/>
          <w:szCs w:val="24"/>
        </w:rPr>
        <w:t xml:space="preserve">2.3 Automated Enforcement</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implement automated controls within its CI/CD Pipeline, source-code management systems, and artifact repositories to detect and block the introduction of unapproved Components. These controls are described in detail in Section 8 and shall include, at a minimum:</w:t>
      </w:r>
    </w:p>
    <w:p>
      <w:pPr>
        <w:pStyle w:val="ListParagraph"/>
        <w:numPr>
          <w:ilvl w:val="0"/>
          <w:numId w:val="2"/>
        </w:numPr>
        <w:spacing w:after="60" w:line="276"/>
        <w:jc w:val="both"/>
      </w:pPr>
      <w:r>
        <w:rPr>
          <w:rFonts w:ascii="Calibri" w:cs="Calibri" w:eastAsia="Calibri" w:hAnsi="Calibri"/>
          <w:color w:val="333333"/>
          <w:sz w:val="22"/>
          <w:szCs w:val="22"/>
        </w:rPr>
        <w:t xml:space="preserve">Pre-commit and pre-merge hooks that scan proposed code changes for new or modified Component dependencies;</w:t>
      </w:r>
    </w:p>
    <w:p>
      <w:pPr>
        <w:pStyle w:val="ListParagraph"/>
        <w:numPr>
          <w:ilvl w:val="0"/>
          <w:numId w:val="2"/>
        </w:numPr>
        <w:spacing w:after="60" w:line="276"/>
        <w:jc w:val="both"/>
      </w:pPr>
      <w:r>
        <w:rPr>
          <w:rFonts w:ascii="Calibri" w:cs="Calibri" w:eastAsia="Calibri" w:hAnsi="Calibri"/>
          <w:color w:val="333333"/>
          <w:sz w:val="22"/>
          <w:szCs w:val="22"/>
        </w:rPr>
        <w:t xml:space="preserve">Build-pipeline gates that compare resolved dependency trees against the Component Registry and fail builds that include unapproved Components;</w:t>
      </w:r>
    </w:p>
    <w:p>
      <w:pPr>
        <w:pStyle w:val="ListParagraph"/>
        <w:numPr>
          <w:ilvl w:val="0"/>
          <w:numId w:val="2"/>
        </w:numPr>
        <w:spacing w:after="60" w:line="276"/>
        <w:jc w:val="both"/>
      </w:pPr>
      <w:r>
        <w:rPr>
          <w:rFonts w:ascii="Calibri" w:cs="Calibri" w:eastAsia="Calibri" w:hAnsi="Calibri"/>
          <w:color w:val="333333"/>
          <w:sz w:val="22"/>
          <w:szCs w:val="22"/>
        </w:rPr>
        <w:t xml:space="preserve">Container-image scanning that identifies unapproved base images, layers, or packages; and</w:t>
      </w:r>
    </w:p>
    <w:p>
      <w:pPr>
        <w:pStyle w:val="ListParagraph"/>
        <w:numPr>
          <w:ilvl w:val="0"/>
          <w:numId w:val="2"/>
        </w:numPr>
        <w:spacing w:after="60" w:line="276"/>
        <w:jc w:val="both"/>
      </w:pPr>
      <w:r>
        <w:rPr>
          <w:rFonts w:ascii="Calibri" w:cs="Calibri" w:eastAsia="Calibri" w:hAnsi="Calibri"/>
          <w:color w:val="333333"/>
          <w:sz w:val="22"/>
          <w:szCs w:val="22"/>
        </w:rPr>
        <w:t xml:space="preserve">Periodic full-repository scans to detect Components that may have bypassed real-time controls.</w:t>
      </w:r>
    </w:p>
    <w:p>
      <w:pPr>
        <w:pStyle w:val="Heading2"/>
        <w:spacing w:after="120" w:before="240"/>
        <w:jc w:val="left"/>
      </w:pPr>
      <w:r>
        <w:rPr>
          <w:rFonts w:ascii="Calibri" w:cs="Calibri" w:eastAsia="Calibri" w:hAnsi="Calibri"/>
          <w:b/>
          <w:bCs/>
          <w:color w:val="1F3864"/>
          <w:sz w:val="24"/>
          <w:szCs w:val="24"/>
        </w:rPr>
        <w:t xml:space="preserve">2.4 Exceptions</w:t>
      </w:r>
    </w:p>
    <w:p>
      <w:pPr>
        <w:spacing w:after="120" w:before="0" w:line="276"/>
        <w:jc w:val="both"/>
      </w:pPr>
      <w:r>
        <w:rPr>
          <w:rFonts w:ascii="Calibri" w:cs="Calibri" w:eastAsia="Calibri" w:hAnsi="Calibri"/>
          <w:b w:val="false"/>
          <w:bCs w:val="false"/>
          <w:i w:val="false"/>
          <w:iCs w:val="false"/>
          <w:color w:val="333333"/>
          <w:sz w:val="22"/>
          <w:szCs w:val="22"/>
        </w:rPr>
        <w:t xml:space="preserve">Time-limited exceptions to the Core Gate may be granted only through the exception process described in Section 15.1. No Personnel shall self-authorize an exception. All exceptions require documented business justification, risk assessment, compensating controls, and an expiration date not to exceed [90/180] days without renewal.</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3. RISK TIERS</w:t>
      </w:r>
    </w:p>
    <w:p>
      <w:pPr>
        <w:pStyle w:val="Heading2"/>
        <w:spacing w:after="120" w:before="240"/>
        <w:jc w:val="left"/>
      </w:pPr>
      <w:r>
        <w:rPr>
          <w:rFonts w:ascii="Calibri" w:cs="Calibri" w:eastAsia="Calibri" w:hAnsi="Calibri"/>
          <w:b/>
          <w:bCs/>
          <w:color w:val="1F3864"/>
          <w:sz w:val="24"/>
          <w:szCs w:val="24"/>
        </w:rPr>
        <w:t xml:space="preserve">3.1 Tier Classification Framework</w:t>
      </w:r>
    </w:p>
    <w:p>
      <w:pPr>
        <w:spacing w:after="120" w:before="0" w:line="276"/>
        <w:jc w:val="both"/>
      </w:pPr>
      <w:r>
        <w:rPr>
          <w:rFonts w:ascii="Calibri" w:cs="Calibri" w:eastAsia="Calibri" w:hAnsi="Calibri"/>
          <w:b w:val="false"/>
          <w:bCs w:val="false"/>
          <w:i w:val="false"/>
          <w:iCs w:val="false"/>
          <w:color w:val="333333"/>
          <w:sz w:val="22"/>
          <w:szCs w:val="22"/>
        </w:rPr>
        <w:t xml:space="preserve">All Components shall be classified into one of three risk tiers based on their license terms, intended use, architecture, and associated legal, security, and operational risks. Tier classification is determined during the Approval Workflow and recorded in the Component Registry.</w:t>
      </w:r>
    </w:p>
    <w:p>
      <w:pPr>
        <w:pStyle w:val="Heading2"/>
        <w:spacing w:after="120" w:before="240"/>
        <w:jc w:val="left"/>
      </w:pPr>
      <w:r>
        <w:rPr>
          <w:rFonts w:ascii="Calibri" w:cs="Calibri" w:eastAsia="Calibri" w:hAnsi="Calibri"/>
          <w:b/>
          <w:bCs/>
          <w:color w:val="1F3864"/>
          <w:sz w:val="24"/>
          <w:szCs w:val="24"/>
        </w:rPr>
        <w:t xml:space="preserve">3.2 Tier 1 — Preapproved (Low Risk)</w:t>
      </w:r>
    </w:p>
    <w:p>
      <w:pPr>
        <w:spacing w:after="120" w:before="0" w:line="276"/>
        <w:jc w:val="both"/>
      </w:pPr>
      <w:r>
        <w:rPr>
          <w:rFonts w:ascii="Calibri" w:cs="Calibri" w:eastAsia="Calibri" w:hAnsi="Calibri"/>
          <w:b w:val="false"/>
          <w:bCs w:val="false"/>
          <w:i w:val="false"/>
          <w:iCs w:val="false"/>
          <w:color w:val="333333"/>
          <w:sz w:val="22"/>
          <w:szCs w:val="22"/>
        </w:rPr>
        <w:t xml:space="preserve">Components classified as Tier 1 have undergone an initial review by the Open Source Review Board and have been placed on the Preapproved List. Personnel may use Tier 1 Components without submitting an individual Intake Record, provided that:</w:t>
      </w:r>
    </w:p>
    <w:p>
      <w:pPr>
        <w:pStyle w:val="ListParagraph"/>
        <w:numPr>
          <w:ilvl w:val="0"/>
          <w:numId w:val="2"/>
        </w:numPr>
        <w:spacing w:after="60" w:line="276"/>
        <w:jc w:val="both"/>
      </w:pPr>
      <w:r>
        <w:rPr>
          <w:rFonts w:ascii="Calibri" w:cs="Calibri" w:eastAsia="Calibri" w:hAnsi="Calibri"/>
          <w:color w:val="333333"/>
          <w:sz w:val="22"/>
          <w:szCs w:val="22"/>
        </w:rPr>
        <w:t xml:space="preserve">The Component is used in a manner consistent with the conditions recorded on the Preapproved List (e.g., permitted architectures, permitted use cases);</w:t>
      </w:r>
    </w:p>
    <w:p>
      <w:pPr>
        <w:pStyle w:val="ListParagraph"/>
        <w:numPr>
          <w:ilvl w:val="0"/>
          <w:numId w:val="2"/>
        </w:numPr>
        <w:spacing w:after="60" w:line="276"/>
        <w:jc w:val="both"/>
      </w:pPr>
      <w:r>
        <w:rPr>
          <w:rFonts w:ascii="Calibri" w:cs="Calibri" w:eastAsia="Calibri" w:hAnsi="Calibri"/>
          <w:color w:val="333333"/>
          <w:sz w:val="22"/>
          <w:szCs w:val="22"/>
        </w:rPr>
        <w:t xml:space="preserve">The Component version used is within the approved version range or is a newer patch/minor release of an approved version, unless the Preapproved List specifies otherwise;</w:t>
      </w:r>
    </w:p>
    <w:p>
      <w:pPr>
        <w:pStyle w:val="ListParagraph"/>
        <w:numPr>
          <w:ilvl w:val="0"/>
          <w:numId w:val="2"/>
        </w:numPr>
        <w:spacing w:after="60" w:line="276"/>
        <w:jc w:val="both"/>
      </w:pPr>
      <w:r>
        <w:rPr>
          <w:rFonts w:ascii="Calibri" w:cs="Calibri" w:eastAsia="Calibri" w:hAnsi="Calibri"/>
          <w:color w:val="333333"/>
          <w:sz w:val="22"/>
          <w:szCs w:val="22"/>
        </w:rPr>
        <w:t xml:space="preserve">The Component's license has not changed from the version reviewed; and</w:t>
      </w:r>
    </w:p>
    <w:p>
      <w:pPr>
        <w:pStyle w:val="ListParagraph"/>
        <w:numPr>
          <w:ilvl w:val="0"/>
          <w:numId w:val="2"/>
        </w:numPr>
        <w:spacing w:after="60" w:line="276"/>
        <w:jc w:val="both"/>
      </w:pPr>
      <w:r>
        <w:rPr>
          <w:rFonts w:ascii="Calibri" w:cs="Calibri" w:eastAsia="Calibri" w:hAnsi="Calibri"/>
          <w:color w:val="333333"/>
          <w:sz w:val="22"/>
          <w:szCs w:val="22"/>
        </w:rPr>
        <w:t xml:space="preserve">The Personnel using the Component registers its use in the Component Registry for inventory-tracking purposes.</w:t>
      </w:r>
    </w:p>
    <w:p>
      <w:pPr>
        <w:spacing w:after="120" w:before="0" w:line="276"/>
        <w:jc w:val="both"/>
      </w:pPr>
      <w:r>
        <w:rPr>
          <w:rFonts w:ascii="Calibri" w:cs="Calibri" w:eastAsia="Calibri" w:hAnsi="Calibri"/>
          <w:b/>
          <w:bCs/>
          <w:color w:val="333333"/>
          <w:sz w:val="22"/>
          <w:szCs w:val="22"/>
        </w:rPr>
        <w:t xml:space="preserve">Typical Tier 1 Licenses:  </w:t>
      </w:r>
      <w:r>
        <w:rPr>
          <w:rFonts w:ascii="Calibri" w:cs="Calibri" w:eastAsia="Calibri" w:hAnsi="Calibri"/>
          <w:color w:val="333333"/>
          <w:sz w:val="22"/>
          <w:szCs w:val="22"/>
        </w:rPr>
        <w:t xml:space="preserve">MIT, BSD-2-Clause, BSD-3-Clause, Apache-2.0, ISC, Unlicense, zlib, CC0-1.0, 0BSD, when used without modification in standard architectures.</w:t>
      </w:r>
    </w:p>
    <w:p>
      <w:pPr>
        <w:pStyle w:val="Heading2"/>
        <w:spacing w:after="120" w:before="240"/>
        <w:jc w:val="left"/>
      </w:pPr>
      <w:r>
        <w:rPr>
          <w:rFonts w:ascii="Calibri" w:cs="Calibri" w:eastAsia="Calibri" w:hAnsi="Calibri"/>
          <w:b/>
          <w:bCs/>
          <w:color w:val="1F3864"/>
          <w:sz w:val="24"/>
          <w:szCs w:val="24"/>
        </w:rPr>
        <w:t xml:space="preserve">3.3 Tier 2 — Review Required (Moderate Risk)</w:t>
      </w:r>
    </w:p>
    <w:p>
      <w:pPr>
        <w:spacing w:after="120" w:before="0" w:line="276"/>
        <w:jc w:val="both"/>
      </w:pPr>
      <w:r>
        <w:rPr>
          <w:rFonts w:ascii="Calibri" w:cs="Calibri" w:eastAsia="Calibri" w:hAnsi="Calibri"/>
          <w:b w:val="false"/>
          <w:bCs w:val="false"/>
          <w:i w:val="false"/>
          <w:iCs w:val="false"/>
          <w:color w:val="333333"/>
          <w:sz w:val="22"/>
          <w:szCs w:val="22"/>
        </w:rPr>
        <w:t xml:space="preserve">Components classified as Tier 2 require an individual Intake Record and must complete the full Approval Workflow before use. Tier 2 includes:</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Copyleft Licenses, including weak copyleft (LGPL, MPL, EPL, CDDL) and any copyleft license used with a linking or combining architecture that could trigger copyleft obligations;</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Permissive Licenses when used in a manner involving Modification, custom builds, or non-standard architectures;</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licenses with patent-retaliation, litigation, or termination clauses (e.g., Apache-2.0 patent clause implications, CPL, IPL);</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licenses with field-of-use restrictions, geographic restrictions, or other atypical conditions;</w:t>
      </w:r>
    </w:p>
    <w:p>
      <w:pPr>
        <w:pStyle w:val="ListParagraph"/>
        <w:numPr>
          <w:ilvl w:val="0"/>
          <w:numId w:val="2"/>
        </w:numPr>
        <w:spacing w:after="60" w:line="276"/>
        <w:jc w:val="both"/>
      </w:pPr>
      <w:r>
        <w:rPr>
          <w:rFonts w:ascii="Calibri" w:cs="Calibri" w:eastAsia="Calibri" w:hAnsi="Calibri"/>
          <w:color w:val="333333"/>
          <w:sz w:val="22"/>
          <w:szCs w:val="22"/>
        </w:rPr>
        <w:t xml:space="preserve">Components with dual-licensing or multi-licensing arrangements;</w:t>
      </w:r>
    </w:p>
    <w:p>
      <w:pPr>
        <w:pStyle w:val="ListParagraph"/>
        <w:numPr>
          <w:ilvl w:val="0"/>
          <w:numId w:val="2"/>
        </w:numPr>
        <w:spacing w:after="60" w:line="276"/>
        <w:jc w:val="both"/>
      </w:pPr>
      <w:r>
        <w:rPr>
          <w:rFonts w:ascii="Calibri" w:cs="Calibri" w:eastAsia="Calibri" w:hAnsi="Calibri"/>
          <w:color w:val="333333"/>
          <w:sz w:val="22"/>
          <w:szCs w:val="22"/>
        </w:rPr>
        <w:t xml:space="preserve">Components that include or depend upon datasets, models, or weights with license terms applicable to outputs;</w:t>
      </w:r>
    </w:p>
    <w:p>
      <w:pPr>
        <w:pStyle w:val="ListParagraph"/>
        <w:numPr>
          <w:ilvl w:val="0"/>
          <w:numId w:val="2"/>
        </w:numPr>
        <w:spacing w:after="60" w:line="276"/>
        <w:jc w:val="both"/>
      </w:pPr>
      <w:r>
        <w:rPr>
          <w:rFonts w:ascii="Calibri" w:cs="Calibri" w:eastAsia="Calibri" w:hAnsi="Calibri"/>
          <w:color w:val="333333"/>
          <w:sz w:val="22"/>
          <w:szCs w:val="22"/>
        </w:rPr>
        <w:t xml:space="preserve">Components that are Source Available; and</w:t>
      </w:r>
    </w:p>
    <w:p>
      <w:pPr>
        <w:pStyle w:val="ListParagraph"/>
        <w:numPr>
          <w:ilvl w:val="0"/>
          <w:numId w:val="2"/>
        </w:numPr>
        <w:spacing w:after="60" w:line="276"/>
        <w:jc w:val="both"/>
      </w:pPr>
      <w:r>
        <w:rPr>
          <w:rFonts w:ascii="Calibri" w:cs="Calibri" w:eastAsia="Calibri" w:hAnsi="Calibri"/>
          <w:color w:val="333333"/>
          <w:sz w:val="22"/>
          <w:szCs w:val="22"/>
        </w:rPr>
        <w:t xml:space="preserve">Components whose license or provenance cannot be conclusively determined without additional investigation.</w:t>
      </w:r>
    </w:p>
    <w:p>
      <w:pPr>
        <w:pStyle w:val="Heading2"/>
        <w:spacing w:after="120" w:before="240"/>
        <w:jc w:val="left"/>
      </w:pPr>
      <w:r>
        <w:rPr>
          <w:rFonts w:ascii="Calibri" w:cs="Calibri" w:eastAsia="Calibri" w:hAnsi="Calibri"/>
          <w:b/>
          <w:bCs/>
          <w:color w:val="1F3864"/>
          <w:sz w:val="24"/>
          <w:szCs w:val="24"/>
        </w:rPr>
        <w:t xml:space="preserve">3.4 Tier 3 — Prohibited / Exception Only (High Risk)</w:t>
      </w:r>
    </w:p>
    <w:p>
      <w:pPr>
        <w:spacing w:after="120" w:before="0" w:line="276"/>
        <w:jc w:val="both"/>
      </w:pPr>
      <w:r>
        <w:rPr>
          <w:rFonts w:ascii="Calibri" w:cs="Calibri" w:eastAsia="Calibri" w:hAnsi="Calibri"/>
          <w:b w:val="false"/>
          <w:bCs w:val="false"/>
          <w:i w:val="false"/>
          <w:iCs w:val="false"/>
          <w:color w:val="333333"/>
          <w:sz w:val="22"/>
          <w:szCs w:val="22"/>
        </w:rPr>
        <w:t xml:space="preserve">Components classified as Tier 3 are prohibited from use in Company Code and systems absent an approved exception under Section 15.1. Tier 3 includes:</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strong Copyleft Licenses (GPL-2.0, GPL-3.0, AGPL-3.0) when the intended use or architecture would require the Company to release Company Code under the same license;</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the Server Side Public License (SSPL) in any hosted or SaaS context;</w:t>
      </w:r>
    </w:p>
    <w:p>
      <w:pPr>
        <w:pStyle w:val="ListParagraph"/>
        <w:numPr>
          <w:ilvl w:val="0"/>
          <w:numId w:val="2"/>
        </w:numPr>
        <w:spacing w:after="60" w:line="276"/>
        <w:jc w:val="both"/>
      </w:pPr>
      <w:r>
        <w:rPr>
          <w:rFonts w:ascii="Calibri" w:cs="Calibri" w:eastAsia="Calibri" w:hAnsi="Calibri"/>
          <w:color w:val="333333"/>
          <w:sz w:val="22"/>
          <w:szCs w:val="22"/>
        </w:rPr>
        <w:t xml:space="preserve">Components under licenses that the Open Source Review Board has affirmatively placed on the Prohibited List based on legal risk assessment;</w:t>
      </w:r>
    </w:p>
    <w:p>
      <w:pPr>
        <w:pStyle w:val="ListParagraph"/>
        <w:numPr>
          <w:ilvl w:val="0"/>
          <w:numId w:val="2"/>
        </w:numPr>
        <w:spacing w:after="60" w:line="276"/>
        <w:jc w:val="both"/>
      </w:pPr>
      <w:r>
        <w:rPr>
          <w:rFonts w:ascii="Calibri" w:cs="Calibri" w:eastAsia="Calibri" w:hAnsi="Calibri"/>
          <w:color w:val="333333"/>
          <w:sz w:val="22"/>
          <w:szCs w:val="22"/>
        </w:rPr>
        <w:t xml:space="preserve">Components with known, unpatched critical or high-severity security vulnerabilities for which no remediation or mitigation is available within the Company's vulnerability-management SLA;</w:t>
      </w:r>
    </w:p>
    <w:p>
      <w:pPr>
        <w:pStyle w:val="ListParagraph"/>
        <w:numPr>
          <w:ilvl w:val="0"/>
          <w:numId w:val="2"/>
        </w:numPr>
        <w:spacing w:after="60" w:line="276"/>
        <w:jc w:val="both"/>
      </w:pPr>
      <w:r>
        <w:rPr>
          <w:rFonts w:ascii="Calibri" w:cs="Calibri" w:eastAsia="Calibri" w:hAnsi="Calibri"/>
          <w:color w:val="333333"/>
          <w:sz w:val="22"/>
          <w:szCs w:val="22"/>
        </w:rPr>
        <w:t xml:space="preserve">Components that are subject to pending or threatened intellectual-property litigation, injunctions, or regulatory actions that create material legal risk;</w:t>
      </w:r>
    </w:p>
    <w:p>
      <w:pPr>
        <w:pStyle w:val="ListParagraph"/>
        <w:numPr>
          <w:ilvl w:val="0"/>
          <w:numId w:val="2"/>
        </w:numPr>
        <w:spacing w:after="60" w:line="276"/>
        <w:jc w:val="both"/>
      </w:pPr>
      <w:r>
        <w:rPr>
          <w:rFonts w:ascii="Calibri" w:cs="Calibri" w:eastAsia="Calibri" w:hAnsi="Calibri"/>
          <w:color w:val="333333"/>
          <w:sz w:val="22"/>
          <w:szCs w:val="22"/>
        </w:rPr>
        <w:t xml:space="preserve">Components whose origin, authorship, or provenance cannot be verified or that are suspected of being malicious, trojaned, or typosquatted; and</w:t>
      </w:r>
    </w:p>
    <w:p>
      <w:pPr>
        <w:pStyle w:val="ListParagraph"/>
        <w:numPr>
          <w:ilvl w:val="0"/>
          <w:numId w:val="2"/>
        </w:numPr>
        <w:spacing w:after="60" w:line="276"/>
        <w:jc w:val="both"/>
      </w:pPr>
      <w:r>
        <w:rPr>
          <w:rFonts w:ascii="Calibri" w:cs="Calibri" w:eastAsia="Calibri" w:hAnsi="Calibri"/>
          <w:color w:val="333333"/>
          <w:sz w:val="22"/>
          <w:szCs w:val="22"/>
        </w:rPr>
        <w:t xml:space="preserve">Components with no identifiable license or whose license text is ambiguous, contradictory, or incomplete.</w:t>
      </w:r>
    </w:p>
    <w:p>
      <w:pPr>
        <w:pStyle w:val="Heading2"/>
        <w:spacing w:after="120" w:before="240"/>
        <w:jc w:val="left"/>
      </w:pPr>
      <w:r>
        <w:rPr>
          <w:rFonts w:ascii="Calibri" w:cs="Calibri" w:eastAsia="Calibri" w:hAnsi="Calibri"/>
          <w:b/>
          <w:bCs/>
          <w:color w:val="1F3864"/>
          <w:sz w:val="24"/>
          <w:szCs w:val="24"/>
        </w:rPr>
        <w:t xml:space="preserve">3.5 Unknown or No License</w:t>
      </w:r>
    </w:p>
    <w:p>
      <w:pPr>
        <w:spacing w:after="120" w:before="0" w:line="276"/>
        <w:jc w:val="both"/>
      </w:pPr>
      <w:r>
        <w:rPr>
          <w:rFonts w:ascii="Calibri" w:cs="Calibri" w:eastAsia="Calibri" w:hAnsi="Calibri"/>
          <w:b w:val="false"/>
          <w:bCs w:val="false"/>
          <w:i w:val="false"/>
          <w:iCs w:val="false"/>
          <w:color w:val="333333"/>
          <w:sz w:val="22"/>
          <w:szCs w:val="22"/>
        </w:rPr>
        <w:t xml:space="preserve">Any Component that lacks an identifiable license, or whose license cannot be determined through reasonable investigation (including review of the project's repository, README, LICENSE file, SPDX headers, package metadata, and direct inquiry to the maintainer), shall be treated as Tier 3 (Prohibited) and shall not be used absent an approved exception. The absence of a license does not imply permissive terms; under copyright law, all rights are reserved by default.</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4. INTAKE RECORD</w:t>
      </w:r>
    </w:p>
    <w:p>
      <w:pPr>
        <w:pStyle w:val="Heading2"/>
        <w:spacing w:after="120" w:before="240"/>
        <w:jc w:val="left"/>
      </w:pPr>
      <w:r>
        <w:rPr>
          <w:rFonts w:ascii="Calibri" w:cs="Calibri" w:eastAsia="Calibri" w:hAnsi="Calibri"/>
          <w:b/>
          <w:bCs/>
          <w:color w:val="1F3864"/>
          <w:sz w:val="24"/>
          <w:szCs w:val="24"/>
        </w:rPr>
        <w:t xml:space="preserve">4.1 Mandatory Intake Fields</w:t>
      </w:r>
    </w:p>
    <w:p>
      <w:pPr>
        <w:spacing w:after="120" w:before="0" w:line="276"/>
        <w:jc w:val="both"/>
      </w:pPr>
      <w:r>
        <w:rPr>
          <w:rFonts w:ascii="Calibri" w:cs="Calibri" w:eastAsia="Calibri" w:hAnsi="Calibri"/>
          <w:b w:val="false"/>
          <w:bCs w:val="false"/>
          <w:i w:val="false"/>
          <w:iCs w:val="false"/>
          <w:color w:val="333333"/>
          <w:sz w:val="22"/>
          <w:szCs w:val="22"/>
        </w:rPr>
        <w:t xml:space="preserve">Every Component submitted for review through the Approval Workflow must be accompanied by a completed Intake Record containing, at a minimum, the following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560"/>
        <w:gridCol w:w="3600"/>
      </w:tblGrid>
      <w:tr>
        <w:trPr>
          <w:tblHeader/>
        </w:trPr>
        <w:tc>
          <w:tcPr>
            <w:tcW w:type="dxa" w:w="22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3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Description</w:t>
            </w:r>
          </w:p>
        </w:tc>
        <w:tc>
          <w:tcPr>
            <w:tcW w:type="dxa" w:w="36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Example</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Name</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Official name of the Component as published by its maintainer</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lodash</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Exact version number, tag, or commit hash</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4.17.21</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Source URL</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Canonical URL of the repository or download location</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https://github.com/lodash/lodash</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Hash / Checksum</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SHA-256 hash of the downloaded artifact to verify integrity</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sha256:a1b2c3d4...</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Requesting Owner</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team, and email of the Personnel requesting approval</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TEAM, EMAIL]</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Copyright Holder(s)</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Copyright owner(s) as stated in the license or source files</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OpenJS Foundation</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 Identifier</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license identifier(s) or full license name</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MIT</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 Version</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 of the license, if applicable</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 or GPL-3.0-only</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Intended Use</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Description of how the Component will be used in Company Code</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Utility library for data transformation in API service</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Architecture</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How the Component integrates with Company Code (linking, subprocessing, etc.)</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Dynamic linking; bundled in Node.js service</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Modification Required</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Whether the Company intends to modify the Component's source code</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scope</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Distribution Method</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How the Component will be distributed to end users, if at all</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Bundled in SaaS product (no binary distribution)</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Transitive Dependencies</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Count and summary of known transitive dependencies</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47 dependencies; top-level license scan attached</w:t>
            </w:r>
          </w:p>
        </w:tc>
      </w:tr>
      <w:tr>
        <w:tc>
          <w:tcPr>
            <w:tcW w:type="dxa" w:w="22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Security Assessment</w:t>
            </w:r>
          </w:p>
        </w:tc>
        <w:tc>
          <w:tcPr>
            <w:tcW w:type="dxa" w:w="3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Summary of known vulnerabilities, CVEs, and security posture</w:t>
            </w:r>
          </w:p>
        </w:tc>
        <w:tc>
          <w:tcPr>
            <w:tcW w:type="dxa" w:w="3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 known CVEs; last audit [DATE]</w:t>
            </w:r>
          </w:p>
        </w:tc>
      </w:tr>
      <w:tr>
        <w:tc>
          <w:tcPr>
            <w:tcW w:type="dxa" w:w="22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Business Justification</w:t>
            </w:r>
          </w:p>
        </w:tc>
        <w:tc>
          <w:tcPr>
            <w:tcW w:type="dxa" w:w="3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Why this Component is needed and why alternatives are insufficient</w:t>
            </w:r>
          </w:p>
        </w:tc>
        <w:tc>
          <w:tcPr>
            <w:tcW w:type="dxa" w:w="3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[JUSTIFICATION]</w:t>
            </w:r>
          </w:p>
        </w:tc>
      </w:tr>
    </w:tbl>
    <w:p>
      <w:pPr>
        <w:pStyle w:val="Heading2"/>
        <w:spacing w:after="120" w:before="240"/>
        <w:jc w:val="left"/>
      </w:pPr>
      <w:r>
        <w:rPr>
          <w:rFonts w:ascii="Calibri" w:cs="Calibri" w:eastAsia="Calibri" w:hAnsi="Calibri"/>
          <w:b/>
          <w:bCs/>
          <w:color w:val="1F3864"/>
          <w:sz w:val="24"/>
          <w:szCs w:val="24"/>
        </w:rPr>
        <w:t xml:space="preserve">4.2 Supplemental Information</w:t>
      </w:r>
    </w:p>
    <w:p>
      <w:pPr>
        <w:spacing w:after="120" w:before="0" w:line="276"/>
        <w:jc w:val="both"/>
      </w:pPr>
      <w:r>
        <w:rPr>
          <w:rFonts w:ascii="Calibri" w:cs="Calibri" w:eastAsia="Calibri" w:hAnsi="Calibri"/>
          <w:b w:val="false"/>
          <w:bCs w:val="false"/>
          <w:i w:val="false"/>
          <w:iCs w:val="false"/>
          <w:color w:val="333333"/>
          <w:sz w:val="22"/>
          <w:szCs w:val="22"/>
        </w:rPr>
        <w:t xml:space="preserve">The reviewing authority may request any additional information necessary to complete the risk assessment, including without limitation:</w:t>
      </w:r>
    </w:p>
    <w:p>
      <w:pPr>
        <w:pStyle w:val="ListParagraph"/>
        <w:numPr>
          <w:ilvl w:val="0"/>
          <w:numId w:val="2"/>
        </w:numPr>
        <w:spacing w:after="60" w:line="276"/>
        <w:jc w:val="both"/>
      </w:pPr>
      <w:r>
        <w:rPr>
          <w:rFonts w:ascii="Calibri" w:cs="Calibri" w:eastAsia="Calibri" w:hAnsi="Calibri"/>
          <w:color w:val="333333"/>
          <w:sz w:val="22"/>
          <w:szCs w:val="22"/>
        </w:rPr>
        <w:t xml:space="preserve">A complete dependency tree with license information for all transitive dependencies;</w:t>
      </w:r>
    </w:p>
    <w:p>
      <w:pPr>
        <w:pStyle w:val="ListParagraph"/>
        <w:numPr>
          <w:ilvl w:val="0"/>
          <w:numId w:val="2"/>
        </w:numPr>
        <w:spacing w:after="60" w:line="276"/>
        <w:jc w:val="both"/>
      </w:pPr>
      <w:r>
        <w:rPr>
          <w:rFonts w:ascii="Calibri" w:cs="Calibri" w:eastAsia="Calibri" w:hAnsi="Calibri"/>
          <w:color w:val="333333"/>
          <w:sz w:val="22"/>
          <w:szCs w:val="22"/>
        </w:rPr>
        <w:t xml:space="preserve">A technical architecture diagram showing the Component's integration points with Company Code;</w:t>
      </w:r>
    </w:p>
    <w:p>
      <w:pPr>
        <w:pStyle w:val="ListParagraph"/>
        <w:numPr>
          <w:ilvl w:val="0"/>
          <w:numId w:val="2"/>
        </w:numPr>
        <w:spacing w:after="60" w:line="276"/>
        <w:jc w:val="both"/>
      </w:pPr>
      <w:r>
        <w:rPr>
          <w:rFonts w:ascii="Calibri" w:cs="Calibri" w:eastAsia="Calibri" w:hAnsi="Calibri"/>
          <w:color w:val="333333"/>
          <w:sz w:val="22"/>
          <w:szCs w:val="22"/>
        </w:rPr>
        <w:t xml:space="preserve">A comparison analysis of alternative Components with more favorable license terms;</w:t>
      </w:r>
    </w:p>
    <w:p>
      <w:pPr>
        <w:pStyle w:val="ListParagraph"/>
        <w:numPr>
          <w:ilvl w:val="0"/>
          <w:numId w:val="2"/>
        </w:numPr>
        <w:spacing w:after="60" w:line="276"/>
        <w:jc w:val="both"/>
      </w:pPr>
      <w:r>
        <w:rPr>
          <w:rFonts w:ascii="Calibri" w:cs="Calibri" w:eastAsia="Calibri" w:hAnsi="Calibri"/>
          <w:color w:val="333333"/>
          <w:sz w:val="22"/>
          <w:szCs w:val="22"/>
        </w:rPr>
        <w:t xml:space="preserve">Evidence of the Component's maintenance status, community health, release cadence, and maintainer responsiveness;</w:t>
      </w:r>
    </w:p>
    <w:p>
      <w:pPr>
        <w:pStyle w:val="ListParagraph"/>
        <w:numPr>
          <w:ilvl w:val="0"/>
          <w:numId w:val="2"/>
        </w:numPr>
        <w:spacing w:after="60" w:line="276"/>
        <w:jc w:val="both"/>
      </w:pPr>
      <w:r>
        <w:rPr>
          <w:rFonts w:ascii="Calibri" w:cs="Calibri" w:eastAsia="Calibri" w:hAnsi="Calibri"/>
          <w:color w:val="333333"/>
          <w:sz w:val="22"/>
          <w:szCs w:val="22"/>
        </w:rPr>
        <w:t xml:space="preserve">Results of static analysis, software composition analysis (SCA), or manual code review of the Component; and</w:t>
      </w:r>
    </w:p>
    <w:p>
      <w:pPr>
        <w:pStyle w:val="ListParagraph"/>
        <w:numPr>
          <w:ilvl w:val="0"/>
          <w:numId w:val="2"/>
        </w:numPr>
        <w:spacing w:after="60" w:line="276"/>
        <w:jc w:val="both"/>
      </w:pPr>
      <w:r>
        <w:rPr>
          <w:rFonts w:ascii="Calibri" w:cs="Calibri" w:eastAsia="Calibri" w:hAnsi="Calibri"/>
          <w:color w:val="333333"/>
          <w:sz w:val="22"/>
          <w:szCs w:val="22"/>
        </w:rPr>
        <w:t xml:space="preserve">Confirmation that the Component does not duplicate functionality already available through an Approved Component.</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5. APPROVAL WORKFLOW</w:t>
      </w:r>
    </w:p>
    <w:p>
      <w:pPr>
        <w:pStyle w:val="Heading2"/>
        <w:spacing w:after="120" w:before="240"/>
        <w:jc w:val="left"/>
      </w:pPr>
      <w:r>
        <w:rPr>
          <w:rFonts w:ascii="Calibri" w:cs="Calibri" w:eastAsia="Calibri" w:hAnsi="Calibri"/>
          <w:b/>
          <w:bCs/>
          <w:color w:val="1F3864"/>
          <w:sz w:val="24"/>
          <w:szCs w:val="24"/>
        </w:rPr>
        <w:t xml:space="preserve">5.1 Open Source Review Board (OSRB)</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establish and maintain an Open Source Review Board ("OSRB") composed of representatives from the following functions: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400"/>
        <w:gridCol w:w="5160"/>
      </w:tblGrid>
      <w:tr>
        <w:trPr>
          <w:tblHeader/>
        </w:trPr>
        <w:tc>
          <w:tcPr>
            <w:tcW w:type="dxa" w:w="18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Role</w:t>
            </w:r>
          </w:p>
        </w:tc>
        <w:tc>
          <w:tcPr>
            <w:tcW w:type="dxa" w:w="2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Department</w:t>
            </w:r>
          </w:p>
        </w:tc>
        <w:tc>
          <w:tcPr>
            <w:tcW w:type="dxa" w:w="51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Primary Responsibilities</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Chair</w:t>
            </w:r>
          </w:p>
        </w:tc>
        <w:tc>
          <w:tcPr>
            <w:tcW w:type="dxa" w:w="2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[ENGINEERING / LEGAL]</w:t>
            </w:r>
          </w:p>
        </w:tc>
        <w:tc>
          <w:tcPr>
            <w:tcW w:type="dxa" w:w="5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Oversees OSRB operations; breaks tie votes; reports to [CTO/CLO/CISO]</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Engineering Lead</w:t>
            </w:r>
          </w:p>
        </w:tc>
        <w:tc>
          <w:tcPr>
            <w:tcW w:type="dxa" w:w="2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Engineering</w:t>
            </w:r>
          </w:p>
        </w:tc>
        <w:tc>
          <w:tcPr>
            <w:tcW w:type="dxa" w:w="5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Evaluates technical architecture, integration risk, maintenance burden, and alternatives</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Counsel</w:t>
            </w:r>
          </w:p>
        </w:tc>
        <w:tc>
          <w:tcPr>
            <w:tcW w:type="dxa" w:w="2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w:t>
            </w:r>
          </w:p>
        </w:tc>
        <w:tc>
          <w:tcPr>
            <w:tcW w:type="dxa" w:w="5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Analyzes license terms, obligations, IP risk, patent exposure, and regulatory implications</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Security Lead</w:t>
            </w:r>
          </w:p>
        </w:tc>
        <w:tc>
          <w:tcPr>
            <w:tcW w:type="dxa" w:w="2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Information Security</w:t>
            </w:r>
          </w:p>
        </w:tc>
        <w:tc>
          <w:tcPr>
            <w:tcW w:type="dxa" w:w="5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Assesses vulnerability posture, supply-chain risk, provenance, and cryptographic integrity</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 Representative</w:t>
            </w:r>
          </w:p>
        </w:tc>
        <w:tc>
          <w:tcPr>
            <w:tcW w:type="dxa" w:w="2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 Management</w:t>
            </w:r>
          </w:p>
        </w:tc>
        <w:tc>
          <w:tcPr>
            <w:tcW w:type="dxa" w:w="5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Evaluates customer-facing impact, contractual requirements, and competitive implications</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Release Manager</w:t>
            </w:r>
          </w:p>
        </w:tc>
        <w:tc>
          <w:tcPr>
            <w:tcW w:type="dxa" w:w="2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Engineering / DevOps</w:t>
            </w:r>
          </w:p>
        </w:tc>
        <w:tc>
          <w:tcPr>
            <w:tcW w:type="dxa" w:w="5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Ensures CI/CD gate compliance, SBOM accuracy, and notice/source package generation</w:t>
            </w:r>
          </w:p>
        </w:tc>
      </w:tr>
    </w:tbl>
    <w:p>
      <w:pPr>
        <w:pStyle w:val="Heading2"/>
        <w:spacing w:after="120" w:before="240"/>
        <w:jc w:val="left"/>
      </w:pPr>
      <w:r>
        <w:rPr>
          <w:rFonts w:ascii="Calibri" w:cs="Calibri" w:eastAsia="Calibri" w:hAnsi="Calibri"/>
          <w:b/>
          <w:bCs/>
          <w:color w:val="1F3864"/>
          <w:sz w:val="24"/>
          <w:szCs w:val="24"/>
        </w:rPr>
        <w:t xml:space="preserve">5.2 Review Stages</w:t>
      </w:r>
    </w:p>
    <w:p>
      <w:pPr>
        <w:spacing w:after="120" w:before="0" w:line="276"/>
        <w:jc w:val="both"/>
      </w:pPr>
      <w:r>
        <w:rPr>
          <w:rFonts w:ascii="Calibri" w:cs="Calibri" w:eastAsia="Calibri" w:hAnsi="Calibri"/>
          <w:b w:val="false"/>
          <w:bCs w:val="false"/>
          <w:i w:val="false"/>
          <w:iCs w:val="false"/>
          <w:color w:val="333333"/>
          <w:sz w:val="22"/>
          <w:szCs w:val="22"/>
        </w:rPr>
        <w:t xml:space="preserve">The Approval Workflow consists of the following sequential stages. Each stage must be completed before the next stage commences, unless the OSRB authorizes parallel review for expedited requests.</w:t>
      </w:r>
    </w:p>
    <w:p>
      <w:pPr>
        <w:pStyle w:val="Heading3"/>
        <w:spacing w:after="100" w:before="200"/>
        <w:jc w:val="left"/>
      </w:pPr>
      <w:r>
        <w:rPr>
          <w:rFonts w:ascii="Calibri" w:cs="Calibri" w:eastAsia="Calibri" w:hAnsi="Calibri"/>
          <w:b/>
          <w:bCs/>
          <w:i/>
          <w:iCs/>
          <w:color w:val="1F3864"/>
          <w:sz w:val="22"/>
          <w:szCs w:val="22"/>
        </w:rPr>
        <w:t xml:space="preserve">Stage 1: Engineering Review</w:t>
      </w:r>
    </w:p>
    <w:p>
      <w:pPr>
        <w:pStyle w:val="ListParagraph"/>
        <w:numPr>
          <w:ilvl w:val="0"/>
          <w:numId w:val="2"/>
        </w:numPr>
        <w:spacing w:after="60" w:line="276"/>
        <w:jc w:val="both"/>
      </w:pPr>
      <w:r>
        <w:rPr>
          <w:rFonts w:ascii="Calibri" w:cs="Calibri" w:eastAsia="Calibri" w:hAnsi="Calibri"/>
          <w:color w:val="333333"/>
          <w:sz w:val="22"/>
          <w:szCs w:val="22"/>
        </w:rPr>
        <w:t xml:space="preserve">Verify completeness and accuracy of the Intake Record;</w:t>
      </w:r>
    </w:p>
    <w:p>
      <w:pPr>
        <w:pStyle w:val="ListParagraph"/>
        <w:numPr>
          <w:ilvl w:val="0"/>
          <w:numId w:val="2"/>
        </w:numPr>
        <w:spacing w:after="60" w:line="276"/>
        <w:jc w:val="both"/>
      </w:pPr>
      <w:r>
        <w:rPr>
          <w:rFonts w:ascii="Calibri" w:cs="Calibri" w:eastAsia="Calibri" w:hAnsi="Calibri"/>
          <w:color w:val="333333"/>
          <w:sz w:val="22"/>
          <w:szCs w:val="22"/>
        </w:rPr>
        <w:t xml:space="preserve">Evaluate technical suitability, quality, maintenance status, and community health;</w:t>
      </w:r>
    </w:p>
    <w:p>
      <w:pPr>
        <w:pStyle w:val="ListParagraph"/>
        <w:numPr>
          <w:ilvl w:val="0"/>
          <w:numId w:val="2"/>
        </w:numPr>
        <w:spacing w:after="60" w:line="276"/>
        <w:jc w:val="both"/>
      </w:pPr>
      <w:r>
        <w:rPr>
          <w:rFonts w:ascii="Calibri" w:cs="Calibri" w:eastAsia="Calibri" w:hAnsi="Calibri"/>
          <w:color w:val="333333"/>
          <w:sz w:val="22"/>
          <w:szCs w:val="22"/>
        </w:rPr>
        <w:t xml:space="preserve">Assess architecture and integration approach for license-trigger implications;</w:t>
      </w:r>
    </w:p>
    <w:p>
      <w:pPr>
        <w:pStyle w:val="ListParagraph"/>
        <w:numPr>
          <w:ilvl w:val="0"/>
          <w:numId w:val="2"/>
        </w:numPr>
        <w:spacing w:after="60" w:line="276"/>
        <w:jc w:val="both"/>
      </w:pPr>
      <w:r>
        <w:rPr>
          <w:rFonts w:ascii="Calibri" w:cs="Calibri" w:eastAsia="Calibri" w:hAnsi="Calibri"/>
          <w:color w:val="333333"/>
          <w:sz w:val="22"/>
          <w:szCs w:val="22"/>
        </w:rPr>
        <w:t xml:space="preserve">Identify and scan all transitive dependencies;</w:t>
      </w:r>
    </w:p>
    <w:p>
      <w:pPr>
        <w:pStyle w:val="ListParagraph"/>
        <w:numPr>
          <w:ilvl w:val="0"/>
          <w:numId w:val="2"/>
        </w:numPr>
        <w:spacing w:after="60" w:line="276"/>
        <w:jc w:val="both"/>
      </w:pPr>
      <w:r>
        <w:rPr>
          <w:rFonts w:ascii="Calibri" w:cs="Calibri" w:eastAsia="Calibri" w:hAnsi="Calibri"/>
          <w:color w:val="333333"/>
          <w:sz w:val="22"/>
          <w:szCs w:val="22"/>
        </w:rPr>
        <w:t xml:space="preserve">Confirm no duplication of existing Approved Components; and</w:t>
      </w:r>
    </w:p>
    <w:p>
      <w:pPr>
        <w:pStyle w:val="ListParagraph"/>
        <w:numPr>
          <w:ilvl w:val="0"/>
          <w:numId w:val="2"/>
        </w:numPr>
        <w:spacing w:after="60" w:line="276"/>
        <w:jc w:val="both"/>
      </w:pPr>
      <w:r>
        <w:rPr>
          <w:rFonts w:ascii="Calibri" w:cs="Calibri" w:eastAsia="Calibri" w:hAnsi="Calibri"/>
          <w:color w:val="333333"/>
          <w:sz w:val="22"/>
          <w:szCs w:val="22"/>
        </w:rPr>
        <w:t xml:space="preserve">Assign preliminary Risk Tier classification.</w:t>
      </w:r>
    </w:p>
    <w:p>
      <w:pPr>
        <w:spacing w:after="120" w:before="0" w:line="276"/>
        <w:jc w:val="both"/>
      </w:pPr>
      <w:r>
        <w:rPr>
          <w:rFonts w:ascii="Calibri" w:cs="Calibri" w:eastAsia="Calibri" w:hAnsi="Calibri"/>
          <w:b/>
          <w:bCs/>
          <w:color w:val="333333"/>
          <w:sz w:val="22"/>
          <w:szCs w:val="22"/>
        </w:rPr>
        <w:t xml:space="preserve">SLA: </w:t>
      </w:r>
      <w:r>
        <w:rPr>
          <w:rFonts w:ascii="Calibri" w:cs="Calibri" w:eastAsia="Calibri" w:hAnsi="Calibri"/>
          <w:color w:val="333333"/>
          <w:sz w:val="22"/>
          <w:szCs w:val="22"/>
        </w:rPr>
        <w:t xml:space="preserve">[3] business days from Intake Record submission for Tier 1 candidates; [5] business days for Tier 2 candidates.</w:t>
      </w:r>
    </w:p>
    <w:p>
      <w:pPr>
        <w:pStyle w:val="Heading3"/>
        <w:spacing w:after="100" w:before="200"/>
        <w:jc w:val="left"/>
      </w:pPr>
      <w:r>
        <w:rPr>
          <w:rFonts w:ascii="Calibri" w:cs="Calibri" w:eastAsia="Calibri" w:hAnsi="Calibri"/>
          <w:b/>
          <w:bCs/>
          <w:i/>
          <w:iCs/>
          <w:color w:val="1F3864"/>
          <w:sz w:val="22"/>
          <w:szCs w:val="22"/>
        </w:rPr>
        <w:t xml:space="preserve">Stage 2: Legal Review</w:t>
      </w:r>
    </w:p>
    <w:p>
      <w:pPr>
        <w:pStyle w:val="ListParagraph"/>
        <w:numPr>
          <w:ilvl w:val="0"/>
          <w:numId w:val="2"/>
        </w:numPr>
        <w:spacing w:after="60" w:line="276"/>
        <w:jc w:val="both"/>
      </w:pPr>
      <w:r>
        <w:rPr>
          <w:rFonts w:ascii="Calibri" w:cs="Calibri" w:eastAsia="Calibri" w:hAnsi="Calibri"/>
          <w:color w:val="333333"/>
          <w:sz w:val="22"/>
          <w:szCs w:val="22"/>
        </w:rPr>
        <w:t xml:space="preserve">Review and classify the Component's license(s) under the Risk Tier framework;</w:t>
      </w:r>
    </w:p>
    <w:p>
      <w:pPr>
        <w:pStyle w:val="ListParagraph"/>
        <w:numPr>
          <w:ilvl w:val="0"/>
          <w:numId w:val="2"/>
        </w:numPr>
        <w:spacing w:after="60" w:line="276"/>
        <w:jc w:val="both"/>
      </w:pPr>
      <w:r>
        <w:rPr>
          <w:rFonts w:ascii="Calibri" w:cs="Calibri" w:eastAsia="Calibri" w:hAnsi="Calibri"/>
          <w:color w:val="333333"/>
          <w:sz w:val="22"/>
          <w:szCs w:val="22"/>
        </w:rPr>
        <w:t xml:space="preserve">Identify all license obligations triggered by the proposed use and architecture;</w:t>
      </w:r>
    </w:p>
    <w:p>
      <w:pPr>
        <w:pStyle w:val="ListParagraph"/>
        <w:numPr>
          <w:ilvl w:val="0"/>
          <w:numId w:val="2"/>
        </w:numPr>
        <w:spacing w:after="60" w:line="276"/>
        <w:jc w:val="both"/>
      </w:pPr>
      <w:r>
        <w:rPr>
          <w:rFonts w:ascii="Calibri" w:cs="Calibri" w:eastAsia="Calibri" w:hAnsi="Calibri"/>
          <w:color w:val="333333"/>
          <w:sz w:val="22"/>
          <w:szCs w:val="22"/>
        </w:rPr>
        <w:t xml:space="preserve">Assess copyleft risk, patent-grant implications, and termination/retaliation clauses;</w:t>
      </w:r>
    </w:p>
    <w:p>
      <w:pPr>
        <w:pStyle w:val="ListParagraph"/>
        <w:numPr>
          <w:ilvl w:val="0"/>
          <w:numId w:val="2"/>
        </w:numPr>
        <w:spacing w:after="60" w:line="276"/>
        <w:jc w:val="both"/>
      </w:pPr>
      <w:r>
        <w:rPr>
          <w:rFonts w:ascii="Calibri" w:cs="Calibri" w:eastAsia="Calibri" w:hAnsi="Calibri"/>
          <w:color w:val="333333"/>
          <w:sz w:val="22"/>
          <w:szCs w:val="22"/>
        </w:rPr>
        <w:t xml:space="preserve">Evaluate compatibility of the Component's license with other Component licenses and with the Company's proprietary license terms;</w:t>
      </w:r>
    </w:p>
    <w:p>
      <w:pPr>
        <w:pStyle w:val="ListParagraph"/>
        <w:numPr>
          <w:ilvl w:val="0"/>
          <w:numId w:val="2"/>
        </w:numPr>
        <w:spacing w:after="60" w:line="276"/>
        <w:jc w:val="both"/>
      </w:pPr>
      <w:r>
        <w:rPr>
          <w:rFonts w:ascii="Calibri" w:cs="Calibri" w:eastAsia="Calibri" w:hAnsi="Calibri"/>
          <w:color w:val="333333"/>
          <w:sz w:val="22"/>
          <w:szCs w:val="22"/>
        </w:rPr>
        <w:t xml:space="preserve">Determine notice, attribution, source-disclosure, and written-offer obligations; and</w:t>
      </w:r>
    </w:p>
    <w:p>
      <w:pPr>
        <w:pStyle w:val="ListParagraph"/>
        <w:numPr>
          <w:ilvl w:val="0"/>
          <w:numId w:val="2"/>
        </w:numPr>
        <w:spacing w:after="60" w:line="276"/>
        <w:jc w:val="both"/>
      </w:pPr>
      <w:r>
        <w:rPr>
          <w:rFonts w:ascii="Calibri" w:cs="Calibri" w:eastAsia="Calibri" w:hAnsi="Calibri"/>
          <w:color w:val="333333"/>
          <w:sz w:val="22"/>
          <w:szCs w:val="22"/>
        </w:rPr>
        <w:t xml:space="preserve">Document any required conditions, restrictions, or modifications to the proposed use.</w:t>
      </w:r>
    </w:p>
    <w:p>
      <w:pPr>
        <w:spacing w:after="120" w:before="0" w:line="276"/>
        <w:jc w:val="both"/>
      </w:pPr>
      <w:r>
        <w:rPr>
          <w:rFonts w:ascii="Calibri" w:cs="Calibri" w:eastAsia="Calibri" w:hAnsi="Calibri"/>
          <w:b/>
          <w:bCs/>
          <w:color w:val="333333"/>
          <w:sz w:val="22"/>
          <w:szCs w:val="22"/>
        </w:rPr>
        <w:t xml:space="preserve">SLA: </w:t>
      </w:r>
      <w:r>
        <w:rPr>
          <w:rFonts w:ascii="Calibri" w:cs="Calibri" w:eastAsia="Calibri" w:hAnsi="Calibri"/>
          <w:color w:val="333333"/>
          <w:sz w:val="22"/>
          <w:szCs w:val="22"/>
        </w:rPr>
        <w:t xml:space="preserve">[5] business days for Tier 1 and standard Tier 2; [10] business days for complex Tier 2 or Tier 3 exception requests.</w:t>
      </w:r>
    </w:p>
    <w:p>
      <w:pPr>
        <w:pStyle w:val="Heading3"/>
        <w:spacing w:after="100" w:before="200"/>
        <w:jc w:val="left"/>
      </w:pPr>
      <w:r>
        <w:rPr>
          <w:rFonts w:ascii="Calibri" w:cs="Calibri" w:eastAsia="Calibri" w:hAnsi="Calibri"/>
          <w:b/>
          <w:bCs/>
          <w:i/>
          <w:iCs/>
          <w:color w:val="1F3864"/>
          <w:sz w:val="22"/>
          <w:szCs w:val="22"/>
        </w:rPr>
        <w:t xml:space="preserve">Stage 3: Security Review</w:t>
      </w:r>
    </w:p>
    <w:p>
      <w:pPr>
        <w:pStyle w:val="ListParagraph"/>
        <w:numPr>
          <w:ilvl w:val="0"/>
          <w:numId w:val="2"/>
        </w:numPr>
        <w:spacing w:after="60" w:line="276"/>
        <w:jc w:val="both"/>
      </w:pPr>
      <w:r>
        <w:rPr>
          <w:rFonts w:ascii="Calibri" w:cs="Calibri" w:eastAsia="Calibri" w:hAnsi="Calibri"/>
          <w:color w:val="333333"/>
          <w:sz w:val="22"/>
          <w:szCs w:val="22"/>
        </w:rPr>
        <w:t xml:space="preserve">Conduct vulnerability scan using approved SCA tools (e.g., [SNYK / GRYPE / TRIVY / BLACK DUCK]);</w:t>
      </w:r>
    </w:p>
    <w:p>
      <w:pPr>
        <w:pStyle w:val="ListParagraph"/>
        <w:numPr>
          <w:ilvl w:val="0"/>
          <w:numId w:val="2"/>
        </w:numPr>
        <w:spacing w:after="60" w:line="276"/>
        <w:jc w:val="both"/>
      </w:pPr>
      <w:r>
        <w:rPr>
          <w:rFonts w:ascii="Calibri" w:cs="Calibri" w:eastAsia="Calibri" w:hAnsi="Calibri"/>
          <w:color w:val="333333"/>
          <w:sz w:val="22"/>
          <w:szCs w:val="22"/>
        </w:rPr>
        <w:t xml:space="preserve">Review known CVEs and assess severity, exploitability, and remediation status;</w:t>
      </w:r>
    </w:p>
    <w:p>
      <w:pPr>
        <w:pStyle w:val="ListParagraph"/>
        <w:numPr>
          <w:ilvl w:val="0"/>
          <w:numId w:val="2"/>
        </w:numPr>
        <w:spacing w:after="60" w:line="276"/>
        <w:jc w:val="both"/>
      </w:pPr>
      <w:r>
        <w:rPr>
          <w:rFonts w:ascii="Calibri" w:cs="Calibri" w:eastAsia="Calibri" w:hAnsi="Calibri"/>
          <w:color w:val="333333"/>
          <w:sz w:val="22"/>
          <w:szCs w:val="22"/>
        </w:rPr>
        <w:t xml:space="preserve">Verify artifact integrity (hash comparison against official release artifacts);</w:t>
      </w:r>
    </w:p>
    <w:p>
      <w:pPr>
        <w:pStyle w:val="ListParagraph"/>
        <w:numPr>
          <w:ilvl w:val="0"/>
          <w:numId w:val="2"/>
        </w:numPr>
        <w:spacing w:after="60" w:line="276"/>
        <w:jc w:val="both"/>
      </w:pPr>
      <w:r>
        <w:rPr>
          <w:rFonts w:ascii="Calibri" w:cs="Calibri" w:eastAsia="Calibri" w:hAnsi="Calibri"/>
          <w:color w:val="333333"/>
          <w:sz w:val="22"/>
          <w:szCs w:val="22"/>
        </w:rPr>
        <w:t xml:space="preserve">Assess supply-chain risk indicators (maintainer identity, signing practices, build reproducibility);</w:t>
      </w:r>
    </w:p>
    <w:p>
      <w:pPr>
        <w:pStyle w:val="ListParagraph"/>
        <w:numPr>
          <w:ilvl w:val="0"/>
          <w:numId w:val="2"/>
        </w:numPr>
        <w:spacing w:after="60" w:line="276"/>
        <w:jc w:val="both"/>
      </w:pPr>
      <w:r>
        <w:rPr>
          <w:rFonts w:ascii="Calibri" w:cs="Calibri" w:eastAsia="Calibri" w:hAnsi="Calibri"/>
          <w:color w:val="333333"/>
          <w:sz w:val="22"/>
          <w:szCs w:val="22"/>
        </w:rPr>
        <w:t xml:space="preserve">Evaluate cryptographic practices and compliance with Company standards; and</w:t>
      </w:r>
    </w:p>
    <w:p>
      <w:pPr>
        <w:pStyle w:val="ListParagraph"/>
        <w:numPr>
          <w:ilvl w:val="0"/>
          <w:numId w:val="2"/>
        </w:numPr>
        <w:spacing w:after="60" w:line="276"/>
        <w:jc w:val="both"/>
      </w:pPr>
      <w:r>
        <w:rPr>
          <w:rFonts w:ascii="Calibri" w:cs="Calibri" w:eastAsia="Calibri" w:hAnsi="Calibri"/>
          <w:color w:val="333333"/>
          <w:sz w:val="22"/>
          <w:szCs w:val="22"/>
        </w:rPr>
        <w:t xml:space="preserve">Confirm compliance with the Company's vulnerability-management SLA.</w:t>
      </w:r>
    </w:p>
    <w:p>
      <w:pPr>
        <w:spacing w:after="120" w:before="0" w:line="276"/>
        <w:jc w:val="both"/>
      </w:pPr>
      <w:r>
        <w:rPr>
          <w:rFonts w:ascii="Calibri" w:cs="Calibri" w:eastAsia="Calibri" w:hAnsi="Calibri"/>
          <w:b/>
          <w:bCs/>
          <w:color w:val="333333"/>
          <w:sz w:val="22"/>
          <w:szCs w:val="22"/>
        </w:rPr>
        <w:t xml:space="preserve">SLA: </w:t>
      </w:r>
      <w:r>
        <w:rPr>
          <w:rFonts w:ascii="Calibri" w:cs="Calibri" w:eastAsia="Calibri" w:hAnsi="Calibri"/>
          <w:color w:val="333333"/>
          <w:sz w:val="22"/>
          <w:szCs w:val="22"/>
        </w:rPr>
        <w:t xml:space="preserve">[3] business days.</w:t>
      </w:r>
    </w:p>
    <w:p>
      <w:pPr>
        <w:pStyle w:val="Heading3"/>
        <w:spacing w:after="100" w:before="200"/>
        <w:jc w:val="left"/>
      </w:pPr>
      <w:r>
        <w:rPr>
          <w:rFonts w:ascii="Calibri" w:cs="Calibri" w:eastAsia="Calibri" w:hAnsi="Calibri"/>
          <w:b/>
          <w:bCs/>
          <w:i/>
          <w:iCs/>
          <w:color w:val="1F3864"/>
          <w:sz w:val="22"/>
          <w:szCs w:val="22"/>
        </w:rPr>
        <w:t xml:space="preserve">Stage 4: Product and Release Review (if applicable)</w:t>
      </w:r>
    </w:p>
    <w:p>
      <w:pPr>
        <w:pStyle w:val="ListParagraph"/>
        <w:numPr>
          <w:ilvl w:val="0"/>
          <w:numId w:val="2"/>
        </w:numPr>
        <w:spacing w:after="60" w:line="276"/>
        <w:jc w:val="both"/>
      </w:pPr>
      <w:r>
        <w:rPr>
          <w:rFonts w:ascii="Calibri" w:cs="Calibri" w:eastAsia="Calibri" w:hAnsi="Calibri"/>
          <w:color w:val="333333"/>
          <w:sz w:val="22"/>
          <w:szCs w:val="22"/>
        </w:rPr>
        <w:t xml:space="preserve">Evaluate impact on customer commitments, warranties, indemnities, and representations;</w:t>
      </w:r>
    </w:p>
    <w:p>
      <w:pPr>
        <w:pStyle w:val="ListParagraph"/>
        <w:numPr>
          <w:ilvl w:val="0"/>
          <w:numId w:val="2"/>
        </w:numPr>
        <w:spacing w:after="60" w:line="276"/>
        <w:jc w:val="both"/>
      </w:pPr>
      <w:r>
        <w:rPr>
          <w:rFonts w:ascii="Calibri" w:cs="Calibri" w:eastAsia="Calibri" w:hAnsi="Calibri"/>
          <w:color w:val="333333"/>
          <w:sz w:val="22"/>
          <w:szCs w:val="22"/>
        </w:rPr>
        <w:t xml:space="preserve">Assess implications for product licensing, pricing, and competitive positioning;</w:t>
      </w:r>
    </w:p>
    <w:p>
      <w:pPr>
        <w:pStyle w:val="ListParagraph"/>
        <w:numPr>
          <w:ilvl w:val="0"/>
          <w:numId w:val="2"/>
        </w:numPr>
        <w:spacing w:after="60" w:line="276"/>
        <w:jc w:val="both"/>
      </w:pPr>
      <w:r>
        <w:rPr>
          <w:rFonts w:ascii="Calibri" w:cs="Calibri" w:eastAsia="Calibri" w:hAnsi="Calibri"/>
          <w:color w:val="333333"/>
          <w:sz w:val="22"/>
          <w:szCs w:val="22"/>
        </w:rPr>
        <w:t xml:space="preserve">Confirm notice and attribution requirements are integrated into release artifacts; and</w:t>
      </w:r>
    </w:p>
    <w:p>
      <w:pPr>
        <w:pStyle w:val="ListParagraph"/>
        <w:numPr>
          <w:ilvl w:val="0"/>
          <w:numId w:val="2"/>
        </w:numPr>
        <w:spacing w:after="60" w:line="276"/>
        <w:jc w:val="both"/>
      </w:pPr>
      <w:r>
        <w:rPr>
          <w:rFonts w:ascii="Calibri" w:cs="Calibri" w:eastAsia="Calibri" w:hAnsi="Calibri"/>
          <w:color w:val="333333"/>
          <w:sz w:val="22"/>
          <w:szCs w:val="22"/>
        </w:rPr>
        <w:t xml:space="preserve">Verify SBOM completeness and accuracy for the affected release.</w:t>
      </w:r>
    </w:p>
    <w:p>
      <w:pPr>
        <w:spacing w:after="120" w:before="0" w:line="276"/>
        <w:jc w:val="both"/>
      </w:pPr>
      <w:r>
        <w:rPr>
          <w:rFonts w:ascii="Calibri" w:cs="Calibri" w:eastAsia="Calibri" w:hAnsi="Calibri"/>
          <w:b/>
          <w:bCs/>
          <w:color w:val="333333"/>
          <w:sz w:val="22"/>
          <w:szCs w:val="22"/>
        </w:rPr>
        <w:t xml:space="preserve">SLA: </w:t>
      </w:r>
      <w:r>
        <w:rPr>
          <w:rFonts w:ascii="Calibri" w:cs="Calibri" w:eastAsia="Calibri" w:hAnsi="Calibri"/>
          <w:color w:val="333333"/>
          <w:sz w:val="22"/>
          <w:szCs w:val="22"/>
        </w:rPr>
        <w:t xml:space="preserve">[3] business days, concurrent with Stage 3 where possible.</w:t>
      </w:r>
    </w:p>
    <w:p>
      <w:pPr>
        <w:pStyle w:val="Heading2"/>
        <w:spacing w:after="120" w:before="240"/>
        <w:jc w:val="left"/>
      </w:pPr>
      <w:r>
        <w:rPr>
          <w:rFonts w:ascii="Calibri" w:cs="Calibri" w:eastAsia="Calibri" w:hAnsi="Calibri"/>
          <w:b/>
          <w:bCs/>
          <w:color w:val="1F3864"/>
          <w:sz w:val="24"/>
          <w:szCs w:val="24"/>
        </w:rPr>
        <w:t xml:space="preserve">5.3 Approval, Conditions, and Expiration</w:t>
      </w:r>
    </w:p>
    <w:p>
      <w:pPr>
        <w:spacing w:after="120" w:before="0" w:line="276"/>
        <w:jc w:val="both"/>
      </w:pPr>
      <w:r>
        <w:rPr>
          <w:rFonts w:ascii="Calibri" w:cs="Calibri" w:eastAsia="Calibri" w:hAnsi="Calibri"/>
          <w:b w:val="false"/>
          <w:bCs w:val="false"/>
          <w:i w:val="false"/>
          <w:iCs w:val="false"/>
          <w:color w:val="333333"/>
          <w:sz w:val="22"/>
          <w:szCs w:val="22"/>
        </w:rPr>
        <w:t xml:space="preserve">Upon completion of all applicable review stages, the OSRB shall issue one of the following determinations:</w:t>
      </w:r>
    </w:p>
    <w:p>
      <w:pPr>
        <w:pStyle w:val="ListParagraph"/>
        <w:numPr>
          <w:ilvl w:val="0"/>
          <w:numId w:val="2"/>
        </w:numPr>
        <w:spacing w:after="60" w:line="276"/>
        <w:jc w:val="both"/>
      </w:pPr>
      <w:r>
        <w:rPr>
          <w:rFonts w:ascii="Calibri" w:cs="Calibri" w:eastAsia="Calibri" w:hAnsi="Calibri"/>
          <w:b/>
          <w:bCs/>
          <w:color w:val="333333"/>
          <w:sz w:val="22"/>
          <w:szCs w:val="22"/>
        </w:rPr>
        <w:t xml:space="preserve">Approved: </w:t>
      </w:r>
      <w:r>
        <w:rPr>
          <w:rFonts w:ascii="Calibri" w:cs="Calibri" w:eastAsia="Calibri" w:hAnsi="Calibri"/>
          <w:color w:val="333333"/>
          <w:sz w:val="22"/>
          <w:szCs w:val="22"/>
        </w:rPr>
        <w:t xml:space="preserve">The Component may be used under the conditions specified in the approval record.</w:t>
      </w:r>
    </w:p>
    <w:p>
      <w:pPr>
        <w:pStyle w:val="ListParagraph"/>
        <w:numPr>
          <w:ilvl w:val="0"/>
          <w:numId w:val="2"/>
        </w:numPr>
        <w:spacing w:after="60" w:line="276"/>
        <w:jc w:val="both"/>
      </w:pPr>
      <w:r>
        <w:rPr>
          <w:rFonts w:ascii="Calibri" w:cs="Calibri" w:eastAsia="Calibri" w:hAnsi="Calibri"/>
          <w:b/>
          <w:bCs/>
          <w:color w:val="333333"/>
          <w:sz w:val="22"/>
          <w:szCs w:val="22"/>
        </w:rPr>
        <w:t xml:space="preserve">Approved with Conditions: </w:t>
      </w:r>
      <w:r>
        <w:rPr>
          <w:rFonts w:ascii="Calibri" w:cs="Calibri" w:eastAsia="Calibri" w:hAnsi="Calibri"/>
          <w:color w:val="333333"/>
          <w:sz w:val="22"/>
          <w:szCs w:val="22"/>
        </w:rPr>
        <w:t xml:space="preserve">The Component may be used only if the specified conditions are satisfied (e.g., specific architecture only, no modification, specific version only, time-limited approval).</w:t>
      </w:r>
    </w:p>
    <w:p>
      <w:pPr>
        <w:pStyle w:val="ListParagraph"/>
        <w:numPr>
          <w:ilvl w:val="0"/>
          <w:numId w:val="2"/>
        </w:numPr>
        <w:spacing w:after="60" w:line="276"/>
        <w:jc w:val="both"/>
      </w:pPr>
      <w:r>
        <w:rPr>
          <w:rFonts w:ascii="Calibri" w:cs="Calibri" w:eastAsia="Calibri" w:hAnsi="Calibri"/>
          <w:b/>
          <w:bCs/>
          <w:color w:val="333333"/>
          <w:sz w:val="22"/>
          <w:szCs w:val="22"/>
        </w:rPr>
        <w:t xml:space="preserve">Denied: </w:t>
      </w:r>
      <w:r>
        <w:rPr>
          <w:rFonts w:ascii="Calibri" w:cs="Calibri" w:eastAsia="Calibri" w:hAnsi="Calibri"/>
          <w:color w:val="333333"/>
          <w:sz w:val="22"/>
          <w:szCs w:val="22"/>
        </w:rPr>
        <w:t xml:space="preserve">The Component may not be used. The denial record shall state the basis for denial and, where feasible, suggest approved alternatives.</w:t>
      </w:r>
    </w:p>
    <w:p>
      <w:pPr>
        <w:pStyle w:val="ListParagraph"/>
        <w:numPr>
          <w:ilvl w:val="0"/>
          <w:numId w:val="2"/>
        </w:numPr>
        <w:spacing w:after="60" w:line="276"/>
        <w:jc w:val="both"/>
      </w:pPr>
      <w:r>
        <w:rPr>
          <w:rFonts w:ascii="Calibri" w:cs="Calibri" w:eastAsia="Calibri" w:hAnsi="Calibri"/>
          <w:b/>
          <w:bCs/>
          <w:color w:val="333333"/>
          <w:sz w:val="22"/>
          <w:szCs w:val="22"/>
        </w:rPr>
        <w:t xml:space="preserve">Deferred: </w:t>
      </w:r>
      <w:r>
        <w:rPr>
          <w:rFonts w:ascii="Calibri" w:cs="Calibri" w:eastAsia="Calibri" w:hAnsi="Calibri"/>
          <w:color w:val="333333"/>
          <w:sz w:val="22"/>
          <w:szCs w:val="22"/>
        </w:rPr>
        <w:t xml:space="preserve">Additional information or analysis is required before a determination can be made.</w:t>
      </w:r>
    </w:p>
    <w:p>
      <w:pPr>
        <w:spacing w:after="120" w:before="0" w:line="276"/>
        <w:jc w:val="both"/>
      </w:pPr>
      <w:r>
        <w:rPr>
          <w:rFonts w:ascii="Calibri" w:cs="Calibri" w:eastAsia="Calibri" w:hAnsi="Calibri"/>
          <w:b w:val="false"/>
          <w:bCs w:val="false"/>
          <w:i w:val="false"/>
          <w:iCs w:val="false"/>
          <w:color w:val="333333"/>
          <w:sz w:val="22"/>
          <w:szCs w:val="22"/>
        </w:rPr>
        <w:t xml:space="preserve">All approvals expire [12] months from the date of issuance unless an earlier expiration date is specified. Expiring approvals trigger a reassessment notification [30] days before expiration. Reassessment is also triggered by:</w:t>
      </w:r>
    </w:p>
    <w:p>
      <w:pPr>
        <w:pStyle w:val="ListParagraph"/>
        <w:numPr>
          <w:ilvl w:val="0"/>
          <w:numId w:val="2"/>
        </w:numPr>
        <w:spacing w:after="60" w:line="276"/>
        <w:jc w:val="both"/>
      </w:pPr>
      <w:r>
        <w:rPr>
          <w:rFonts w:ascii="Calibri" w:cs="Calibri" w:eastAsia="Calibri" w:hAnsi="Calibri"/>
          <w:color w:val="333333"/>
          <w:sz w:val="22"/>
          <w:szCs w:val="22"/>
        </w:rPr>
        <w:t xml:space="preserve">A major-version update of the Component;</w:t>
      </w:r>
    </w:p>
    <w:p>
      <w:pPr>
        <w:pStyle w:val="ListParagraph"/>
        <w:numPr>
          <w:ilvl w:val="0"/>
          <w:numId w:val="2"/>
        </w:numPr>
        <w:spacing w:after="60" w:line="276"/>
        <w:jc w:val="both"/>
      </w:pPr>
      <w:r>
        <w:rPr>
          <w:rFonts w:ascii="Calibri" w:cs="Calibri" w:eastAsia="Calibri" w:hAnsi="Calibri"/>
          <w:color w:val="333333"/>
          <w:sz w:val="22"/>
          <w:szCs w:val="22"/>
        </w:rPr>
        <w:t xml:space="preserve">A change in the Component's license terms;</w:t>
      </w:r>
    </w:p>
    <w:p>
      <w:pPr>
        <w:pStyle w:val="ListParagraph"/>
        <w:numPr>
          <w:ilvl w:val="0"/>
          <w:numId w:val="2"/>
        </w:numPr>
        <w:spacing w:after="60" w:line="276"/>
        <w:jc w:val="both"/>
      </w:pPr>
      <w:r>
        <w:rPr>
          <w:rFonts w:ascii="Calibri" w:cs="Calibri" w:eastAsia="Calibri" w:hAnsi="Calibri"/>
          <w:color w:val="333333"/>
          <w:sz w:val="22"/>
          <w:szCs w:val="22"/>
        </w:rPr>
        <w:t xml:space="preserve">A change in the proposed use, architecture, or distribution method;</w:t>
      </w:r>
    </w:p>
    <w:p>
      <w:pPr>
        <w:pStyle w:val="ListParagraph"/>
        <w:numPr>
          <w:ilvl w:val="0"/>
          <w:numId w:val="2"/>
        </w:numPr>
        <w:spacing w:after="60" w:line="276"/>
        <w:jc w:val="both"/>
      </w:pPr>
      <w:r>
        <w:rPr>
          <w:rFonts w:ascii="Calibri" w:cs="Calibri" w:eastAsia="Calibri" w:hAnsi="Calibri"/>
          <w:color w:val="333333"/>
          <w:sz w:val="22"/>
          <w:szCs w:val="22"/>
        </w:rPr>
        <w:t xml:space="preserve">The discovery of a critical or high-severity vulnerability;</w:t>
      </w:r>
    </w:p>
    <w:p>
      <w:pPr>
        <w:pStyle w:val="ListParagraph"/>
        <w:numPr>
          <w:ilvl w:val="0"/>
          <w:numId w:val="2"/>
        </w:numPr>
        <w:spacing w:after="60" w:line="276"/>
        <w:jc w:val="both"/>
      </w:pPr>
      <w:r>
        <w:rPr>
          <w:rFonts w:ascii="Calibri" w:cs="Calibri" w:eastAsia="Calibri" w:hAnsi="Calibri"/>
          <w:color w:val="333333"/>
          <w:sz w:val="22"/>
          <w:szCs w:val="22"/>
        </w:rPr>
        <w:t xml:space="preserve">A material change in the Component's maintenance status or community health;</w:t>
      </w:r>
    </w:p>
    <w:p>
      <w:pPr>
        <w:pStyle w:val="ListParagraph"/>
        <w:numPr>
          <w:ilvl w:val="0"/>
          <w:numId w:val="2"/>
        </w:numPr>
        <w:spacing w:after="60" w:line="276"/>
        <w:jc w:val="both"/>
      </w:pPr>
      <w:r>
        <w:rPr>
          <w:rFonts w:ascii="Calibri" w:cs="Calibri" w:eastAsia="Calibri" w:hAnsi="Calibri"/>
          <w:color w:val="333333"/>
          <w:sz w:val="22"/>
          <w:szCs w:val="22"/>
        </w:rPr>
        <w:t xml:space="preserve">A change in applicable law, regulation, or industry standard; or</w:t>
      </w:r>
    </w:p>
    <w:p>
      <w:pPr>
        <w:pStyle w:val="ListParagraph"/>
        <w:numPr>
          <w:ilvl w:val="0"/>
          <w:numId w:val="2"/>
        </w:numPr>
        <w:spacing w:after="60" w:line="276"/>
        <w:jc w:val="both"/>
      </w:pPr>
      <w:r>
        <w:rPr>
          <w:rFonts w:ascii="Calibri" w:cs="Calibri" w:eastAsia="Calibri" w:hAnsi="Calibri"/>
          <w:color w:val="333333"/>
          <w:sz w:val="22"/>
          <w:szCs w:val="22"/>
        </w:rPr>
        <w:t xml:space="preserve">Direction from the OSRB or Company management.</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6. INVENTORY AND SOFTWARE BILL OF MATERIALS (SBOM)</w:t>
      </w:r>
    </w:p>
    <w:p>
      <w:pPr>
        <w:pStyle w:val="Heading2"/>
        <w:spacing w:after="120" w:before="240"/>
        <w:jc w:val="left"/>
      </w:pPr>
      <w:r>
        <w:rPr>
          <w:rFonts w:ascii="Calibri" w:cs="Calibri" w:eastAsia="Calibri" w:hAnsi="Calibri"/>
          <w:b/>
          <w:bCs/>
          <w:color w:val="1F3864"/>
          <w:sz w:val="24"/>
          <w:szCs w:val="24"/>
        </w:rPr>
        <w:t xml:space="preserve">6.1 Component Registry</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maintain a centralized Component Registry that serves as the single source of truth for all Components that have been submitted for review, are currently in use, or have been retired. The Component Registry shall record the following for each Component:</w:t>
      </w:r>
    </w:p>
    <w:p>
      <w:pPr>
        <w:pStyle w:val="ListParagraph"/>
        <w:numPr>
          <w:ilvl w:val="0"/>
          <w:numId w:val="2"/>
        </w:numPr>
        <w:spacing w:after="60" w:line="276"/>
        <w:jc w:val="both"/>
      </w:pPr>
      <w:r>
        <w:rPr>
          <w:rFonts w:ascii="Calibri" w:cs="Calibri" w:eastAsia="Calibri" w:hAnsi="Calibri"/>
          <w:color w:val="333333"/>
          <w:sz w:val="22"/>
          <w:szCs w:val="22"/>
        </w:rPr>
        <w:t xml:space="preserve">All fields from the Intake Record (Section 4);</w:t>
      </w:r>
    </w:p>
    <w:p>
      <w:pPr>
        <w:pStyle w:val="ListParagraph"/>
        <w:numPr>
          <w:ilvl w:val="0"/>
          <w:numId w:val="2"/>
        </w:numPr>
        <w:spacing w:after="60" w:line="276"/>
        <w:jc w:val="both"/>
      </w:pPr>
      <w:r>
        <w:rPr>
          <w:rFonts w:ascii="Calibri" w:cs="Calibri" w:eastAsia="Calibri" w:hAnsi="Calibri"/>
          <w:color w:val="333333"/>
          <w:sz w:val="22"/>
          <w:szCs w:val="22"/>
        </w:rPr>
        <w:t xml:space="preserve">Risk Tier classification;</w:t>
      </w:r>
    </w:p>
    <w:p>
      <w:pPr>
        <w:pStyle w:val="ListParagraph"/>
        <w:numPr>
          <w:ilvl w:val="0"/>
          <w:numId w:val="2"/>
        </w:numPr>
        <w:spacing w:after="60" w:line="276"/>
        <w:jc w:val="both"/>
      </w:pPr>
      <w:r>
        <w:rPr>
          <w:rFonts w:ascii="Calibri" w:cs="Calibri" w:eastAsia="Calibri" w:hAnsi="Calibri"/>
          <w:color w:val="333333"/>
          <w:sz w:val="22"/>
          <w:szCs w:val="22"/>
        </w:rPr>
        <w:t xml:space="preserve">Approval status, date, conditions, and expiration;</w:t>
      </w:r>
    </w:p>
    <w:p>
      <w:pPr>
        <w:pStyle w:val="ListParagraph"/>
        <w:numPr>
          <w:ilvl w:val="0"/>
          <w:numId w:val="2"/>
        </w:numPr>
        <w:spacing w:after="60" w:line="276"/>
        <w:jc w:val="both"/>
      </w:pPr>
      <w:r>
        <w:rPr>
          <w:rFonts w:ascii="Calibri" w:cs="Calibri" w:eastAsia="Calibri" w:hAnsi="Calibri"/>
          <w:color w:val="333333"/>
          <w:sz w:val="22"/>
          <w:szCs w:val="22"/>
        </w:rPr>
        <w:t xml:space="preserve">OSRB reviewer identities and review notes;</w:t>
      </w:r>
    </w:p>
    <w:p>
      <w:pPr>
        <w:pStyle w:val="ListParagraph"/>
        <w:numPr>
          <w:ilvl w:val="0"/>
          <w:numId w:val="2"/>
        </w:numPr>
        <w:spacing w:after="60" w:line="276"/>
        <w:jc w:val="both"/>
      </w:pPr>
      <w:r>
        <w:rPr>
          <w:rFonts w:ascii="Calibri" w:cs="Calibri" w:eastAsia="Calibri" w:hAnsi="Calibri"/>
          <w:color w:val="333333"/>
          <w:sz w:val="22"/>
          <w:szCs w:val="22"/>
        </w:rPr>
        <w:t xml:space="preserve">All products, services, and systems in which the Component is deployed;</w:t>
      </w:r>
    </w:p>
    <w:p>
      <w:pPr>
        <w:pStyle w:val="ListParagraph"/>
        <w:numPr>
          <w:ilvl w:val="0"/>
          <w:numId w:val="2"/>
        </w:numPr>
        <w:spacing w:after="60" w:line="276"/>
        <w:jc w:val="both"/>
      </w:pPr>
      <w:r>
        <w:rPr>
          <w:rFonts w:ascii="Calibri" w:cs="Calibri" w:eastAsia="Calibri" w:hAnsi="Calibri"/>
          <w:color w:val="333333"/>
          <w:sz w:val="22"/>
          <w:szCs w:val="22"/>
        </w:rPr>
        <w:t xml:space="preserve">Version history and upgrade/migration notes; and</w:t>
      </w:r>
    </w:p>
    <w:p>
      <w:pPr>
        <w:pStyle w:val="ListParagraph"/>
        <w:numPr>
          <w:ilvl w:val="0"/>
          <w:numId w:val="2"/>
        </w:numPr>
        <w:spacing w:after="60" w:line="276"/>
        <w:jc w:val="both"/>
      </w:pPr>
      <w:r>
        <w:rPr>
          <w:rFonts w:ascii="Calibri" w:cs="Calibri" w:eastAsia="Calibri" w:hAnsi="Calibri"/>
          <w:color w:val="333333"/>
          <w:sz w:val="22"/>
          <w:szCs w:val="22"/>
        </w:rPr>
        <w:t xml:space="preserve">Links to related security advisories, vulnerability records, and incident reports.</w:t>
      </w:r>
    </w:p>
    <w:p>
      <w:pPr>
        <w:pStyle w:val="Heading2"/>
        <w:spacing w:after="120" w:before="240"/>
        <w:jc w:val="left"/>
      </w:pPr>
      <w:r>
        <w:rPr>
          <w:rFonts w:ascii="Calibri" w:cs="Calibri" w:eastAsia="Calibri" w:hAnsi="Calibri"/>
          <w:b/>
          <w:bCs/>
          <w:color w:val="1F3864"/>
          <w:sz w:val="24"/>
          <w:szCs w:val="24"/>
        </w:rPr>
        <w:t xml:space="preserve">6.2 SBOM Generation and Maintenance</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generate and maintain a Software Bill of Materials (SBOM) for each product, service, application, and system that incorporates open-source Components. Each SBOM shall:</w:t>
      </w:r>
    </w:p>
    <w:p>
      <w:pPr>
        <w:pStyle w:val="ListParagraph"/>
        <w:numPr>
          <w:ilvl w:val="0"/>
          <w:numId w:val="2"/>
        </w:numPr>
        <w:spacing w:after="60" w:line="276"/>
        <w:jc w:val="both"/>
      </w:pPr>
      <w:r>
        <w:rPr>
          <w:rFonts w:ascii="Calibri" w:cs="Calibri" w:eastAsia="Calibri" w:hAnsi="Calibri"/>
          <w:color w:val="333333"/>
          <w:sz w:val="22"/>
          <w:szCs w:val="22"/>
        </w:rPr>
        <w:t xml:space="preserve">Include all direct and transitive Components, identified by name, version, and SPDX license identifier;</w:t>
      </w:r>
    </w:p>
    <w:p>
      <w:pPr>
        <w:pStyle w:val="ListParagraph"/>
        <w:numPr>
          <w:ilvl w:val="0"/>
          <w:numId w:val="2"/>
        </w:numPr>
        <w:spacing w:after="60" w:line="276"/>
        <w:jc w:val="both"/>
      </w:pPr>
      <w:r>
        <w:rPr>
          <w:rFonts w:ascii="Calibri" w:cs="Calibri" w:eastAsia="Calibri" w:hAnsi="Calibri"/>
          <w:color w:val="333333"/>
          <w:sz w:val="22"/>
          <w:szCs w:val="22"/>
        </w:rPr>
        <w:t xml:space="preserve">Include cryptographic hashes (SHA-256 minimum) for each Component artifact;</w:t>
      </w:r>
    </w:p>
    <w:p>
      <w:pPr>
        <w:pStyle w:val="ListParagraph"/>
        <w:numPr>
          <w:ilvl w:val="0"/>
          <w:numId w:val="2"/>
        </w:numPr>
        <w:spacing w:after="60" w:line="276"/>
        <w:jc w:val="both"/>
      </w:pPr>
      <w:r>
        <w:rPr>
          <w:rFonts w:ascii="Calibri" w:cs="Calibri" w:eastAsia="Calibri" w:hAnsi="Calibri"/>
          <w:color w:val="333333"/>
          <w:sz w:val="22"/>
          <w:szCs w:val="22"/>
        </w:rPr>
        <w:t xml:space="preserve">Include provenance information identifying the source repository, package registry, or download URL for each Component;</w:t>
      </w:r>
    </w:p>
    <w:p>
      <w:pPr>
        <w:pStyle w:val="ListParagraph"/>
        <w:numPr>
          <w:ilvl w:val="0"/>
          <w:numId w:val="2"/>
        </w:numPr>
        <w:spacing w:after="60" w:line="276"/>
        <w:jc w:val="both"/>
      </w:pPr>
      <w:r>
        <w:rPr>
          <w:rFonts w:ascii="Calibri" w:cs="Calibri" w:eastAsia="Calibri" w:hAnsi="Calibri"/>
          <w:color w:val="333333"/>
          <w:sz w:val="22"/>
          <w:szCs w:val="22"/>
        </w:rPr>
        <w:t xml:space="preserve">Record all known Modifications made by the Company to each Component;</w:t>
      </w:r>
    </w:p>
    <w:p>
      <w:pPr>
        <w:pStyle w:val="ListParagraph"/>
        <w:numPr>
          <w:ilvl w:val="0"/>
          <w:numId w:val="2"/>
        </w:numPr>
        <w:spacing w:after="60" w:line="276"/>
        <w:jc w:val="both"/>
      </w:pPr>
      <w:r>
        <w:rPr>
          <w:rFonts w:ascii="Calibri" w:cs="Calibri" w:eastAsia="Calibri" w:hAnsi="Calibri"/>
          <w:color w:val="333333"/>
          <w:sz w:val="22"/>
          <w:szCs w:val="22"/>
        </w:rPr>
        <w:t xml:space="preserve">Be generated in a machine-readable standard format (SPDX 2.3+ or CycloneDX 1.4+ preferred);</w:t>
      </w:r>
    </w:p>
    <w:p>
      <w:pPr>
        <w:pStyle w:val="ListParagraph"/>
        <w:numPr>
          <w:ilvl w:val="0"/>
          <w:numId w:val="2"/>
        </w:numPr>
        <w:spacing w:after="60" w:line="276"/>
        <w:jc w:val="both"/>
      </w:pPr>
      <w:r>
        <w:rPr>
          <w:rFonts w:ascii="Calibri" w:cs="Calibri" w:eastAsia="Calibri" w:hAnsi="Calibri"/>
          <w:color w:val="333333"/>
          <w:sz w:val="22"/>
          <w:szCs w:val="22"/>
        </w:rPr>
        <w:t xml:space="preserve">Be regenerated automatically as part of the CI/CD Pipeline for every build that modifies the dependency tree;</w:t>
      </w:r>
    </w:p>
    <w:p>
      <w:pPr>
        <w:pStyle w:val="ListParagraph"/>
        <w:numPr>
          <w:ilvl w:val="0"/>
          <w:numId w:val="2"/>
        </w:numPr>
        <w:spacing w:after="60" w:line="276"/>
        <w:jc w:val="both"/>
      </w:pPr>
      <w:r>
        <w:rPr>
          <w:rFonts w:ascii="Calibri" w:cs="Calibri" w:eastAsia="Calibri" w:hAnsi="Calibri"/>
          <w:color w:val="333333"/>
          <w:sz w:val="22"/>
          <w:szCs w:val="22"/>
        </w:rPr>
        <w:t xml:space="preserve">Be stored in the Company's artifact repository with the same retention policy as the associated release artifacts;</w:t>
      </w:r>
    </w:p>
    <w:p>
      <w:pPr>
        <w:pStyle w:val="ListParagraph"/>
        <w:numPr>
          <w:ilvl w:val="0"/>
          <w:numId w:val="2"/>
        </w:numPr>
        <w:spacing w:after="60" w:line="276"/>
        <w:jc w:val="both"/>
      </w:pPr>
      <w:r>
        <w:rPr>
          <w:rFonts w:ascii="Calibri" w:cs="Calibri" w:eastAsia="Calibri" w:hAnsi="Calibri"/>
          <w:color w:val="333333"/>
          <w:sz w:val="22"/>
          <w:szCs w:val="22"/>
        </w:rPr>
        <w:t xml:space="preserve">Be made available to customers, partners, regulators, and auditors upon request, subject to the Company's information-classification policy; and</w:t>
      </w:r>
    </w:p>
    <w:p>
      <w:pPr>
        <w:pStyle w:val="ListParagraph"/>
        <w:numPr>
          <w:ilvl w:val="0"/>
          <w:numId w:val="2"/>
        </w:numPr>
        <w:spacing w:after="60" w:line="276"/>
        <w:jc w:val="both"/>
      </w:pPr>
      <w:r>
        <w:rPr>
          <w:rFonts w:ascii="Calibri" w:cs="Calibri" w:eastAsia="Calibri" w:hAnsi="Calibri"/>
          <w:color w:val="333333"/>
          <w:sz w:val="22"/>
          <w:szCs w:val="22"/>
        </w:rPr>
        <w:t xml:space="preserve">Be reviewed by the OSRB or its designee no less than [QUARTERLY] to identify stale, unmaintained, or newly-restricted Components.</w:t>
      </w:r>
    </w:p>
    <w:p>
      <w:pPr>
        <w:pStyle w:val="Heading2"/>
        <w:spacing w:after="120" w:before="240"/>
        <w:jc w:val="left"/>
      </w:pPr>
      <w:r>
        <w:rPr>
          <w:rFonts w:ascii="Calibri" w:cs="Calibri" w:eastAsia="Calibri" w:hAnsi="Calibri"/>
          <w:b/>
          <w:bCs/>
          <w:color w:val="1F3864"/>
          <w:sz w:val="24"/>
          <w:szCs w:val="24"/>
        </w:rPr>
        <w:t xml:space="preserve">6.3 Provenance and Integrity Verification</w:t>
      </w:r>
    </w:p>
    <w:p>
      <w:pPr>
        <w:spacing w:after="120" w:before="0" w:line="276"/>
        <w:jc w:val="both"/>
      </w:pPr>
      <w:r>
        <w:rPr>
          <w:rFonts w:ascii="Calibri" w:cs="Calibri" w:eastAsia="Calibri" w:hAnsi="Calibri"/>
          <w:b w:val="false"/>
          <w:bCs w:val="false"/>
          <w:i w:val="false"/>
          <w:iCs w:val="false"/>
          <w:color w:val="333333"/>
          <w:sz w:val="22"/>
          <w:szCs w:val="22"/>
        </w:rPr>
        <w:t xml:space="preserve">All Components shall be obtained from verified, authoritative sources. The Company shall implement the following provenance controls:</w:t>
      </w:r>
    </w:p>
    <w:p>
      <w:pPr>
        <w:pStyle w:val="ListParagraph"/>
        <w:numPr>
          <w:ilvl w:val="0"/>
          <w:numId w:val="2"/>
        </w:numPr>
        <w:spacing w:after="60" w:line="276"/>
        <w:jc w:val="both"/>
      </w:pPr>
      <w:r>
        <w:rPr>
          <w:rFonts w:ascii="Calibri" w:cs="Calibri" w:eastAsia="Calibri" w:hAnsi="Calibri"/>
          <w:color w:val="333333"/>
          <w:sz w:val="22"/>
          <w:szCs w:val="22"/>
        </w:rPr>
        <w:t xml:space="preserve">Artifact signatures (e.g., GPG, Sigstore/cosign) shall be verified where available;</w:t>
      </w:r>
    </w:p>
    <w:p>
      <w:pPr>
        <w:pStyle w:val="ListParagraph"/>
        <w:numPr>
          <w:ilvl w:val="0"/>
          <w:numId w:val="2"/>
        </w:numPr>
        <w:spacing w:after="60" w:line="276"/>
        <w:jc w:val="both"/>
      </w:pPr>
      <w:r>
        <w:rPr>
          <w:rFonts w:ascii="Calibri" w:cs="Calibri" w:eastAsia="Calibri" w:hAnsi="Calibri"/>
          <w:color w:val="333333"/>
          <w:sz w:val="22"/>
          <w:szCs w:val="22"/>
        </w:rPr>
        <w:t xml:space="preserve">Downloaded artifacts shall be compared against published checksums from the authoritative source;</w:t>
      </w:r>
    </w:p>
    <w:p>
      <w:pPr>
        <w:pStyle w:val="ListParagraph"/>
        <w:numPr>
          <w:ilvl w:val="0"/>
          <w:numId w:val="2"/>
        </w:numPr>
        <w:spacing w:after="60" w:line="276"/>
        <w:jc w:val="both"/>
      </w:pPr>
      <w:r>
        <w:rPr>
          <w:rFonts w:ascii="Calibri" w:cs="Calibri" w:eastAsia="Calibri" w:hAnsi="Calibri"/>
          <w:color w:val="333333"/>
          <w:sz w:val="22"/>
          <w:szCs w:val="22"/>
        </w:rPr>
        <w:t xml:space="preserve">Package-lock files, lock files, and pinned dependency specifications shall be committed to source control and reviewed as part of code review;</w:t>
      </w:r>
    </w:p>
    <w:p>
      <w:pPr>
        <w:pStyle w:val="ListParagraph"/>
        <w:numPr>
          <w:ilvl w:val="0"/>
          <w:numId w:val="2"/>
        </w:numPr>
        <w:spacing w:after="60" w:line="276"/>
        <w:jc w:val="both"/>
      </w:pPr>
      <w:r>
        <w:rPr>
          <w:rFonts w:ascii="Calibri" w:cs="Calibri" w:eastAsia="Calibri" w:hAnsi="Calibri"/>
          <w:color w:val="333333"/>
          <w:sz w:val="22"/>
          <w:szCs w:val="22"/>
        </w:rPr>
        <w:t xml:space="preserve">Mirror or proxy registries shall be used where feasible to provide an additional verification layer and to ensure availability; and</w:t>
      </w:r>
    </w:p>
    <w:p>
      <w:pPr>
        <w:pStyle w:val="ListParagraph"/>
        <w:numPr>
          <w:ilvl w:val="0"/>
          <w:numId w:val="2"/>
        </w:numPr>
        <w:spacing w:after="60" w:line="276"/>
        <w:jc w:val="both"/>
      </w:pPr>
      <w:r>
        <w:rPr>
          <w:rFonts w:ascii="Calibri" w:cs="Calibri" w:eastAsia="Calibri" w:hAnsi="Calibri"/>
          <w:color w:val="333333"/>
          <w:sz w:val="22"/>
          <w:szCs w:val="22"/>
        </w:rPr>
        <w:t xml:space="preserve">Any discrepancy between expected and actual artifact identity, hash, or signature shall be treated as a security incident under Section 14.</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7. OBLIGATION FULFILLMENT</w:t>
      </w:r>
    </w:p>
    <w:p>
      <w:pPr>
        <w:pStyle w:val="Heading2"/>
        <w:spacing w:after="120" w:before="240"/>
        <w:jc w:val="left"/>
      </w:pPr>
      <w:r>
        <w:rPr>
          <w:rFonts w:ascii="Calibri" w:cs="Calibri" w:eastAsia="Calibri" w:hAnsi="Calibri"/>
          <w:b/>
          <w:bCs/>
          <w:color w:val="1F3864"/>
          <w:sz w:val="24"/>
          <w:szCs w:val="24"/>
        </w:rPr>
        <w:t xml:space="preserve">7.1 General Obligation</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comply fully and in good faith with all obligations imposed by the licenses of all Approved Components used in Company Code, products, and services. Obligation fulfillment is not optional, discretionary, or deferrable; it is a condition of the Company's right to use each Component.</w:t>
      </w:r>
    </w:p>
    <w:p>
      <w:pPr>
        <w:pStyle w:val="Heading2"/>
        <w:spacing w:after="120" w:before="240"/>
        <w:jc w:val="left"/>
      </w:pPr>
      <w:r>
        <w:rPr>
          <w:rFonts w:ascii="Calibri" w:cs="Calibri" w:eastAsia="Calibri" w:hAnsi="Calibri"/>
          <w:b/>
          <w:bCs/>
          <w:color w:val="1F3864"/>
          <w:sz w:val="24"/>
          <w:szCs w:val="24"/>
        </w:rPr>
        <w:t xml:space="preserve">7.2 Attribution and Notices</w:t>
      </w:r>
    </w:p>
    <w:p>
      <w:pPr>
        <w:spacing w:after="120" w:before="0" w:line="276"/>
        <w:jc w:val="both"/>
      </w:pPr>
      <w:r>
        <w:rPr>
          <w:rFonts w:ascii="Calibri" w:cs="Calibri" w:eastAsia="Calibri" w:hAnsi="Calibri"/>
          <w:b w:val="false"/>
          <w:bCs w:val="false"/>
          <w:i w:val="false"/>
          <w:iCs w:val="false"/>
          <w:color w:val="333333"/>
          <w:sz w:val="22"/>
          <w:szCs w:val="22"/>
        </w:rPr>
        <w:t xml:space="preserve">For each Approved Component whose license requires attribution, copyright notice, or license-text inclusion, the Company shall:</w:t>
      </w:r>
    </w:p>
    <w:p>
      <w:pPr>
        <w:pStyle w:val="ListParagraph"/>
        <w:numPr>
          <w:ilvl w:val="0"/>
          <w:numId w:val="2"/>
        </w:numPr>
        <w:spacing w:after="60" w:line="276"/>
        <w:jc w:val="both"/>
      </w:pPr>
      <w:r>
        <w:rPr>
          <w:rFonts w:ascii="Calibri" w:cs="Calibri" w:eastAsia="Calibri" w:hAnsi="Calibri"/>
          <w:color w:val="333333"/>
          <w:sz w:val="22"/>
          <w:szCs w:val="22"/>
        </w:rPr>
        <w:t xml:space="preserve">Include the required copyright notice(s) in a NOTICES, THIRD-PARTY-LICENSES, or equivalent file bundled with every Distribution of the product or service incorporating the Component;</w:t>
      </w:r>
    </w:p>
    <w:p>
      <w:pPr>
        <w:pStyle w:val="ListParagraph"/>
        <w:numPr>
          <w:ilvl w:val="0"/>
          <w:numId w:val="2"/>
        </w:numPr>
        <w:spacing w:after="60" w:line="276"/>
        <w:jc w:val="both"/>
      </w:pPr>
      <w:r>
        <w:rPr>
          <w:rFonts w:ascii="Calibri" w:cs="Calibri" w:eastAsia="Calibri" w:hAnsi="Calibri"/>
          <w:color w:val="333333"/>
          <w:sz w:val="22"/>
          <w:szCs w:val="22"/>
        </w:rPr>
        <w:t xml:space="preserve">Reproduce the full text of the applicable license in the notices file or provide a clearly identified reference to the license text;</w:t>
      </w:r>
    </w:p>
    <w:p>
      <w:pPr>
        <w:pStyle w:val="ListParagraph"/>
        <w:numPr>
          <w:ilvl w:val="0"/>
          <w:numId w:val="2"/>
        </w:numPr>
        <w:spacing w:after="60" w:line="276"/>
        <w:jc w:val="both"/>
      </w:pPr>
      <w:r>
        <w:rPr>
          <w:rFonts w:ascii="Calibri" w:cs="Calibri" w:eastAsia="Calibri" w:hAnsi="Calibri"/>
          <w:color w:val="333333"/>
          <w:sz w:val="22"/>
          <w:szCs w:val="22"/>
        </w:rPr>
        <w:t xml:space="preserve">Ensure that notices are presented in a manner that is accessible and reasonably discoverable by recipients of the Distribution (e.g., in application "About" dialogs, help menus, documentation, or accompanying files);</w:t>
      </w:r>
    </w:p>
    <w:p>
      <w:pPr>
        <w:pStyle w:val="ListParagraph"/>
        <w:numPr>
          <w:ilvl w:val="0"/>
          <w:numId w:val="2"/>
        </w:numPr>
        <w:spacing w:after="60" w:line="276"/>
        <w:jc w:val="both"/>
      </w:pPr>
      <w:r>
        <w:rPr>
          <w:rFonts w:ascii="Calibri" w:cs="Calibri" w:eastAsia="Calibri" w:hAnsi="Calibri"/>
          <w:color w:val="333333"/>
          <w:sz w:val="22"/>
          <w:szCs w:val="22"/>
        </w:rPr>
        <w:t xml:space="preserve">Maintain notices in the same form and location across releases, avoiding inadvertent removal during refactoring, re-bundling, or format changes; and</w:t>
      </w:r>
    </w:p>
    <w:p>
      <w:pPr>
        <w:pStyle w:val="ListParagraph"/>
        <w:numPr>
          <w:ilvl w:val="0"/>
          <w:numId w:val="2"/>
        </w:numPr>
        <w:spacing w:after="60" w:line="276"/>
        <w:jc w:val="both"/>
      </w:pPr>
      <w:r>
        <w:rPr>
          <w:rFonts w:ascii="Calibri" w:cs="Calibri" w:eastAsia="Calibri" w:hAnsi="Calibri"/>
          <w:color w:val="333333"/>
          <w:sz w:val="22"/>
          <w:szCs w:val="22"/>
        </w:rPr>
        <w:t xml:space="preserve">Review all notice files for accuracy and completeness as part of every release-candidate review.</w:t>
      </w:r>
    </w:p>
    <w:p>
      <w:pPr>
        <w:pStyle w:val="Heading2"/>
        <w:spacing w:after="120" w:before="240"/>
        <w:jc w:val="left"/>
      </w:pPr>
      <w:r>
        <w:rPr>
          <w:rFonts w:ascii="Calibri" w:cs="Calibri" w:eastAsia="Calibri" w:hAnsi="Calibri"/>
          <w:b/>
          <w:bCs/>
          <w:color w:val="1F3864"/>
          <w:sz w:val="24"/>
          <w:szCs w:val="24"/>
        </w:rPr>
        <w:t xml:space="preserve">7.3 Source Code Disclosure</w:t>
      </w:r>
    </w:p>
    <w:p>
      <w:pPr>
        <w:spacing w:after="120" w:before="0" w:line="276"/>
        <w:jc w:val="both"/>
      </w:pPr>
      <w:r>
        <w:rPr>
          <w:rFonts w:ascii="Calibri" w:cs="Calibri" w:eastAsia="Calibri" w:hAnsi="Calibri"/>
          <w:b w:val="false"/>
          <w:bCs w:val="false"/>
          <w:i w:val="false"/>
          <w:iCs w:val="false"/>
          <w:color w:val="333333"/>
          <w:sz w:val="22"/>
          <w:szCs w:val="22"/>
        </w:rPr>
        <w:t xml:space="preserve">For each Approved Component whose license requires source-code disclosure (including without limitation GPL, LGPL, AGPL, and MPL obligations), the Company shall:</w:t>
      </w:r>
    </w:p>
    <w:p>
      <w:pPr>
        <w:pStyle w:val="ListParagraph"/>
        <w:numPr>
          <w:ilvl w:val="0"/>
          <w:numId w:val="2"/>
        </w:numPr>
        <w:spacing w:after="60" w:line="276"/>
        <w:jc w:val="both"/>
      </w:pPr>
      <w:r>
        <w:rPr>
          <w:rFonts w:ascii="Calibri" w:cs="Calibri" w:eastAsia="Calibri" w:hAnsi="Calibri"/>
          <w:color w:val="333333"/>
          <w:sz w:val="22"/>
          <w:szCs w:val="22"/>
        </w:rPr>
        <w:t xml:space="preserve">Prepare a complete, corresponding source package that includes the source code of the Component as used, including all Modifications made by the Company;</w:t>
      </w:r>
    </w:p>
    <w:p>
      <w:pPr>
        <w:pStyle w:val="ListParagraph"/>
        <w:numPr>
          <w:ilvl w:val="0"/>
          <w:numId w:val="2"/>
        </w:numPr>
        <w:spacing w:after="60" w:line="276"/>
        <w:jc w:val="both"/>
      </w:pPr>
      <w:r>
        <w:rPr>
          <w:rFonts w:ascii="Calibri" w:cs="Calibri" w:eastAsia="Calibri" w:hAnsi="Calibri"/>
          <w:color w:val="333333"/>
          <w:sz w:val="22"/>
          <w:szCs w:val="22"/>
        </w:rPr>
        <w:t xml:space="preserve">Make the source package available through the means required by the applicable license (e.g., accompaniment with the binary distribution, written offer valid for at least [3] years, or hosting on a publicly accessible URL);</w:t>
      </w:r>
    </w:p>
    <w:p>
      <w:pPr>
        <w:pStyle w:val="ListParagraph"/>
        <w:numPr>
          <w:ilvl w:val="0"/>
          <w:numId w:val="2"/>
        </w:numPr>
        <w:spacing w:after="60" w:line="276"/>
        <w:jc w:val="both"/>
      </w:pPr>
      <w:r>
        <w:rPr>
          <w:rFonts w:ascii="Calibri" w:cs="Calibri" w:eastAsia="Calibri" w:hAnsi="Calibri"/>
          <w:color w:val="333333"/>
          <w:sz w:val="22"/>
          <w:szCs w:val="22"/>
        </w:rPr>
        <w:t xml:space="preserve">Ensure that the source package includes all build scripts, makefiles, configuration files, and instructions necessary to rebuild the binary form of the Component from the provided source;</w:t>
      </w:r>
    </w:p>
    <w:p>
      <w:pPr>
        <w:pStyle w:val="ListParagraph"/>
        <w:numPr>
          <w:ilvl w:val="0"/>
          <w:numId w:val="2"/>
        </w:numPr>
        <w:spacing w:after="60" w:line="276"/>
        <w:jc w:val="both"/>
      </w:pPr>
      <w:r>
        <w:rPr>
          <w:rFonts w:ascii="Calibri" w:cs="Calibri" w:eastAsia="Calibri" w:hAnsi="Calibri"/>
          <w:color w:val="333333"/>
          <w:sz w:val="22"/>
          <w:szCs w:val="22"/>
        </w:rPr>
        <w:t xml:space="preserve">Retain source packages for the duration of the Distribution and for at least [3] years thereafter (or such longer period as the applicable license requires); and</w:t>
      </w:r>
    </w:p>
    <w:p>
      <w:pPr>
        <w:pStyle w:val="ListParagraph"/>
        <w:numPr>
          <w:ilvl w:val="0"/>
          <w:numId w:val="2"/>
        </w:numPr>
        <w:spacing w:after="60" w:line="276"/>
        <w:jc w:val="both"/>
      </w:pPr>
      <w:r>
        <w:rPr>
          <w:rFonts w:ascii="Calibri" w:cs="Calibri" w:eastAsia="Calibri" w:hAnsi="Calibri"/>
          <w:color w:val="333333"/>
          <w:sz w:val="22"/>
          <w:szCs w:val="22"/>
        </w:rPr>
        <w:t xml:space="preserve">Test that the source package compiles and produces a binary-equivalent artifact before each release.</w:t>
      </w:r>
    </w:p>
    <w:p>
      <w:pPr>
        <w:pStyle w:val="Heading2"/>
        <w:spacing w:after="120" w:before="240"/>
        <w:jc w:val="left"/>
      </w:pPr>
      <w:r>
        <w:rPr>
          <w:rFonts w:ascii="Calibri" w:cs="Calibri" w:eastAsia="Calibri" w:hAnsi="Calibri"/>
          <w:b/>
          <w:bCs/>
          <w:color w:val="1F3864"/>
          <w:sz w:val="24"/>
          <w:szCs w:val="24"/>
        </w:rPr>
        <w:t xml:space="preserve">7.4 Written Offers</w:t>
      </w:r>
    </w:p>
    <w:p>
      <w:pPr>
        <w:spacing w:after="120" w:before="0" w:line="276"/>
        <w:jc w:val="both"/>
      </w:pPr>
      <w:r>
        <w:rPr>
          <w:rFonts w:ascii="Calibri" w:cs="Calibri" w:eastAsia="Calibri" w:hAnsi="Calibri"/>
          <w:b w:val="false"/>
          <w:bCs w:val="false"/>
          <w:i w:val="false"/>
          <w:iCs w:val="false"/>
          <w:color w:val="333333"/>
          <w:sz w:val="22"/>
          <w:szCs w:val="22"/>
        </w:rPr>
        <w:t xml:space="preserve">Where a license requires a written offer to provide source code (e.g., GPL Section 3(b)), the Company shall include the written offer in the notices file, on the product's website, and in product documentation. The written offer shall include a contact method (e.g., email address, postal address, or URL) and shall remain valid for the period required by the applicable license.</w:t>
      </w:r>
    </w:p>
    <w:p>
      <w:pPr>
        <w:pStyle w:val="Heading2"/>
        <w:spacing w:after="120" w:before="240"/>
        <w:jc w:val="left"/>
      </w:pPr>
      <w:r>
        <w:rPr>
          <w:rFonts w:ascii="Calibri" w:cs="Calibri" w:eastAsia="Calibri" w:hAnsi="Calibri"/>
          <w:b/>
          <w:bCs/>
          <w:color w:val="1F3864"/>
          <w:sz w:val="24"/>
          <w:szCs w:val="24"/>
        </w:rPr>
        <w:t xml:space="preserve">7.5 Modification Disclosure</w:t>
      </w:r>
    </w:p>
    <w:p>
      <w:pPr>
        <w:spacing w:after="120" w:before="0" w:line="276"/>
        <w:jc w:val="both"/>
      </w:pPr>
      <w:r>
        <w:rPr>
          <w:rFonts w:ascii="Calibri" w:cs="Calibri" w:eastAsia="Calibri" w:hAnsi="Calibri"/>
          <w:b w:val="false"/>
          <w:bCs w:val="false"/>
          <w:i w:val="false"/>
          <w:iCs w:val="false"/>
          <w:color w:val="333333"/>
          <w:sz w:val="22"/>
          <w:szCs w:val="22"/>
        </w:rPr>
        <w:t xml:space="preserve">Where a license requires disclosure or documentation of Modifications (e.g., Apache-2.0 Section 4, MPL Section 3.3), the Company shall:</w:t>
      </w:r>
    </w:p>
    <w:p>
      <w:pPr>
        <w:pStyle w:val="ListParagraph"/>
        <w:numPr>
          <w:ilvl w:val="0"/>
          <w:numId w:val="2"/>
        </w:numPr>
        <w:spacing w:after="60" w:line="276"/>
        <w:jc w:val="both"/>
      </w:pPr>
      <w:r>
        <w:rPr>
          <w:rFonts w:ascii="Calibri" w:cs="Calibri" w:eastAsia="Calibri" w:hAnsi="Calibri"/>
          <w:color w:val="333333"/>
          <w:sz w:val="22"/>
          <w:szCs w:val="22"/>
        </w:rPr>
        <w:t xml:space="preserve">Maintain a change log or modification record for each modified Component;</w:t>
      </w:r>
    </w:p>
    <w:p>
      <w:pPr>
        <w:pStyle w:val="ListParagraph"/>
        <w:numPr>
          <w:ilvl w:val="0"/>
          <w:numId w:val="2"/>
        </w:numPr>
        <w:spacing w:after="60" w:line="276"/>
        <w:jc w:val="both"/>
      </w:pPr>
      <w:r>
        <w:rPr>
          <w:rFonts w:ascii="Calibri" w:cs="Calibri" w:eastAsia="Calibri" w:hAnsi="Calibri"/>
          <w:color w:val="333333"/>
          <w:sz w:val="22"/>
          <w:szCs w:val="22"/>
        </w:rPr>
        <w:t xml:space="preserve">Include prominent notices stating that the Component has been modified, the date of modification, and a description of the nature of the modification; and</w:t>
      </w:r>
    </w:p>
    <w:p>
      <w:pPr>
        <w:pStyle w:val="ListParagraph"/>
        <w:numPr>
          <w:ilvl w:val="0"/>
          <w:numId w:val="2"/>
        </w:numPr>
        <w:spacing w:after="60" w:line="276"/>
        <w:jc w:val="both"/>
      </w:pPr>
      <w:r>
        <w:rPr>
          <w:rFonts w:ascii="Calibri" w:cs="Calibri" w:eastAsia="Calibri" w:hAnsi="Calibri"/>
          <w:color w:val="333333"/>
          <w:sz w:val="22"/>
          <w:szCs w:val="22"/>
        </w:rPr>
        <w:t xml:space="preserve">Include the modification notices in the notices file and, where required, in the source files themselves.</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8. CI/CD AND RELEASE CONTROLS</w:t>
      </w:r>
    </w:p>
    <w:p>
      <w:pPr>
        <w:pStyle w:val="Heading2"/>
        <w:spacing w:after="120" w:before="240"/>
        <w:jc w:val="left"/>
      </w:pPr>
      <w:r>
        <w:rPr>
          <w:rFonts w:ascii="Calibri" w:cs="Calibri" w:eastAsia="Calibri" w:hAnsi="Calibri"/>
          <w:b/>
          <w:bCs/>
          <w:color w:val="1F3864"/>
          <w:sz w:val="24"/>
          <w:szCs w:val="24"/>
        </w:rPr>
        <w:t xml:space="preserve">8.1 Automated Gate Architecture</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implement automated controls at the following stages of the CI/CD Pipeline to enforce this Policy:</w:t>
      </w:r>
    </w:p>
    <w:p>
      <w:pPr>
        <w:pStyle w:val="Heading3"/>
        <w:spacing w:after="100" w:before="200"/>
        <w:jc w:val="left"/>
      </w:pPr>
      <w:r>
        <w:rPr>
          <w:rFonts w:ascii="Calibri" w:cs="Calibri" w:eastAsia="Calibri" w:hAnsi="Calibri"/>
          <w:b/>
          <w:bCs/>
          <w:i/>
          <w:iCs/>
          <w:color w:val="1F3864"/>
          <w:sz w:val="22"/>
          <w:szCs w:val="22"/>
        </w:rPr>
        <w:t xml:space="preserve">8.1.1 Pre-Commit / Pre-Merge Gate</w:t>
      </w:r>
    </w:p>
    <w:p>
      <w:pPr>
        <w:pStyle w:val="ListParagraph"/>
        <w:numPr>
          <w:ilvl w:val="0"/>
          <w:numId w:val="2"/>
        </w:numPr>
        <w:spacing w:after="60" w:line="276"/>
        <w:jc w:val="both"/>
      </w:pPr>
      <w:r>
        <w:rPr>
          <w:rFonts w:ascii="Calibri" w:cs="Calibri" w:eastAsia="Calibri" w:hAnsi="Calibri"/>
          <w:color w:val="333333"/>
          <w:sz w:val="22"/>
          <w:szCs w:val="22"/>
        </w:rPr>
        <w:t xml:space="preserve">Scan all proposed code changes, dependency-file changes, and import/require statements for new or modified Component references;</w:t>
      </w:r>
    </w:p>
    <w:p>
      <w:pPr>
        <w:pStyle w:val="ListParagraph"/>
        <w:numPr>
          <w:ilvl w:val="0"/>
          <w:numId w:val="2"/>
        </w:numPr>
        <w:spacing w:after="60" w:line="276"/>
        <w:jc w:val="both"/>
      </w:pPr>
      <w:r>
        <w:rPr>
          <w:rFonts w:ascii="Calibri" w:cs="Calibri" w:eastAsia="Calibri" w:hAnsi="Calibri"/>
          <w:color w:val="333333"/>
          <w:sz w:val="22"/>
          <w:szCs w:val="22"/>
        </w:rPr>
        <w:t xml:space="preserve">Compare identified Components against the Component Registry;</w:t>
      </w:r>
    </w:p>
    <w:p>
      <w:pPr>
        <w:pStyle w:val="ListParagraph"/>
        <w:numPr>
          <w:ilvl w:val="0"/>
          <w:numId w:val="2"/>
        </w:numPr>
        <w:spacing w:after="60" w:line="276"/>
        <w:jc w:val="both"/>
      </w:pPr>
      <w:r>
        <w:rPr>
          <w:rFonts w:ascii="Calibri" w:cs="Calibri" w:eastAsia="Calibri" w:hAnsi="Calibri"/>
          <w:color w:val="333333"/>
          <w:sz w:val="22"/>
          <w:szCs w:val="22"/>
        </w:rPr>
        <w:t xml:space="preserve">Block merge/commit of changes that introduce unapproved Components;</w:t>
      </w:r>
    </w:p>
    <w:p>
      <w:pPr>
        <w:pStyle w:val="ListParagraph"/>
        <w:numPr>
          <w:ilvl w:val="0"/>
          <w:numId w:val="2"/>
        </w:numPr>
        <w:spacing w:after="60" w:line="276"/>
        <w:jc w:val="both"/>
      </w:pPr>
      <w:r>
        <w:rPr>
          <w:rFonts w:ascii="Calibri" w:cs="Calibri" w:eastAsia="Calibri" w:hAnsi="Calibri"/>
          <w:color w:val="333333"/>
          <w:sz w:val="22"/>
          <w:szCs w:val="22"/>
        </w:rPr>
        <w:t xml:space="preserve">Generate a delta report of new, upgraded, downgraded, and removed Components for reviewer visibility; and</w:t>
      </w:r>
    </w:p>
    <w:p>
      <w:pPr>
        <w:pStyle w:val="ListParagraph"/>
        <w:numPr>
          <w:ilvl w:val="0"/>
          <w:numId w:val="2"/>
        </w:numPr>
        <w:spacing w:after="60" w:line="276"/>
        <w:jc w:val="both"/>
      </w:pPr>
      <w:r>
        <w:rPr>
          <w:rFonts w:ascii="Calibri" w:cs="Calibri" w:eastAsia="Calibri" w:hAnsi="Calibri"/>
          <w:color w:val="333333"/>
          <w:sz w:val="22"/>
          <w:szCs w:val="22"/>
        </w:rPr>
        <w:t xml:space="preserve">Alert the requesting developer and the OSRB of blocked Components with instructions for initiating the Intake Record.</w:t>
      </w:r>
    </w:p>
    <w:p>
      <w:pPr>
        <w:pStyle w:val="Heading3"/>
        <w:spacing w:after="100" w:before="200"/>
        <w:jc w:val="left"/>
      </w:pPr>
      <w:r>
        <w:rPr>
          <w:rFonts w:ascii="Calibri" w:cs="Calibri" w:eastAsia="Calibri" w:hAnsi="Calibri"/>
          <w:b/>
          <w:bCs/>
          <w:i/>
          <w:iCs/>
          <w:color w:val="1F3864"/>
          <w:sz w:val="22"/>
          <w:szCs w:val="22"/>
        </w:rPr>
        <w:t xml:space="preserve">8.1.2 Build Gate</w:t>
      </w:r>
    </w:p>
    <w:p>
      <w:pPr>
        <w:pStyle w:val="ListParagraph"/>
        <w:numPr>
          <w:ilvl w:val="0"/>
          <w:numId w:val="2"/>
        </w:numPr>
        <w:spacing w:after="60" w:line="276"/>
        <w:jc w:val="both"/>
      </w:pPr>
      <w:r>
        <w:rPr>
          <w:rFonts w:ascii="Calibri" w:cs="Calibri" w:eastAsia="Calibri" w:hAnsi="Calibri"/>
          <w:color w:val="333333"/>
          <w:sz w:val="22"/>
          <w:szCs w:val="22"/>
        </w:rPr>
        <w:t xml:space="preserve">Resolve the full dependency tree (direct and transitive) for each build;</w:t>
      </w:r>
    </w:p>
    <w:p>
      <w:pPr>
        <w:pStyle w:val="ListParagraph"/>
        <w:numPr>
          <w:ilvl w:val="0"/>
          <w:numId w:val="2"/>
        </w:numPr>
        <w:spacing w:after="60" w:line="276"/>
        <w:jc w:val="both"/>
      </w:pPr>
      <w:r>
        <w:rPr>
          <w:rFonts w:ascii="Calibri" w:cs="Calibri" w:eastAsia="Calibri" w:hAnsi="Calibri"/>
          <w:color w:val="333333"/>
          <w:sz w:val="22"/>
          <w:szCs w:val="22"/>
        </w:rPr>
        <w:t xml:space="preserve">Compare all resolved Components against the Component Registry, including version-range compliance;</w:t>
      </w:r>
    </w:p>
    <w:p>
      <w:pPr>
        <w:pStyle w:val="ListParagraph"/>
        <w:numPr>
          <w:ilvl w:val="0"/>
          <w:numId w:val="2"/>
        </w:numPr>
        <w:spacing w:after="60" w:line="276"/>
        <w:jc w:val="both"/>
      </w:pPr>
      <w:r>
        <w:rPr>
          <w:rFonts w:ascii="Calibri" w:cs="Calibri" w:eastAsia="Calibri" w:hAnsi="Calibri"/>
          <w:color w:val="333333"/>
          <w:sz w:val="22"/>
          <w:szCs w:val="22"/>
        </w:rPr>
        <w:t xml:space="preserve">Fail the build if any Component is unapproved, expired, denied, or outside its approved version range;</w:t>
      </w:r>
    </w:p>
    <w:p>
      <w:pPr>
        <w:pStyle w:val="ListParagraph"/>
        <w:numPr>
          <w:ilvl w:val="0"/>
          <w:numId w:val="2"/>
        </w:numPr>
        <w:spacing w:after="60" w:line="276"/>
        <w:jc w:val="both"/>
      </w:pPr>
      <w:r>
        <w:rPr>
          <w:rFonts w:ascii="Calibri" w:cs="Calibri" w:eastAsia="Calibri" w:hAnsi="Calibri"/>
          <w:color w:val="333333"/>
          <w:sz w:val="22"/>
          <w:szCs w:val="22"/>
        </w:rPr>
        <w:t xml:space="preserve">Fail the build if any Component has a known critical or high-severity vulnerability that exceeds the Company's vulnerability-management SLA;</w:t>
      </w:r>
    </w:p>
    <w:p>
      <w:pPr>
        <w:pStyle w:val="ListParagraph"/>
        <w:numPr>
          <w:ilvl w:val="0"/>
          <w:numId w:val="2"/>
        </w:numPr>
        <w:spacing w:after="60" w:line="276"/>
        <w:jc w:val="both"/>
      </w:pPr>
      <w:r>
        <w:rPr>
          <w:rFonts w:ascii="Calibri" w:cs="Calibri" w:eastAsia="Calibri" w:hAnsi="Calibri"/>
          <w:color w:val="333333"/>
          <w:sz w:val="22"/>
          <w:szCs w:val="22"/>
        </w:rPr>
        <w:t xml:space="preserve">Generate and persist the SBOM as a build artifact; and</w:t>
      </w:r>
    </w:p>
    <w:p>
      <w:pPr>
        <w:pStyle w:val="ListParagraph"/>
        <w:numPr>
          <w:ilvl w:val="0"/>
          <w:numId w:val="2"/>
        </w:numPr>
        <w:spacing w:after="60" w:line="276"/>
        <w:jc w:val="both"/>
      </w:pPr>
      <w:r>
        <w:rPr>
          <w:rFonts w:ascii="Calibri" w:cs="Calibri" w:eastAsia="Calibri" w:hAnsi="Calibri"/>
          <w:color w:val="333333"/>
          <w:sz w:val="22"/>
          <w:szCs w:val="22"/>
        </w:rPr>
        <w:t xml:space="preserve">Log all gate decisions (pass, fail, override) to a tamper-evident audit log.</w:t>
      </w:r>
    </w:p>
    <w:p>
      <w:pPr>
        <w:pStyle w:val="Heading3"/>
        <w:spacing w:after="100" w:before="200"/>
        <w:jc w:val="left"/>
      </w:pPr>
      <w:r>
        <w:rPr>
          <w:rFonts w:ascii="Calibri" w:cs="Calibri" w:eastAsia="Calibri" w:hAnsi="Calibri"/>
          <w:b/>
          <w:bCs/>
          <w:i/>
          <w:iCs/>
          <w:color w:val="1F3864"/>
          <w:sz w:val="22"/>
          <w:szCs w:val="22"/>
        </w:rPr>
        <w:t xml:space="preserve">8.1.3 Release Gate</w:t>
      </w:r>
    </w:p>
    <w:p>
      <w:pPr>
        <w:pStyle w:val="ListParagraph"/>
        <w:numPr>
          <w:ilvl w:val="0"/>
          <w:numId w:val="2"/>
        </w:numPr>
        <w:spacing w:after="60" w:line="276"/>
        <w:jc w:val="both"/>
      </w:pPr>
      <w:r>
        <w:rPr>
          <w:rFonts w:ascii="Calibri" w:cs="Calibri" w:eastAsia="Calibri" w:hAnsi="Calibri"/>
          <w:color w:val="333333"/>
          <w:sz w:val="22"/>
          <w:szCs w:val="22"/>
        </w:rPr>
        <w:t xml:space="preserve">Verify that the notice file and source package (if required) are present, complete, and accurate;</w:t>
      </w:r>
    </w:p>
    <w:p>
      <w:pPr>
        <w:pStyle w:val="ListParagraph"/>
        <w:numPr>
          <w:ilvl w:val="0"/>
          <w:numId w:val="2"/>
        </w:numPr>
        <w:spacing w:after="60" w:line="276"/>
        <w:jc w:val="both"/>
      </w:pPr>
      <w:r>
        <w:rPr>
          <w:rFonts w:ascii="Calibri" w:cs="Calibri" w:eastAsia="Calibri" w:hAnsi="Calibri"/>
          <w:color w:val="333333"/>
          <w:sz w:val="22"/>
          <w:szCs w:val="22"/>
        </w:rPr>
        <w:t xml:space="preserve">Verify that the SBOM is current and matches the release artifacts;</w:t>
      </w:r>
    </w:p>
    <w:p>
      <w:pPr>
        <w:pStyle w:val="ListParagraph"/>
        <w:numPr>
          <w:ilvl w:val="0"/>
          <w:numId w:val="2"/>
        </w:numPr>
        <w:spacing w:after="60" w:line="276"/>
        <w:jc w:val="both"/>
      </w:pPr>
      <w:r>
        <w:rPr>
          <w:rFonts w:ascii="Calibri" w:cs="Calibri" w:eastAsia="Calibri" w:hAnsi="Calibri"/>
          <w:color w:val="333333"/>
          <w:sz w:val="22"/>
          <w:szCs w:val="22"/>
        </w:rPr>
        <w:t xml:space="preserve">Verify that no Component approval has expired or been revoked since the last gate check;</w:t>
      </w:r>
    </w:p>
    <w:p>
      <w:pPr>
        <w:pStyle w:val="ListParagraph"/>
        <w:numPr>
          <w:ilvl w:val="0"/>
          <w:numId w:val="2"/>
        </w:numPr>
        <w:spacing w:after="60" w:line="276"/>
        <w:jc w:val="both"/>
      </w:pPr>
      <w:r>
        <w:rPr>
          <w:rFonts w:ascii="Calibri" w:cs="Calibri" w:eastAsia="Calibri" w:hAnsi="Calibri"/>
          <w:color w:val="333333"/>
          <w:sz w:val="22"/>
          <w:szCs w:val="22"/>
        </w:rPr>
        <w:t xml:space="preserve">Verify that all conditions specified in Component approvals have been satisfied;</w:t>
      </w:r>
    </w:p>
    <w:p>
      <w:pPr>
        <w:pStyle w:val="ListParagraph"/>
        <w:numPr>
          <w:ilvl w:val="0"/>
          <w:numId w:val="2"/>
        </w:numPr>
        <w:spacing w:after="60" w:line="276"/>
        <w:jc w:val="both"/>
      </w:pPr>
      <w:r>
        <w:rPr>
          <w:rFonts w:ascii="Calibri" w:cs="Calibri" w:eastAsia="Calibri" w:hAnsi="Calibri"/>
          <w:color w:val="333333"/>
          <w:sz w:val="22"/>
          <w:szCs w:val="22"/>
        </w:rPr>
        <w:t xml:space="preserve">Verify that no scanner suppression, override, or waiver has been applied without documented OSRB authorization; and</w:t>
      </w:r>
    </w:p>
    <w:p>
      <w:pPr>
        <w:pStyle w:val="ListParagraph"/>
        <w:numPr>
          <w:ilvl w:val="0"/>
          <w:numId w:val="2"/>
        </w:numPr>
        <w:spacing w:after="60" w:line="276"/>
        <w:jc w:val="both"/>
      </w:pPr>
      <w:r>
        <w:rPr>
          <w:rFonts w:ascii="Calibri" w:cs="Calibri" w:eastAsia="Calibri" w:hAnsi="Calibri"/>
          <w:color w:val="333333"/>
          <w:sz w:val="22"/>
          <w:szCs w:val="22"/>
        </w:rPr>
        <w:t xml:space="preserve">Generate a release-readiness report for the Release Manager's review and sign-off.</w:t>
      </w:r>
    </w:p>
    <w:p>
      <w:pPr>
        <w:pStyle w:val="Heading2"/>
        <w:spacing w:after="120" w:before="240"/>
        <w:jc w:val="left"/>
      </w:pPr>
      <w:r>
        <w:rPr>
          <w:rFonts w:ascii="Calibri" w:cs="Calibri" w:eastAsia="Calibri" w:hAnsi="Calibri"/>
          <w:b/>
          <w:bCs/>
          <w:color w:val="1F3864"/>
          <w:sz w:val="24"/>
          <w:szCs w:val="24"/>
        </w:rPr>
        <w:t xml:space="preserve">8.2 Prohibition on Scanner Suppression</w:t>
      </w:r>
    </w:p>
    <w:p>
      <w:pPr>
        <w:spacing w:after="120" w:before="0" w:line="276"/>
        <w:jc w:val="both"/>
      </w:pPr>
      <w:r>
        <w:rPr>
          <w:rFonts w:ascii="Calibri" w:cs="Calibri" w:eastAsia="Calibri" w:hAnsi="Calibri"/>
          <w:b w:val="false"/>
          <w:bCs w:val="false"/>
          <w:i w:val="false"/>
          <w:iCs w:val="false"/>
          <w:color w:val="333333"/>
          <w:sz w:val="22"/>
          <w:szCs w:val="22"/>
        </w:rPr>
        <w:t xml:space="preserve">No Personnel shall suppress, override, ignore, or modify the output of any automated Component-scanning, license-scanning, or vulnerability-scanning tool without express, documented authorization from the OSRB. Unauthorized suppression of scanner findings is a violation of this Policy and may constitute grounds for disciplinary action. All authorized suppressions shall be:</w:t>
      </w:r>
    </w:p>
    <w:p>
      <w:pPr>
        <w:pStyle w:val="ListParagraph"/>
        <w:numPr>
          <w:ilvl w:val="0"/>
          <w:numId w:val="2"/>
        </w:numPr>
        <w:spacing w:after="60" w:line="276"/>
        <w:jc w:val="both"/>
      </w:pPr>
      <w:r>
        <w:rPr>
          <w:rFonts w:ascii="Calibri" w:cs="Calibri" w:eastAsia="Calibri" w:hAnsi="Calibri"/>
          <w:color w:val="333333"/>
          <w:sz w:val="22"/>
          <w:szCs w:val="22"/>
        </w:rPr>
        <w:t xml:space="preserve">Documented in the Component Registry with the authorizing OSRB member's identity, the date, the reason, and the expiration date;</w:t>
      </w:r>
    </w:p>
    <w:p>
      <w:pPr>
        <w:pStyle w:val="ListParagraph"/>
        <w:numPr>
          <w:ilvl w:val="0"/>
          <w:numId w:val="2"/>
        </w:numPr>
        <w:spacing w:after="60" w:line="276"/>
        <w:jc w:val="both"/>
      </w:pPr>
      <w:r>
        <w:rPr>
          <w:rFonts w:ascii="Calibri" w:cs="Calibri" w:eastAsia="Calibri" w:hAnsi="Calibri"/>
          <w:color w:val="333333"/>
          <w:sz w:val="22"/>
          <w:szCs w:val="22"/>
        </w:rPr>
        <w:t xml:space="preserve">Time-limited, with a maximum duration of [90] days before mandatory reassessment; and</w:t>
      </w:r>
    </w:p>
    <w:p>
      <w:pPr>
        <w:pStyle w:val="ListParagraph"/>
        <w:numPr>
          <w:ilvl w:val="0"/>
          <w:numId w:val="2"/>
        </w:numPr>
        <w:spacing w:after="60" w:line="276"/>
        <w:jc w:val="both"/>
      </w:pPr>
      <w:r>
        <w:rPr>
          <w:rFonts w:ascii="Calibri" w:cs="Calibri" w:eastAsia="Calibri" w:hAnsi="Calibri"/>
          <w:color w:val="333333"/>
          <w:sz w:val="22"/>
          <w:szCs w:val="22"/>
        </w:rPr>
        <w:t xml:space="preserve">Subject to audit and review as described in Section 15.3.</w:t>
      </w:r>
    </w:p>
    <w:p>
      <w:pPr>
        <w:pStyle w:val="Heading2"/>
        <w:spacing w:after="120" w:before="240"/>
        <w:jc w:val="left"/>
      </w:pPr>
      <w:r>
        <w:rPr>
          <w:rFonts w:ascii="Calibri" w:cs="Calibri" w:eastAsia="Calibri" w:hAnsi="Calibri"/>
          <w:b/>
          <w:bCs/>
          <w:color w:val="1F3864"/>
          <w:sz w:val="24"/>
          <w:szCs w:val="24"/>
        </w:rPr>
        <w:t xml:space="preserve">8.3 Notice and Source Package Verification</w:t>
      </w:r>
    </w:p>
    <w:p>
      <w:pPr>
        <w:spacing w:after="120" w:before="0" w:line="276"/>
        <w:jc w:val="both"/>
      </w:pPr>
      <w:r>
        <w:rPr>
          <w:rFonts w:ascii="Calibri" w:cs="Calibri" w:eastAsia="Calibri" w:hAnsi="Calibri"/>
          <w:b w:val="false"/>
          <w:bCs w:val="false"/>
          <w:i w:val="false"/>
          <w:iCs w:val="false"/>
          <w:color w:val="333333"/>
          <w:sz w:val="22"/>
          <w:szCs w:val="22"/>
        </w:rPr>
        <w:t xml:space="preserve">The Release Manager or designated release engineer shall verify, prior to every production release, that:</w:t>
      </w:r>
    </w:p>
    <w:p>
      <w:pPr>
        <w:pStyle w:val="ListParagraph"/>
        <w:numPr>
          <w:ilvl w:val="0"/>
          <w:numId w:val="2"/>
        </w:numPr>
        <w:spacing w:after="60" w:line="276"/>
        <w:jc w:val="both"/>
      </w:pPr>
      <w:r>
        <w:rPr>
          <w:rFonts w:ascii="Calibri" w:cs="Calibri" w:eastAsia="Calibri" w:hAnsi="Calibri"/>
          <w:color w:val="333333"/>
          <w:sz w:val="22"/>
          <w:szCs w:val="22"/>
        </w:rPr>
        <w:t xml:space="preserve">The NOTICES or THIRD-PARTY-LICENSES file includes entries for every Component listed in the SBOM;</w:t>
      </w:r>
    </w:p>
    <w:p>
      <w:pPr>
        <w:pStyle w:val="ListParagraph"/>
        <w:numPr>
          <w:ilvl w:val="0"/>
          <w:numId w:val="2"/>
        </w:numPr>
        <w:spacing w:after="60" w:line="276"/>
        <w:jc w:val="both"/>
      </w:pPr>
      <w:r>
        <w:rPr>
          <w:rFonts w:ascii="Calibri" w:cs="Calibri" w:eastAsia="Calibri" w:hAnsi="Calibri"/>
          <w:color w:val="333333"/>
          <w:sz w:val="22"/>
          <w:szCs w:val="22"/>
        </w:rPr>
        <w:t xml:space="preserve">Each notice entry includes the correct copyright holder, license identifier, and license text (or reference);</w:t>
      </w:r>
    </w:p>
    <w:p>
      <w:pPr>
        <w:pStyle w:val="ListParagraph"/>
        <w:numPr>
          <w:ilvl w:val="0"/>
          <w:numId w:val="2"/>
        </w:numPr>
        <w:spacing w:after="60" w:line="276"/>
        <w:jc w:val="both"/>
      </w:pPr>
      <w:r>
        <w:rPr>
          <w:rFonts w:ascii="Calibri" w:cs="Calibri" w:eastAsia="Calibri" w:hAnsi="Calibri"/>
          <w:color w:val="333333"/>
          <w:sz w:val="22"/>
          <w:szCs w:val="22"/>
        </w:rPr>
        <w:t xml:space="preserve">Source packages for Components with source-disclosure obligations are complete, buildable, and included in or accessible from the release artifacts; and</w:t>
      </w:r>
    </w:p>
    <w:p>
      <w:pPr>
        <w:pStyle w:val="ListParagraph"/>
        <w:numPr>
          <w:ilvl w:val="0"/>
          <w:numId w:val="2"/>
        </w:numPr>
        <w:spacing w:after="60" w:line="276"/>
        <w:jc w:val="both"/>
      </w:pPr>
      <w:r>
        <w:rPr>
          <w:rFonts w:ascii="Calibri" w:cs="Calibri" w:eastAsia="Calibri" w:hAnsi="Calibri"/>
          <w:color w:val="333333"/>
          <w:sz w:val="22"/>
          <w:szCs w:val="22"/>
        </w:rPr>
        <w:t xml:space="preserve">Written offers, where required, are current and accessible.</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9. SECURITY AND LIFECYCLE MANAGEMENT</w:t>
      </w:r>
    </w:p>
    <w:p>
      <w:pPr>
        <w:pStyle w:val="Heading2"/>
        <w:spacing w:after="120" w:before="240"/>
        <w:jc w:val="left"/>
      </w:pPr>
      <w:r>
        <w:rPr>
          <w:rFonts w:ascii="Calibri" w:cs="Calibri" w:eastAsia="Calibri" w:hAnsi="Calibri"/>
          <w:b/>
          <w:bCs/>
          <w:color w:val="1F3864"/>
          <w:sz w:val="24"/>
          <w:szCs w:val="24"/>
        </w:rPr>
        <w:t xml:space="preserve">9.1 Provenance Verification</w:t>
      </w:r>
    </w:p>
    <w:p>
      <w:pPr>
        <w:spacing w:after="120" w:before="0" w:line="276"/>
        <w:jc w:val="both"/>
      </w:pPr>
      <w:r>
        <w:rPr>
          <w:rFonts w:ascii="Calibri" w:cs="Calibri" w:eastAsia="Calibri" w:hAnsi="Calibri"/>
          <w:b w:val="false"/>
          <w:bCs w:val="false"/>
          <w:i w:val="false"/>
          <w:iCs w:val="false"/>
          <w:color w:val="333333"/>
          <w:sz w:val="22"/>
          <w:szCs w:val="22"/>
        </w:rPr>
        <w:t xml:space="preserve">Before any Component is introduced into Company systems, its provenance shall be verified through the following controls:</w:t>
      </w:r>
    </w:p>
    <w:p>
      <w:pPr>
        <w:pStyle w:val="ListParagraph"/>
        <w:numPr>
          <w:ilvl w:val="0"/>
          <w:numId w:val="2"/>
        </w:numPr>
        <w:spacing w:after="60" w:line="276"/>
        <w:jc w:val="both"/>
      </w:pPr>
      <w:r>
        <w:rPr>
          <w:rFonts w:ascii="Calibri" w:cs="Calibri" w:eastAsia="Calibri" w:hAnsi="Calibri"/>
          <w:color w:val="333333"/>
          <w:sz w:val="22"/>
          <w:szCs w:val="22"/>
        </w:rPr>
        <w:t xml:space="preserve">The Component shall be obtained from the authoritative source repository or package registry identified in the Intake Record;</w:t>
      </w:r>
    </w:p>
    <w:p>
      <w:pPr>
        <w:pStyle w:val="ListParagraph"/>
        <w:numPr>
          <w:ilvl w:val="0"/>
          <w:numId w:val="2"/>
        </w:numPr>
        <w:spacing w:after="60" w:line="276"/>
        <w:jc w:val="both"/>
      </w:pPr>
      <w:r>
        <w:rPr>
          <w:rFonts w:ascii="Calibri" w:cs="Calibri" w:eastAsia="Calibri" w:hAnsi="Calibri"/>
          <w:color w:val="333333"/>
          <w:sz w:val="22"/>
          <w:szCs w:val="22"/>
        </w:rPr>
        <w:t xml:space="preserve">The downloaded artifact shall be verified against published checksums (SHA-256 minimum) and, where available, cryptographic signatures (GPG, Sigstore/cosign, or equivalent);</w:t>
      </w:r>
    </w:p>
    <w:p>
      <w:pPr>
        <w:pStyle w:val="ListParagraph"/>
        <w:numPr>
          <w:ilvl w:val="0"/>
          <w:numId w:val="2"/>
        </w:numPr>
        <w:spacing w:after="60" w:line="276"/>
        <w:jc w:val="both"/>
      </w:pPr>
      <w:r>
        <w:rPr>
          <w:rFonts w:ascii="Calibri" w:cs="Calibri" w:eastAsia="Calibri" w:hAnsi="Calibri"/>
          <w:color w:val="333333"/>
          <w:sz w:val="22"/>
          <w:szCs w:val="22"/>
        </w:rPr>
        <w:t xml:space="preserve">The source-code repository commit history, contributor identity, and release-tag integrity shall be reviewed for indicators of compromise, hijacking, or unauthorized modification;</w:t>
      </w:r>
    </w:p>
    <w:p>
      <w:pPr>
        <w:pStyle w:val="ListParagraph"/>
        <w:numPr>
          <w:ilvl w:val="0"/>
          <w:numId w:val="2"/>
        </w:numPr>
        <w:spacing w:after="60" w:line="276"/>
        <w:jc w:val="both"/>
      </w:pPr>
      <w:r>
        <w:rPr>
          <w:rFonts w:ascii="Calibri" w:cs="Calibri" w:eastAsia="Calibri" w:hAnsi="Calibri"/>
          <w:color w:val="333333"/>
          <w:sz w:val="22"/>
          <w:szCs w:val="22"/>
        </w:rPr>
        <w:t xml:space="preserve">For critical Components, the build process shall be reviewed for reproducibility, and the Company may rebuild from source to verify binary equivalence; and</w:t>
      </w:r>
    </w:p>
    <w:p>
      <w:pPr>
        <w:pStyle w:val="ListParagraph"/>
        <w:numPr>
          <w:ilvl w:val="0"/>
          <w:numId w:val="2"/>
        </w:numPr>
        <w:spacing w:after="60" w:line="276"/>
        <w:jc w:val="both"/>
      </w:pPr>
      <w:r>
        <w:rPr>
          <w:rFonts w:ascii="Calibri" w:cs="Calibri" w:eastAsia="Calibri" w:hAnsi="Calibri"/>
          <w:color w:val="333333"/>
          <w:sz w:val="22"/>
          <w:szCs w:val="22"/>
        </w:rPr>
        <w:t xml:space="preserve">Any anomaly, discrepancy, or indicator of compromise discovered during provenance verification shall be reported immediately as a potential security incident under Section 14.</w:t>
      </w:r>
    </w:p>
    <w:p>
      <w:pPr>
        <w:pStyle w:val="Heading2"/>
        <w:spacing w:after="120" w:before="240"/>
        <w:jc w:val="left"/>
      </w:pPr>
      <w:r>
        <w:rPr>
          <w:rFonts w:ascii="Calibri" w:cs="Calibri" w:eastAsia="Calibri" w:hAnsi="Calibri"/>
          <w:b/>
          <w:bCs/>
          <w:color w:val="1F3864"/>
          <w:sz w:val="24"/>
          <w:szCs w:val="24"/>
        </w:rPr>
        <w:t xml:space="preserve">9.2 Dependency Pinning and Lock Files</w:t>
      </w:r>
    </w:p>
    <w:p>
      <w:pPr>
        <w:spacing w:after="120" w:before="0" w:line="276"/>
        <w:jc w:val="both"/>
      </w:pPr>
      <w:r>
        <w:rPr>
          <w:rFonts w:ascii="Calibri" w:cs="Calibri" w:eastAsia="Calibri" w:hAnsi="Calibri"/>
          <w:b w:val="false"/>
          <w:bCs w:val="false"/>
          <w:i w:val="false"/>
          <w:iCs w:val="false"/>
          <w:color w:val="333333"/>
          <w:sz w:val="22"/>
          <w:szCs w:val="22"/>
        </w:rPr>
        <w:t xml:space="preserve">All Component dependencies shall be pinned to exact versions in project manifests and lock files. The Company shall:</w:t>
      </w:r>
    </w:p>
    <w:p>
      <w:pPr>
        <w:pStyle w:val="ListParagraph"/>
        <w:numPr>
          <w:ilvl w:val="0"/>
          <w:numId w:val="2"/>
        </w:numPr>
        <w:spacing w:after="60" w:line="276"/>
        <w:jc w:val="both"/>
      </w:pPr>
      <w:r>
        <w:rPr>
          <w:rFonts w:ascii="Calibri" w:cs="Calibri" w:eastAsia="Calibri" w:hAnsi="Calibri"/>
          <w:color w:val="333333"/>
          <w:sz w:val="22"/>
          <w:szCs w:val="22"/>
        </w:rPr>
        <w:t xml:space="preserve">Require that all package-manager lock files (e.g., package-lock.json, yarn.lock, Pipfile.lock, Cargo.lock, go.sum) be committed to source control and reviewed as part of code review;</w:t>
      </w:r>
    </w:p>
    <w:p>
      <w:pPr>
        <w:pStyle w:val="ListParagraph"/>
        <w:numPr>
          <w:ilvl w:val="0"/>
          <w:numId w:val="2"/>
        </w:numPr>
        <w:spacing w:after="60" w:line="276"/>
        <w:jc w:val="both"/>
      </w:pPr>
      <w:r>
        <w:rPr>
          <w:rFonts w:ascii="Calibri" w:cs="Calibri" w:eastAsia="Calibri" w:hAnsi="Calibri"/>
          <w:color w:val="333333"/>
          <w:sz w:val="22"/>
          <w:szCs w:val="22"/>
        </w:rPr>
        <w:t xml:space="preserve">Prohibit the use of floating version ranges (e.g., "^1.0.0", "~2.3", "latest") in production-bound code;</w:t>
      </w:r>
    </w:p>
    <w:p>
      <w:pPr>
        <w:pStyle w:val="ListParagraph"/>
        <w:numPr>
          <w:ilvl w:val="0"/>
          <w:numId w:val="2"/>
        </w:numPr>
        <w:spacing w:after="60" w:line="276"/>
        <w:jc w:val="both"/>
      </w:pPr>
      <w:r>
        <w:rPr>
          <w:rFonts w:ascii="Calibri" w:cs="Calibri" w:eastAsia="Calibri" w:hAnsi="Calibri"/>
          <w:color w:val="333333"/>
          <w:sz w:val="22"/>
          <w:szCs w:val="22"/>
        </w:rPr>
        <w:t xml:space="preserve">Implement automated checks to detect and reject floating version ranges in CI/CD; and</w:t>
      </w:r>
    </w:p>
    <w:p>
      <w:pPr>
        <w:pStyle w:val="ListParagraph"/>
        <w:numPr>
          <w:ilvl w:val="0"/>
          <w:numId w:val="2"/>
        </w:numPr>
        <w:spacing w:after="60" w:line="276"/>
        <w:jc w:val="both"/>
      </w:pPr>
      <w:r>
        <w:rPr>
          <w:rFonts w:ascii="Calibri" w:cs="Calibri" w:eastAsia="Calibri" w:hAnsi="Calibri"/>
          <w:color w:val="333333"/>
          <w:sz w:val="22"/>
          <w:szCs w:val="22"/>
        </w:rPr>
        <w:t xml:space="preserve">Require explicit, reviewed updates to lock files when upgrading Component versions.</w:t>
      </w:r>
    </w:p>
    <w:p>
      <w:pPr>
        <w:pStyle w:val="Heading2"/>
        <w:spacing w:after="120" w:before="240"/>
        <w:jc w:val="left"/>
      </w:pPr>
      <w:r>
        <w:rPr>
          <w:rFonts w:ascii="Calibri" w:cs="Calibri" w:eastAsia="Calibri" w:hAnsi="Calibri"/>
          <w:b/>
          <w:bCs/>
          <w:color w:val="1F3864"/>
          <w:sz w:val="24"/>
          <w:szCs w:val="24"/>
        </w:rPr>
        <w:t xml:space="preserve">9.3 Malicious-Package Controls</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implement the following controls to mitigate the risk of malicious, typosquatted, or compromised packages:</w:t>
      </w:r>
    </w:p>
    <w:p>
      <w:pPr>
        <w:pStyle w:val="ListParagraph"/>
        <w:numPr>
          <w:ilvl w:val="0"/>
          <w:numId w:val="2"/>
        </w:numPr>
        <w:spacing w:after="60" w:line="276"/>
        <w:jc w:val="both"/>
      </w:pPr>
      <w:r>
        <w:rPr>
          <w:rFonts w:ascii="Calibri" w:cs="Calibri" w:eastAsia="Calibri" w:hAnsi="Calibri"/>
          <w:color w:val="333333"/>
          <w:sz w:val="22"/>
          <w:szCs w:val="22"/>
        </w:rPr>
        <w:t xml:space="preserve">Maintain an allow-list of approved package registries and mirror/proxy registries; block installation from unapproved sources;</w:t>
      </w:r>
    </w:p>
    <w:p>
      <w:pPr>
        <w:pStyle w:val="ListParagraph"/>
        <w:numPr>
          <w:ilvl w:val="0"/>
          <w:numId w:val="2"/>
        </w:numPr>
        <w:spacing w:after="60" w:line="276"/>
        <w:jc w:val="both"/>
      </w:pPr>
      <w:r>
        <w:rPr>
          <w:rFonts w:ascii="Calibri" w:cs="Calibri" w:eastAsia="Calibri" w:hAnsi="Calibri"/>
          <w:color w:val="333333"/>
          <w:sz w:val="22"/>
          <w:szCs w:val="22"/>
        </w:rPr>
        <w:t xml:space="preserve">Deploy namespace-reservation and scope-enforcement controls to prevent dependency-confusion attacks;</w:t>
      </w:r>
    </w:p>
    <w:p>
      <w:pPr>
        <w:pStyle w:val="ListParagraph"/>
        <w:numPr>
          <w:ilvl w:val="0"/>
          <w:numId w:val="2"/>
        </w:numPr>
        <w:spacing w:after="60" w:line="276"/>
        <w:jc w:val="both"/>
      </w:pPr>
      <w:r>
        <w:rPr>
          <w:rFonts w:ascii="Calibri" w:cs="Calibri" w:eastAsia="Calibri" w:hAnsi="Calibri"/>
          <w:color w:val="333333"/>
          <w:sz w:val="22"/>
          <w:szCs w:val="22"/>
        </w:rPr>
        <w:t xml:space="preserve">Monitor public vulnerability databases, security advisories, and threat-intelligence feeds for reports of compromised packages relevant to the Company's dependency tree;</w:t>
      </w:r>
    </w:p>
    <w:p>
      <w:pPr>
        <w:pStyle w:val="ListParagraph"/>
        <w:numPr>
          <w:ilvl w:val="0"/>
          <w:numId w:val="2"/>
        </w:numPr>
        <w:spacing w:after="60" w:line="276"/>
        <w:jc w:val="both"/>
      </w:pPr>
      <w:r>
        <w:rPr>
          <w:rFonts w:ascii="Calibri" w:cs="Calibri" w:eastAsia="Calibri" w:hAnsi="Calibri"/>
          <w:color w:val="333333"/>
          <w:sz w:val="22"/>
          <w:szCs w:val="22"/>
        </w:rPr>
        <w:t xml:space="preserve">Implement runtime integrity monitoring for critical Components in production environments; and</w:t>
      </w:r>
    </w:p>
    <w:p>
      <w:pPr>
        <w:pStyle w:val="ListParagraph"/>
        <w:numPr>
          <w:ilvl w:val="0"/>
          <w:numId w:val="2"/>
        </w:numPr>
        <w:spacing w:after="60" w:line="276"/>
        <w:jc w:val="both"/>
      </w:pPr>
      <w:r>
        <w:rPr>
          <w:rFonts w:ascii="Calibri" w:cs="Calibri" w:eastAsia="Calibri" w:hAnsi="Calibri"/>
          <w:color w:val="333333"/>
          <w:sz w:val="22"/>
          <w:szCs w:val="22"/>
        </w:rPr>
        <w:t xml:space="preserve">Conduct periodic audits of the Company's full dependency tree using SCA tools to identify newly-disclosed vulnerabilities, license changes, and maintenance-status changes.</w:t>
      </w:r>
    </w:p>
    <w:p>
      <w:pPr>
        <w:pStyle w:val="Heading2"/>
        <w:spacing w:after="120" w:before="240"/>
        <w:jc w:val="left"/>
      </w:pPr>
      <w:r>
        <w:rPr>
          <w:rFonts w:ascii="Calibri" w:cs="Calibri" w:eastAsia="Calibri" w:hAnsi="Calibri"/>
          <w:b/>
          <w:bCs/>
          <w:color w:val="1F3864"/>
          <w:sz w:val="24"/>
          <w:szCs w:val="24"/>
        </w:rPr>
        <w:t xml:space="preserve">9.4 Vulnerability Monitoring and Response</w:t>
      </w:r>
    </w:p>
    <w:p>
      <w:pPr>
        <w:spacing w:after="120" w:before="0" w:line="276"/>
        <w:jc w:val="both"/>
      </w:pPr>
      <w:r>
        <w:rPr>
          <w:rFonts w:ascii="Calibri" w:cs="Calibri" w:eastAsia="Calibri" w:hAnsi="Calibri"/>
          <w:b w:val="false"/>
          <w:bCs w:val="false"/>
          <w:i w:val="false"/>
          <w:iCs w:val="false"/>
          <w:color w:val="333333"/>
          <w:sz w:val="22"/>
          <w:szCs w:val="22"/>
        </w:rPr>
        <w:t xml:space="preserve">The Company shall continuously monitor all Approved Components for newly disclosed vulnerabilities. The vulnerability-management process for Components shall:</w:t>
      </w:r>
    </w:p>
    <w:p>
      <w:pPr>
        <w:pStyle w:val="ListParagraph"/>
        <w:numPr>
          <w:ilvl w:val="0"/>
          <w:numId w:val="2"/>
        </w:numPr>
        <w:spacing w:after="60" w:line="276"/>
        <w:jc w:val="both"/>
      </w:pPr>
      <w:r>
        <w:rPr>
          <w:rFonts w:ascii="Calibri" w:cs="Calibri" w:eastAsia="Calibri" w:hAnsi="Calibri"/>
          <w:color w:val="333333"/>
          <w:sz w:val="22"/>
          <w:szCs w:val="22"/>
        </w:rPr>
        <w:t xml:space="preserve">Integrate with the Company's existing vulnerability-management program and SLAs;</w:t>
      </w:r>
    </w:p>
    <w:p>
      <w:pPr>
        <w:pStyle w:val="ListParagraph"/>
        <w:numPr>
          <w:ilvl w:val="0"/>
          <w:numId w:val="2"/>
        </w:numPr>
        <w:spacing w:after="60" w:line="276"/>
        <w:jc w:val="both"/>
      </w:pPr>
      <w:r>
        <w:rPr>
          <w:rFonts w:ascii="Calibri" w:cs="Calibri" w:eastAsia="Calibri" w:hAnsi="Calibri"/>
          <w:color w:val="333333"/>
          <w:sz w:val="22"/>
          <w:szCs w:val="22"/>
        </w:rPr>
        <w:t xml:space="preserve">Assign severity ratings consistent with the Company's vulnerability-classification framework (e.g., CVSS, Company-specific risk scoring);</w:t>
      </w:r>
    </w:p>
    <w:p>
      <w:pPr>
        <w:pStyle w:val="ListParagraph"/>
        <w:numPr>
          <w:ilvl w:val="0"/>
          <w:numId w:val="2"/>
        </w:numPr>
        <w:spacing w:after="60" w:line="276"/>
        <w:jc w:val="both"/>
      </w:pPr>
      <w:r>
        <w:rPr>
          <w:rFonts w:ascii="Calibri" w:cs="Calibri" w:eastAsia="Calibri" w:hAnsi="Calibri"/>
          <w:b w:val="false"/>
          <w:bCs w:val="false"/>
          <w:color w:val="333333"/>
          <w:sz w:val="22"/>
          <w:szCs w:val="22"/>
        </w:rPr>
        <w:t xml:space="preserve">Require remediation (upgrade, patch, or replacement) within the following SLAs: </w:t>
      </w:r>
      <w:r>
        <w:rPr>
          <w:rFonts w:ascii="Calibri" w:cs="Calibri" w:eastAsia="Calibri" w:hAnsi="Calibri"/>
          <w:b/>
          <w:bCs/>
          <w:color w:val="333333"/>
          <w:sz w:val="22"/>
          <w:szCs w:val="22"/>
        </w:rPr>
        <w:t xml:space="preserve">Critical: [24-72] hours; High: [7] days; Medium: [30] days; Low: [90] days;</w:t>
      </w:r>
    </w:p>
    <w:p>
      <w:pPr>
        <w:pStyle w:val="ListParagraph"/>
        <w:numPr>
          <w:ilvl w:val="0"/>
          <w:numId w:val="2"/>
        </w:numPr>
        <w:spacing w:after="60" w:line="276"/>
        <w:jc w:val="both"/>
      </w:pPr>
      <w:r>
        <w:rPr>
          <w:rFonts w:ascii="Calibri" w:cs="Calibri" w:eastAsia="Calibri" w:hAnsi="Calibri"/>
          <w:color w:val="333333"/>
          <w:sz w:val="22"/>
          <w:szCs w:val="22"/>
        </w:rPr>
        <w:t xml:space="preserve">Escalate to the OSRB any vulnerability that cannot be remediated within the applicable SLA;</w:t>
      </w:r>
    </w:p>
    <w:p>
      <w:pPr>
        <w:pStyle w:val="ListParagraph"/>
        <w:numPr>
          <w:ilvl w:val="0"/>
          <w:numId w:val="2"/>
        </w:numPr>
        <w:spacing w:after="60" w:line="276"/>
        <w:jc w:val="both"/>
      </w:pPr>
      <w:r>
        <w:rPr>
          <w:rFonts w:ascii="Calibri" w:cs="Calibri" w:eastAsia="Calibri" w:hAnsi="Calibri"/>
          <w:color w:val="333333"/>
          <w:sz w:val="22"/>
          <w:szCs w:val="22"/>
        </w:rPr>
        <w:t xml:space="preserve">Trigger a reassessment of the Component's Risk Tier classification when a critical or high-severity vulnerability is disclosed; and</w:t>
      </w:r>
    </w:p>
    <w:p>
      <w:pPr>
        <w:pStyle w:val="ListParagraph"/>
        <w:numPr>
          <w:ilvl w:val="0"/>
          <w:numId w:val="2"/>
        </w:numPr>
        <w:spacing w:after="60" w:line="276"/>
        <w:jc w:val="both"/>
      </w:pPr>
      <w:r>
        <w:rPr>
          <w:rFonts w:ascii="Calibri" w:cs="Calibri" w:eastAsia="Calibri" w:hAnsi="Calibri"/>
          <w:color w:val="333333"/>
          <w:sz w:val="22"/>
          <w:szCs w:val="22"/>
        </w:rPr>
        <w:t xml:space="preserve">Notify affected product teams, customers, and partners in accordance with the Company's security-incident notification procedures.</w:t>
      </w:r>
    </w:p>
    <w:p>
      <w:pPr>
        <w:pStyle w:val="Heading2"/>
        <w:spacing w:after="120" w:before="240"/>
        <w:jc w:val="left"/>
      </w:pPr>
      <w:r>
        <w:rPr>
          <w:rFonts w:ascii="Calibri" w:cs="Calibri" w:eastAsia="Calibri" w:hAnsi="Calibri"/>
          <w:b/>
          <w:bCs/>
          <w:color w:val="1F3864"/>
          <w:sz w:val="24"/>
          <w:szCs w:val="24"/>
        </w:rPr>
        <w:t xml:space="preserve">9.5 End-of-Life and Unmaintained Components</w:t>
      </w:r>
    </w:p>
    <w:p>
      <w:pPr>
        <w:spacing w:after="120" w:before="0" w:line="276"/>
        <w:jc w:val="both"/>
      </w:pPr>
      <w:r>
        <w:rPr>
          <w:rFonts w:ascii="Calibri" w:cs="Calibri" w:eastAsia="Calibri" w:hAnsi="Calibri"/>
          <w:b w:val="false"/>
          <w:bCs w:val="false"/>
          <w:i w:val="false"/>
          <w:iCs w:val="false"/>
          <w:color w:val="333333"/>
          <w:sz w:val="22"/>
          <w:szCs w:val="22"/>
        </w:rPr>
        <w:t xml:space="preserve">The OSRB shall maintain a watch list of Components that exhibit indicators of declining maintenance, including:</w:t>
      </w:r>
    </w:p>
    <w:p>
      <w:pPr>
        <w:pStyle w:val="ListParagraph"/>
        <w:numPr>
          <w:ilvl w:val="0"/>
          <w:numId w:val="2"/>
        </w:numPr>
        <w:spacing w:after="60" w:line="276"/>
        <w:jc w:val="both"/>
      </w:pPr>
      <w:r>
        <w:rPr>
          <w:rFonts w:ascii="Calibri" w:cs="Calibri" w:eastAsia="Calibri" w:hAnsi="Calibri"/>
          <w:color w:val="333333"/>
          <w:sz w:val="22"/>
          <w:szCs w:val="22"/>
        </w:rPr>
        <w:t xml:space="preserve">No commits, releases, or maintainer activity for [12+] months;</w:t>
      </w:r>
    </w:p>
    <w:p>
      <w:pPr>
        <w:pStyle w:val="ListParagraph"/>
        <w:numPr>
          <w:ilvl w:val="0"/>
          <w:numId w:val="2"/>
        </w:numPr>
        <w:spacing w:after="60" w:line="276"/>
        <w:jc w:val="both"/>
      </w:pPr>
      <w:r>
        <w:rPr>
          <w:rFonts w:ascii="Calibri" w:cs="Calibri" w:eastAsia="Calibri" w:hAnsi="Calibri"/>
          <w:color w:val="333333"/>
          <w:sz w:val="22"/>
          <w:szCs w:val="22"/>
        </w:rPr>
        <w:t xml:space="preserve">Unresolved critical or high-severity vulnerability reports for [6+] months;</w:t>
      </w:r>
    </w:p>
    <w:p>
      <w:pPr>
        <w:pStyle w:val="ListParagraph"/>
        <w:numPr>
          <w:ilvl w:val="0"/>
          <w:numId w:val="2"/>
        </w:numPr>
        <w:spacing w:after="60" w:line="276"/>
        <w:jc w:val="both"/>
      </w:pPr>
      <w:r>
        <w:rPr>
          <w:rFonts w:ascii="Calibri" w:cs="Calibri" w:eastAsia="Calibri" w:hAnsi="Calibri"/>
          <w:color w:val="333333"/>
          <w:sz w:val="22"/>
          <w:szCs w:val="22"/>
        </w:rPr>
        <w:t xml:space="preserve">Public announcement of end-of-life, deprecation, or archival by the maintainer;</w:t>
      </w:r>
    </w:p>
    <w:p>
      <w:pPr>
        <w:pStyle w:val="ListParagraph"/>
        <w:numPr>
          <w:ilvl w:val="0"/>
          <w:numId w:val="2"/>
        </w:numPr>
        <w:spacing w:after="60" w:line="276"/>
        <w:jc w:val="both"/>
      </w:pPr>
      <w:r>
        <w:rPr>
          <w:rFonts w:ascii="Calibri" w:cs="Calibri" w:eastAsia="Calibri" w:hAnsi="Calibri"/>
          <w:color w:val="333333"/>
          <w:sz w:val="22"/>
          <w:szCs w:val="22"/>
        </w:rPr>
        <w:t xml:space="preserve">Transfer of project ownership to an unknown or unverified party; and</w:t>
      </w:r>
    </w:p>
    <w:p>
      <w:pPr>
        <w:pStyle w:val="ListParagraph"/>
        <w:numPr>
          <w:ilvl w:val="0"/>
          <w:numId w:val="2"/>
        </w:numPr>
        <w:spacing w:after="60" w:line="276"/>
        <w:jc w:val="both"/>
      </w:pPr>
      <w:r>
        <w:rPr>
          <w:rFonts w:ascii="Calibri" w:cs="Calibri" w:eastAsia="Calibri" w:hAnsi="Calibri"/>
          <w:color w:val="333333"/>
          <w:sz w:val="22"/>
          <w:szCs w:val="22"/>
        </w:rPr>
        <w:t xml:space="preserve">Significant decline in community engagement, contributor count, or downstream adoption.</w:t>
      </w:r>
    </w:p>
    <w:p>
      <w:pPr>
        <w:spacing w:after="120" w:before="0" w:line="276"/>
        <w:jc w:val="both"/>
      </w:pPr>
      <w:r>
        <w:rPr>
          <w:rFonts w:ascii="Calibri" w:cs="Calibri" w:eastAsia="Calibri" w:hAnsi="Calibri"/>
          <w:b w:val="false"/>
          <w:bCs w:val="false"/>
          <w:i w:val="false"/>
          <w:iCs w:val="false"/>
          <w:color w:val="333333"/>
          <w:sz w:val="22"/>
          <w:szCs w:val="22"/>
        </w:rPr>
        <w:t xml:space="preserve">Components on the watch list shall be scheduled for migration to actively maintained alternatives within [6] months of watch-list placement, or earlier if warranted by security or operational risk.</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10. EXTERNAL CONTRIBUTIONS</w:t>
      </w:r>
    </w:p>
    <w:p>
      <w:pPr>
        <w:pStyle w:val="Heading2"/>
        <w:spacing w:after="120" w:before="240"/>
        <w:jc w:val="left"/>
      </w:pPr>
      <w:r>
        <w:rPr>
          <w:rFonts w:ascii="Calibri" w:cs="Calibri" w:eastAsia="Calibri" w:hAnsi="Calibri"/>
          <w:b/>
          <w:bCs/>
          <w:color w:val="1F3864"/>
          <w:sz w:val="24"/>
          <w:szCs w:val="24"/>
        </w:rPr>
        <w:t xml:space="preserve">10.1 General Policy</w:t>
      </w:r>
    </w:p>
    <w:p>
      <w:pPr>
        <w:spacing w:after="120" w:before="0" w:line="276"/>
        <w:jc w:val="both"/>
      </w:pPr>
      <w:r>
        <w:rPr>
          <w:rFonts w:ascii="Calibri" w:cs="Calibri" w:eastAsia="Calibri" w:hAnsi="Calibri"/>
          <w:b w:val="false"/>
          <w:bCs w:val="false"/>
          <w:i w:val="false"/>
          <w:iCs w:val="false"/>
          <w:color w:val="333333"/>
          <w:sz w:val="22"/>
          <w:szCs w:val="22"/>
        </w:rPr>
        <w:t xml:space="preserve">The Company encourages responsible participation in open-source communities. Personnel may make Contributions to external open-source projects, subject to the requirements of this Section 10. All Contributions must be pre-approved through the Contribution Approval Process described below.</w:t>
      </w:r>
    </w:p>
    <w:p>
      <w:pPr>
        <w:pStyle w:val="Heading2"/>
        <w:spacing w:after="120" w:before="240"/>
        <w:jc w:val="left"/>
      </w:pPr>
      <w:r>
        <w:rPr>
          <w:rFonts w:ascii="Calibri" w:cs="Calibri" w:eastAsia="Calibri" w:hAnsi="Calibri"/>
          <w:b/>
          <w:bCs/>
          <w:color w:val="1F3864"/>
          <w:sz w:val="24"/>
          <w:szCs w:val="24"/>
        </w:rPr>
        <w:t xml:space="preserve">10.2 Contribution Approval Process</w:t>
      </w:r>
    </w:p>
    <w:p>
      <w:pPr>
        <w:spacing w:after="120" w:before="0" w:line="276"/>
        <w:jc w:val="both"/>
      </w:pPr>
      <w:r>
        <w:rPr>
          <w:rFonts w:ascii="Calibri" w:cs="Calibri" w:eastAsia="Calibri" w:hAnsi="Calibri"/>
          <w:b w:val="false"/>
          <w:bCs w:val="false"/>
          <w:i w:val="false"/>
          <w:iCs w:val="false"/>
          <w:color w:val="333333"/>
          <w:sz w:val="22"/>
          <w:szCs w:val="22"/>
        </w:rPr>
        <w:t xml:space="preserve">Before making any Contribution to an external open-source project, Personnel shall:</w:t>
      </w:r>
    </w:p>
    <w:p>
      <w:pPr>
        <w:pStyle w:val="ListParagraph"/>
        <w:numPr>
          <w:ilvl w:val="0"/>
          <w:numId w:val="3"/>
        </w:numPr>
        <w:spacing w:after="80" w:line="276"/>
        <w:jc w:val="both"/>
      </w:pPr>
      <w:r>
        <w:rPr>
          <w:rFonts w:ascii="Calibri" w:cs="Calibri" w:eastAsia="Calibri" w:hAnsi="Calibri"/>
          <w:color w:val="333333"/>
          <w:sz w:val="22"/>
          <w:szCs w:val="22"/>
        </w:rPr>
        <w:t xml:space="preserve">Submit a Contribution Request Form (Exhibit F) to the OSRB, identifying the target project, the nature of the proposed Contribution, and the business rationale;</w:t>
      </w:r>
    </w:p>
    <w:p>
      <w:pPr>
        <w:pStyle w:val="ListParagraph"/>
        <w:numPr>
          <w:ilvl w:val="0"/>
          <w:numId w:val="3"/>
        </w:numPr>
        <w:spacing w:after="80" w:line="276"/>
        <w:jc w:val="both"/>
      </w:pPr>
      <w:r>
        <w:rPr>
          <w:rFonts w:ascii="Calibri" w:cs="Calibri" w:eastAsia="Calibri" w:hAnsi="Calibri"/>
          <w:color w:val="333333"/>
          <w:sz w:val="22"/>
          <w:szCs w:val="22"/>
        </w:rPr>
        <w:t xml:space="preserve">Obtain confirmation from [ENGINEERING MANAGEMENT / TEAM LEAD] that the proposed Contribution does not contain or reveal Company trade secrets, proprietary algorithms, confidential information, or competitive advantages;</w:t>
      </w:r>
    </w:p>
    <w:p>
      <w:pPr>
        <w:pStyle w:val="ListParagraph"/>
        <w:numPr>
          <w:ilvl w:val="0"/>
          <w:numId w:val="3"/>
        </w:numPr>
        <w:spacing w:after="80" w:line="276"/>
        <w:jc w:val="both"/>
      </w:pPr>
      <w:r>
        <w:rPr>
          <w:rFonts w:ascii="Calibri" w:cs="Calibri" w:eastAsia="Calibri" w:hAnsi="Calibri"/>
          <w:color w:val="333333"/>
          <w:sz w:val="22"/>
          <w:szCs w:val="22"/>
        </w:rPr>
        <w:t xml:space="preserve">Obtain confirmation from Legal that the proposed Contribution does not conflict with the Company's intellectual-property strategy, existing or planned patent applications, or contractual obligations (including customer agreements, government contracts, and prior-employer obligations);</w:t>
      </w:r>
    </w:p>
    <w:p>
      <w:pPr>
        <w:pStyle w:val="ListParagraph"/>
        <w:numPr>
          <w:ilvl w:val="0"/>
          <w:numId w:val="3"/>
        </w:numPr>
        <w:spacing w:after="80" w:line="276"/>
        <w:jc w:val="both"/>
      </w:pPr>
      <w:r>
        <w:rPr>
          <w:rFonts w:ascii="Calibri" w:cs="Calibri" w:eastAsia="Calibri" w:hAnsi="Calibri"/>
          <w:color w:val="333333"/>
          <w:sz w:val="22"/>
          <w:szCs w:val="22"/>
        </w:rPr>
        <w:t xml:space="preserve">Review and, if acceptable, agree to the project's contributor license agreement (CLA), developer certificate of origin (DCO), or other contributor terms, with Legal's approval;</w:t>
      </w:r>
    </w:p>
    <w:p>
      <w:pPr>
        <w:pStyle w:val="ListParagraph"/>
        <w:numPr>
          <w:ilvl w:val="0"/>
          <w:numId w:val="3"/>
        </w:numPr>
        <w:spacing w:after="80" w:line="276"/>
        <w:jc w:val="both"/>
      </w:pPr>
      <w:r>
        <w:rPr>
          <w:rFonts w:ascii="Calibri" w:cs="Calibri" w:eastAsia="Calibri" w:hAnsi="Calibri"/>
          <w:color w:val="333333"/>
          <w:sz w:val="22"/>
          <w:szCs w:val="22"/>
        </w:rPr>
        <w:t xml:space="preserve">Ensure that the proposed Contribution does not include any code, data, or materials subject to export-control restrictions (e.g., EAR, ITAR) without prior export-control review; and</w:t>
      </w:r>
    </w:p>
    <w:p>
      <w:pPr>
        <w:pStyle w:val="ListParagraph"/>
        <w:numPr>
          <w:ilvl w:val="0"/>
          <w:numId w:val="3"/>
        </w:numPr>
        <w:spacing w:after="80" w:line="276"/>
        <w:jc w:val="both"/>
      </w:pPr>
      <w:r>
        <w:rPr>
          <w:rFonts w:ascii="Calibri" w:cs="Calibri" w:eastAsia="Calibri" w:hAnsi="Calibri"/>
          <w:color w:val="333333"/>
          <w:sz w:val="22"/>
          <w:szCs w:val="22"/>
        </w:rPr>
        <w:t xml:space="preserve">Receive written approval from the OSRB or its designee before submitting the Contribution.</w:t>
      </w:r>
    </w:p>
    <w:p>
      <w:pPr>
        <w:pStyle w:val="Heading2"/>
        <w:spacing w:after="120" w:before="240"/>
        <w:jc w:val="left"/>
      </w:pPr>
      <w:r>
        <w:rPr>
          <w:rFonts w:ascii="Calibri" w:cs="Calibri" w:eastAsia="Calibri" w:hAnsi="Calibri"/>
          <w:b/>
          <w:bCs/>
          <w:color w:val="1F3864"/>
          <w:sz w:val="24"/>
          <w:szCs w:val="24"/>
        </w:rPr>
        <w:t xml:space="preserve">10.3 Contribution Standards</w:t>
      </w:r>
    </w:p>
    <w:p>
      <w:pPr>
        <w:spacing w:after="120" w:before="0" w:line="276"/>
        <w:jc w:val="both"/>
      </w:pPr>
      <w:r>
        <w:rPr>
          <w:rFonts w:ascii="Calibri" w:cs="Calibri" w:eastAsia="Calibri" w:hAnsi="Calibri"/>
          <w:b w:val="false"/>
          <w:bCs w:val="false"/>
          <w:i w:val="false"/>
          <w:iCs w:val="false"/>
          <w:color w:val="333333"/>
          <w:sz w:val="22"/>
          <w:szCs w:val="22"/>
        </w:rPr>
        <w:t xml:space="preserve">All approved Contributions shall comply with the following standards:</w:t>
      </w:r>
    </w:p>
    <w:p>
      <w:pPr>
        <w:pStyle w:val="ListParagraph"/>
        <w:numPr>
          <w:ilvl w:val="0"/>
          <w:numId w:val="2"/>
        </w:numPr>
        <w:spacing w:after="60" w:line="276"/>
        <w:jc w:val="both"/>
      </w:pPr>
      <w:r>
        <w:rPr>
          <w:rFonts w:ascii="Calibri" w:cs="Calibri" w:eastAsia="Calibri" w:hAnsi="Calibri"/>
          <w:color w:val="333333"/>
          <w:sz w:val="22"/>
          <w:szCs w:val="22"/>
        </w:rPr>
        <w:t xml:space="preserve">Contributions shall be made using the Personnel's Company-designated account or identity, not a personal account, unless otherwise authorized by the OSRB;</w:t>
      </w:r>
    </w:p>
    <w:p>
      <w:pPr>
        <w:pStyle w:val="ListParagraph"/>
        <w:numPr>
          <w:ilvl w:val="0"/>
          <w:numId w:val="2"/>
        </w:numPr>
        <w:spacing w:after="60" w:line="276"/>
        <w:jc w:val="both"/>
      </w:pPr>
      <w:r>
        <w:rPr>
          <w:rFonts w:ascii="Calibri" w:cs="Calibri" w:eastAsia="Calibri" w:hAnsi="Calibri"/>
          <w:color w:val="333333"/>
          <w:sz w:val="22"/>
          <w:szCs w:val="22"/>
        </w:rPr>
        <w:t xml:space="preserve">Contributions shall include a DCO sign-off (Signed-off-by line) or CLA signature as required by the target project;</w:t>
      </w:r>
    </w:p>
    <w:p>
      <w:pPr>
        <w:pStyle w:val="ListParagraph"/>
        <w:numPr>
          <w:ilvl w:val="0"/>
          <w:numId w:val="2"/>
        </w:numPr>
        <w:spacing w:after="60" w:line="276"/>
        <w:jc w:val="both"/>
      </w:pPr>
      <w:r>
        <w:rPr>
          <w:rFonts w:ascii="Calibri" w:cs="Calibri" w:eastAsia="Calibri" w:hAnsi="Calibri"/>
          <w:color w:val="333333"/>
          <w:sz w:val="22"/>
          <w:szCs w:val="22"/>
        </w:rPr>
        <w:t xml:space="preserve">Contributions shall not include inline references to Company-proprietary systems, internal URLs, employee names, or other information that could reveal non-public Company information;</w:t>
      </w:r>
    </w:p>
    <w:p>
      <w:pPr>
        <w:pStyle w:val="ListParagraph"/>
        <w:numPr>
          <w:ilvl w:val="0"/>
          <w:numId w:val="2"/>
        </w:numPr>
        <w:spacing w:after="60" w:line="276"/>
        <w:jc w:val="both"/>
      </w:pPr>
      <w:r>
        <w:rPr>
          <w:rFonts w:ascii="Calibri" w:cs="Calibri" w:eastAsia="Calibri" w:hAnsi="Calibri"/>
          <w:color w:val="333333"/>
          <w:sz w:val="22"/>
          <w:szCs w:val="22"/>
        </w:rPr>
        <w:t xml:space="preserve">Contributions shall comply with the target project's coding standards, contribution guidelines, and code of conduct; and</w:t>
      </w:r>
    </w:p>
    <w:p>
      <w:pPr>
        <w:pStyle w:val="ListParagraph"/>
        <w:numPr>
          <w:ilvl w:val="0"/>
          <w:numId w:val="2"/>
        </w:numPr>
        <w:spacing w:after="60" w:line="276"/>
        <w:jc w:val="both"/>
      </w:pPr>
      <w:r>
        <w:rPr>
          <w:rFonts w:ascii="Calibri" w:cs="Calibri" w:eastAsia="Calibri" w:hAnsi="Calibri"/>
          <w:color w:val="333333"/>
          <w:sz w:val="22"/>
          <w:szCs w:val="22"/>
        </w:rPr>
        <w:t xml:space="preserve">Personnel shall not make commitments regarding future Contributions, maintenance, support, or roadmap on behalf of the Company without OSRB authorization.</w:t>
      </w:r>
    </w:p>
    <w:p>
      <w:pPr>
        <w:pStyle w:val="Heading2"/>
        <w:spacing w:after="120" w:before="240"/>
        <w:jc w:val="left"/>
      </w:pPr>
      <w:r>
        <w:rPr>
          <w:rFonts w:ascii="Calibri" w:cs="Calibri" w:eastAsia="Calibri" w:hAnsi="Calibri"/>
          <w:b/>
          <w:bCs/>
          <w:color w:val="1F3864"/>
          <w:sz w:val="24"/>
          <w:szCs w:val="24"/>
        </w:rPr>
        <w:t xml:space="preserve">10.4 Patent and Export-Control Review</w:t>
      </w:r>
    </w:p>
    <w:p>
      <w:pPr>
        <w:spacing w:after="120" w:before="0" w:line="276"/>
        <w:jc w:val="both"/>
      </w:pPr>
      <w:r>
        <w:rPr>
          <w:rFonts w:ascii="Calibri" w:cs="Calibri" w:eastAsia="Calibri" w:hAnsi="Calibri"/>
          <w:b w:val="false"/>
          <w:bCs w:val="false"/>
          <w:i w:val="false"/>
          <w:iCs w:val="false"/>
          <w:color w:val="333333"/>
          <w:sz w:val="22"/>
          <w:szCs w:val="22"/>
        </w:rPr>
        <w:t xml:space="preserve">The OSRB shall coordinate with the Company's patent counsel and export-control officer (if applicable) to:</w:t>
      </w:r>
    </w:p>
    <w:p>
      <w:pPr>
        <w:pStyle w:val="ListParagraph"/>
        <w:numPr>
          <w:ilvl w:val="0"/>
          <w:numId w:val="2"/>
        </w:numPr>
        <w:spacing w:after="60" w:line="276"/>
        <w:jc w:val="both"/>
      </w:pPr>
      <w:r>
        <w:rPr>
          <w:rFonts w:ascii="Calibri" w:cs="Calibri" w:eastAsia="Calibri" w:hAnsi="Calibri"/>
          <w:color w:val="333333"/>
          <w:sz w:val="22"/>
          <w:szCs w:val="22"/>
        </w:rPr>
        <w:t xml:space="preserve">Determine whether the proposed Contribution is covered by or may implicate any existing or pending Company patents;</w:t>
      </w:r>
    </w:p>
    <w:p>
      <w:pPr>
        <w:pStyle w:val="ListParagraph"/>
        <w:numPr>
          <w:ilvl w:val="0"/>
          <w:numId w:val="2"/>
        </w:numPr>
        <w:spacing w:after="60" w:line="276"/>
        <w:jc w:val="both"/>
      </w:pPr>
      <w:r>
        <w:rPr>
          <w:rFonts w:ascii="Calibri" w:cs="Calibri" w:eastAsia="Calibri" w:hAnsi="Calibri"/>
          <w:color w:val="333333"/>
          <w:sz w:val="22"/>
          <w:szCs w:val="22"/>
        </w:rPr>
        <w:t xml:space="preserve">Assess whether the Contribution would grant a patent license to the target project's downstream users under the project's license terms (e.g., Apache-2.0 patent grant);</w:t>
      </w:r>
    </w:p>
    <w:p>
      <w:pPr>
        <w:pStyle w:val="ListParagraph"/>
        <w:numPr>
          <w:ilvl w:val="0"/>
          <w:numId w:val="2"/>
        </w:numPr>
        <w:spacing w:after="60" w:line="276"/>
        <w:jc w:val="both"/>
      </w:pPr>
      <w:r>
        <w:rPr>
          <w:rFonts w:ascii="Calibri" w:cs="Calibri" w:eastAsia="Calibri" w:hAnsi="Calibri"/>
          <w:color w:val="333333"/>
          <w:sz w:val="22"/>
          <w:szCs w:val="22"/>
        </w:rPr>
        <w:t xml:space="preserve">Evaluate whether the Contribution includes controlled technology, cryptographic functionality, or other subject matter that may be subject to export-control regulations; and</w:t>
      </w:r>
    </w:p>
    <w:p>
      <w:pPr>
        <w:pStyle w:val="ListParagraph"/>
        <w:numPr>
          <w:ilvl w:val="0"/>
          <w:numId w:val="2"/>
        </w:numPr>
        <w:spacing w:after="60" w:line="276"/>
        <w:jc w:val="both"/>
      </w:pPr>
      <w:r>
        <w:rPr>
          <w:rFonts w:ascii="Calibri" w:cs="Calibri" w:eastAsia="Calibri" w:hAnsi="Calibri"/>
          <w:color w:val="333333"/>
          <w:sz w:val="22"/>
          <w:szCs w:val="22"/>
        </w:rPr>
        <w:t xml:space="preserve">Document the patent and export-control determination in the Contribution Request record.</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11. COMPANY OPEN-SOURCE RELEASES</w:t>
      </w:r>
    </w:p>
    <w:p>
      <w:pPr>
        <w:pStyle w:val="Heading2"/>
        <w:spacing w:after="120" w:before="240"/>
        <w:jc w:val="left"/>
      </w:pPr>
      <w:r>
        <w:rPr>
          <w:rFonts w:ascii="Calibri" w:cs="Calibri" w:eastAsia="Calibri" w:hAnsi="Calibri"/>
          <w:b/>
          <w:bCs/>
          <w:color w:val="1F3864"/>
          <w:sz w:val="24"/>
          <w:szCs w:val="24"/>
        </w:rPr>
        <w:t xml:space="preserve">11.1 Release Approval</w:t>
      </w:r>
    </w:p>
    <w:p>
      <w:pPr>
        <w:spacing w:after="120" w:before="0" w:line="276"/>
        <w:jc w:val="both"/>
      </w:pPr>
      <w:r>
        <w:rPr>
          <w:rFonts w:ascii="Calibri" w:cs="Calibri" w:eastAsia="Calibri" w:hAnsi="Calibri"/>
          <w:b w:val="false"/>
          <w:bCs w:val="false"/>
          <w:i w:val="false"/>
          <w:iCs w:val="false"/>
          <w:color w:val="333333"/>
          <w:sz w:val="22"/>
          <w:szCs w:val="22"/>
        </w:rPr>
        <w:t xml:space="preserve">The Company may, from time to time, elect to release Company Code as an open-source project. All such Releases require approval through the following process:</w:t>
      </w:r>
    </w:p>
    <w:p>
      <w:pPr>
        <w:pStyle w:val="ListParagraph"/>
        <w:numPr>
          <w:ilvl w:val="0"/>
          <w:numId w:val="3"/>
        </w:numPr>
        <w:spacing w:after="80" w:line="276"/>
        <w:jc w:val="both"/>
      </w:pPr>
      <w:r>
        <w:rPr>
          <w:rFonts w:ascii="Calibri" w:cs="Calibri" w:eastAsia="Calibri" w:hAnsi="Calibri"/>
          <w:b/>
          <w:bCs/>
          <w:color w:val="333333"/>
          <w:sz w:val="22"/>
          <w:szCs w:val="22"/>
        </w:rPr>
        <w:t xml:space="preserve">Business Case: </w:t>
      </w:r>
      <w:r>
        <w:rPr>
          <w:rFonts w:ascii="Calibri" w:cs="Calibri" w:eastAsia="Calibri" w:hAnsi="Calibri"/>
          <w:color w:val="333333"/>
          <w:sz w:val="22"/>
          <w:szCs w:val="22"/>
        </w:rPr>
        <w:t xml:space="preserve">The sponsoring team shall submit a written business case to the OSRB explaining the strategic rationale, expected benefits, competitive implications, and resource commitment for the proposed Release;</w:t>
      </w:r>
    </w:p>
    <w:p>
      <w:pPr>
        <w:pStyle w:val="ListParagraph"/>
        <w:numPr>
          <w:ilvl w:val="0"/>
          <w:numId w:val="3"/>
        </w:numPr>
        <w:spacing w:after="80" w:line="276"/>
        <w:jc w:val="both"/>
      </w:pPr>
      <w:r>
        <w:rPr>
          <w:rFonts w:ascii="Calibri" w:cs="Calibri" w:eastAsia="Calibri" w:hAnsi="Calibri"/>
          <w:b/>
          <w:bCs/>
          <w:color w:val="333333"/>
          <w:sz w:val="22"/>
          <w:szCs w:val="22"/>
        </w:rPr>
        <w:t xml:space="preserve">IP and Ownership Review: </w:t>
      </w:r>
      <w:r>
        <w:rPr>
          <w:rFonts w:ascii="Calibri" w:cs="Calibri" w:eastAsia="Calibri" w:hAnsi="Calibri"/>
          <w:color w:val="333333"/>
          <w:sz w:val="22"/>
          <w:szCs w:val="22"/>
        </w:rPr>
        <w:t xml:space="preserve">Legal shall confirm that the Company has clear, unencumbered ownership of all code and materials to be released, and that the Release does not conflict with customer agreements, licenses, or third-party IP rights;</w:t>
      </w:r>
    </w:p>
    <w:p>
      <w:pPr>
        <w:pStyle w:val="ListParagraph"/>
        <w:numPr>
          <w:ilvl w:val="0"/>
          <w:numId w:val="3"/>
        </w:numPr>
        <w:spacing w:after="80" w:line="276"/>
        <w:jc w:val="both"/>
      </w:pPr>
      <w:r>
        <w:rPr>
          <w:rFonts w:ascii="Calibri" w:cs="Calibri" w:eastAsia="Calibri" w:hAnsi="Calibri"/>
          <w:b/>
          <w:bCs/>
          <w:color w:val="333333"/>
          <w:sz w:val="22"/>
          <w:szCs w:val="22"/>
        </w:rPr>
        <w:t xml:space="preserve">Secrets and Sensitive-Data Scan: </w:t>
      </w:r>
      <w:r>
        <w:rPr>
          <w:rFonts w:ascii="Calibri" w:cs="Calibri" w:eastAsia="Calibri" w:hAnsi="Calibri"/>
          <w:color w:val="333333"/>
          <w:sz w:val="22"/>
          <w:szCs w:val="22"/>
        </w:rPr>
        <w:t xml:space="preserve">The code and all associated materials shall be scanned using approved secrets-detection tools (e.g., [GITLEAKS / TRUFFLEHOG / DETECT-SECRETS]) to ensure no API keys, credentials, tokens, internal URLs, PII, or other sensitive data is present;</w:t>
      </w:r>
    </w:p>
    <w:p>
      <w:pPr>
        <w:pStyle w:val="ListParagraph"/>
        <w:numPr>
          <w:ilvl w:val="0"/>
          <w:numId w:val="3"/>
        </w:numPr>
        <w:spacing w:after="80" w:line="276"/>
        <w:jc w:val="both"/>
      </w:pPr>
      <w:r>
        <w:rPr>
          <w:rFonts w:ascii="Calibri" w:cs="Calibri" w:eastAsia="Calibri" w:hAnsi="Calibri"/>
          <w:b/>
          <w:bCs/>
          <w:color w:val="333333"/>
          <w:sz w:val="22"/>
          <w:szCs w:val="22"/>
        </w:rPr>
        <w:t xml:space="preserve">License Selection: </w:t>
      </w:r>
      <w:r>
        <w:rPr>
          <w:rFonts w:ascii="Calibri" w:cs="Calibri" w:eastAsia="Calibri" w:hAnsi="Calibri"/>
          <w:color w:val="333333"/>
          <w:sz w:val="22"/>
          <w:szCs w:val="22"/>
        </w:rPr>
        <w:t xml:space="preserve">Legal, in consultation with the OSRB and the sponsoring team, shall select an appropriate open-source license for the Release. The default license for Company Releases is [APACHE-2.0 / MIT / OTHER]. Copyleft licenses require additional justification and executive approval;</w:t>
      </w:r>
    </w:p>
    <w:p>
      <w:pPr>
        <w:pStyle w:val="ListParagraph"/>
        <w:numPr>
          <w:ilvl w:val="0"/>
          <w:numId w:val="3"/>
        </w:numPr>
        <w:spacing w:after="80" w:line="276"/>
        <w:jc w:val="both"/>
      </w:pPr>
      <w:r>
        <w:rPr>
          <w:rFonts w:ascii="Calibri" w:cs="Calibri" w:eastAsia="Calibri" w:hAnsi="Calibri"/>
          <w:b/>
          <w:bCs/>
          <w:color w:val="333333"/>
          <w:sz w:val="22"/>
          <w:szCs w:val="22"/>
        </w:rPr>
        <w:t xml:space="preserve">Governance Model: </w:t>
      </w:r>
      <w:r>
        <w:rPr>
          <w:rFonts w:ascii="Calibri" w:cs="Calibri" w:eastAsia="Calibri" w:hAnsi="Calibri"/>
          <w:color w:val="333333"/>
          <w:sz w:val="22"/>
          <w:szCs w:val="22"/>
        </w:rPr>
        <w:t xml:space="preserve">The sponsoring team shall define the governance model for the Release, including maintainer roles, contribution acceptance criteria, release cadence, issue-triage process, and community engagement strategy;</w:t>
      </w:r>
    </w:p>
    <w:p>
      <w:pPr>
        <w:pStyle w:val="ListParagraph"/>
        <w:numPr>
          <w:ilvl w:val="0"/>
          <w:numId w:val="3"/>
        </w:numPr>
        <w:spacing w:after="80" w:line="276"/>
        <w:jc w:val="both"/>
      </w:pPr>
      <w:r>
        <w:rPr>
          <w:rFonts w:ascii="Calibri" w:cs="Calibri" w:eastAsia="Calibri" w:hAnsi="Calibri"/>
          <w:b/>
          <w:bCs/>
          <w:color w:val="333333"/>
          <w:sz w:val="22"/>
          <w:szCs w:val="22"/>
        </w:rPr>
        <w:t xml:space="preserve">Maintainer Commitment: </w:t>
      </w:r>
      <w:r>
        <w:rPr>
          <w:rFonts w:ascii="Calibri" w:cs="Calibri" w:eastAsia="Calibri" w:hAnsi="Calibri"/>
          <w:color w:val="333333"/>
          <w:sz w:val="22"/>
          <w:szCs w:val="22"/>
        </w:rPr>
        <w:t xml:space="preserve">The sponsoring team shall commit identified maintainers, a maintenance budget, and an estimated maintenance duration. The OSRB may require a sunset plan if the maintenance commitment is time-limited; and</w:t>
      </w:r>
    </w:p>
    <w:p>
      <w:pPr>
        <w:pStyle w:val="ListParagraph"/>
        <w:numPr>
          <w:ilvl w:val="0"/>
          <w:numId w:val="3"/>
        </w:numPr>
        <w:spacing w:after="80" w:line="276"/>
        <w:jc w:val="both"/>
      </w:pPr>
      <w:r>
        <w:rPr>
          <w:rFonts w:ascii="Calibri" w:cs="Calibri" w:eastAsia="Calibri" w:hAnsi="Calibri"/>
          <w:b/>
          <w:bCs/>
          <w:color w:val="333333"/>
          <w:sz w:val="22"/>
          <w:szCs w:val="22"/>
        </w:rPr>
        <w:t xml:space="preserve">Executive Approval: </w:t>
      </w:r>
      <w:r>
        <w:rPr>
          <w:rFonts w:ascii="Calibri" w:cs="Calibri" w:eastAsia="Calibri" w:hAnsi="Calibri"/>
          <w:color w:val="333333"/>
          <w:sz w:val="22"/>
          <w:szCs w:val="22"/>
        </w:rPr>
        <w:t xml:space="preserve">The Release requires written approval from [CTO / VP ENGINEERING / GENERAL COUNSEL] before publication.</w:t>
      </w:r>
    </w:p>
    <w:p>
      <w:pPr>
        <w:pStyle w:val="Heading2"/>
        <w:spacing w:after="120" w:before="240"/>
        <w:jc w:val="left"/>
      </w:pPr>
      <w:r>
        <w:rPr>
          <w:rFonts w:ascii="Calibri" w:cs="Calibri" w:eastAsia="Calibri" w:hAnsi="Calibri"/>
          <w:b/>
          <w:bCs/>
          <w:color w:val="1F3864"/>
          <w:sz w:val="24"/>
          <w:szCs w:val="24"/>
        </w:rPr>
        <w:t xml:space="preserve">11.2 Ongoing Obligations</w:t>
      </w:r>
    </w:p>
    <w:p>
      <w:pPr>
        <w:spacing w:after="120" w:before="0" w:line="276"/>
        <w:jc w:val="both"/>
      </w:pPr>
      <w:r>
        <w:rPr>
          <w:rFonts w:ascii="Calibri" w:cs="Calibri" w:eastAsia="Calibri" w:hAnsi="Calibri"/>
          <w:b w:val="false"/>
          <w:bCs w:val="false"/>
          <w:i w:val="false"/>
          <w:iCs w:val="false"/>
          <w:color w:val="333333"/>
          <w:sz w:val="22"/>
          <w:szCs w:val="22"/>
        </w:rPr>
        <w:t xml:space="preserve">For each Company Release, the Company shall:</w:t>
      </w:r>
    </w:p>
    <w:p>
      <w:pPr>
        <w:pStyle w:val="ListParagraph"/>
        <w:numPr>
          <w:ilvl w:val="0"/>
          <w:numId w:val="2"/>
        </w:numPr>
        <w:spacing w:after="60" w:line="276"/>
        <w:jc w:val="both"/>
      </w:pPr>
      <w:r>
        <w:rPr>
          <w:rFonts w:ascii="Calibri" w:cs="Calibri" w:eastAsia="Calibri" w:hAnsi="Calibri"/>
          <w:color w:val="333333"/>
          <w:sz w:val="22"/>
          <w:szCs w:val="22"/>
        </w:rPr>
        <w:t xml:space="preserve">Respond to security vulnerability reports within [48] hours of receipt;</w:t>
      </w:r>
    </w:p>
    <w:p>
      <w:pPr>
        <w:pStyle w:val="ListParagraph"/>
        <w:numPr>
          <w:ilvl w:val="0"/>
          <w:numId w:val="2"/>
        </w:numPr>
        <w:spacing w:after="60" w:line="276"/>
        <w:jc w:val="both"/>
      </w:pPr>
      <w:r>
        <w:rPr>
          <w:rFonts w:ascii="Calibri" w:cs="Calibri" w:eastAsia="Calibri" w:hAnsi="Calibri"/>
          <w:color w:val="333333"/>
          <w:sz w:val="22"/>
          <w:szCs w:val="22"/>
        </w:rPr>
        <w:t xml:space="preserve">Maintain a clear and accessible SECURITY.md or equivalent disclosure policy;</w:t>
      </w:r>
    </w:p>
    <w:p>
      <w:pPr>
        <w:pStyle w:val="ListParagraph"/>
        <w:numPr>
          <w:ilvl w:val="0"/>
          <w:numId w:val="2"/>
        </w:numPr>
        <w:spacing w:after="60" w:line="276"/>
        <w:jc w:val="both"/>
      </w:pPr>
      <w:r>
        <w:rPr>
          <w:rFonts w:ascii="Calibri" w:cs="Calibri" w:eastAsia="Calibri" w:hAnsi="Calibri"/>
          <w:color w:val="333333"/>
          <w:sz w:val="22"/>
          <w:szCs w:val="22"/>
        </w:rPr>
        <w:t xml:space="preserve">Review and respond to community contributions (pull requests, issues) within [5] business days;</w:t>
      </w:r>
    </w:p>
    <w:p>
      <w:pPr>
        <w:pStyle w:val="ListParagraph"/>
        <w:numPr>
          <w:ilvl w:val="0"/>
          <w:numId w:val="2"/>
        </w:numPr>
        <w:spacing w:after="60" w:line="276"/>
        <w:jc w:val="both"/>
      </w:pPr>
      <w:r>
        <w:rPr>
          <w:rFonts w:ascii="Calibri" w:cs="Calibri" w:eastAsia="Calibri" w:hAnsi="Calibri"/>
          <w:color w:val="333333"/>
          <w:sz w:val="22"/>
          <w:szCs w:val="22"/>
        </w:rPr>
        <w:t xml:space="preserve">Publish releases with appropriate versioning (SemVer preferred), change logs, and migration guides;</w:t>
      </w:r>
    </w:p>
    <w:p>
      <w:pPr>
        <w:pStyle w:val="ListParagraph"/>
        <w:numPr>
          <w:ilvl w:val="0"/>
          <w:numId w:val="2"/>
        </w:numPr>
        <w:spacing w:after="60" w:line="276"/>
        <w:jc w:val="both"/>
      </w:pPr>
      <w:r>
        <w:rPr>
          <w:rFonts w:ascii="Calibri" w:cs="Calibri" w:eastAsia="Calibri" w:hAnsi="Calibri"/>
          <w:color w:val="333333"/>
          <w:sz w:val="22"/>
          <w:szCs w:val="22"/>
        </w:rPr>
        <w:t xml:space="preserve">Monitor the Release for forks, downstream uses, and emerging license-compatibility issues; and</w:t>
      </w:r>
    </w:p>
    <w:p>
      <w:pPr>
        <w:pStyle w:val="ListParagraph"/>
        <w:numPr>
          <w:ilvl w:val="0"/>
          <w:numId w:val="2"/>
        </w:numPr>
        <w:spacing w:after="60" w:line="276"/>
        <w:jc w:val="both"/>
      </w:pPr>
      <w:r>
        <w:rPr>
          <w:rFonts w:ascii="Calibri" w:cs="Calibri" w:eastAsia="Calibri" w:hAnsi="Calibri"/>
          <w:color w:val="333333"/>
          <w:sz w:val="22"/>
          <w:szCs w:val="22"/>
        </w:rPr>
        <w:t xml:space="preserve">Notify the OSRB promptly of any IP claims, license disputes, or legal threats directed at the Release.</w:t>
      </w:r>
    </w:p>
    <w:p>
      <w:pPr>
        <w:pStyle w:val="Heading2"/>
        <w:spacing w:after="120" w:before="240"/>
        <w:jc w:val="left"/>
      </w:pPr>
      <w:r>
        <w:rPr>
          <w:rFonts w:ascii="Calibri" w:cs="Calibri" w:eastAsia="Calibri" w:hAnsi="Calibri"/>
          <w:b/>
          <w:bCs/>
          <w:color w:val="1F3864"/>
          <w:sz w:val="24"/>
          <w:szCs w:val="24"/>
        </w:rPr>
        <w:t xml:space="preserve">11.3 Funding and Sponsorship</w:t>
      </w:r>
    </w:p>
    <w:p>
      <w:pPr>
        <w:spacing w:after="120" w:before="0" w:line="276"/>
        <w:jc w:val="both"/>
      </w:pPr>
      <w:r>
        <w:rPr>
          <w:rFonts w:ascii="Calibri" w:cs="Calibri" w:eastAsia="Calibri" w:hAnsi="Calibri"/>
          <w:b w:val="false"/>
          <w:bCs w:val="false"/>
          <w:i w:val="false"/>
          <w:iCs w:val="false"/>
          <w:color w:val="333333"/>
          <w:sz w:val="22"/>
          <w:szCs w:val="22"/>
        </w:rPr>
        <w:t xml:space="preserve">The Company may fund, sponsor, or financially support external open-source projects and foundations. All such funding arrangements require:</w:t>
      </w:r>
    </w:p>
    <w:p>
      <w:pPr>
        <w:pStyle w:val="ListParagraph"/>
        <w:numPr>
          <w:ilvl w:val="0"/>
          <w:numId w:val="2"/>
        </w:numPr>
        <w:spacing w:after="60" w:line="276"/>
        <w:jc w:val="both"/>
      </w:pPr>
      <w:r>
        <w:rPr>
          <w:rFonts w:ascii="Calibri" w:cs="Calibri" w:eastAsia="Calibri" w:hAnsi="Calibri"/>
          <w:color w:val="333333"/>
          <w:sz w:val="22"/>
          <w:szCs w:val="22"/>
        </w:rPr>
        <w:t xml:space="preserve">OSRB notification and, for amounts exceeding [$THRESHOLD], OSRB approval;</w:t>
      </w:r>
    </w:p>
    <w:p>
      <w:pPr>
        <w:pStyle w:val="ListParagraph"/>
        <w:numPr>
          <w:ilvl w:val="0"/>
          <w:numId w:val="2"/>
        </w:numPr>
        <w:spacing w:after="60" w:line="276"/>
        <w:jc w:val="both"/>
      </w:pPr>
      <w:r>
        <w:rPr>
          <w:rFonts w:ascii="Calibri" w:cs="Calibri" w:eastAsia="Calibri" w:hAnsi="Calibri"/>
          <w:color w:val="333333"/>
          <w:sz w:val="22"/>
          <w:szCs w:val="22"/>
        </w:rPr>
        <w:t xml:space="preserve">Legal review of the sponsorship agreement, membership terms, and governance obligations; and</w:t>
      </w:r>
    </w:p>
    <w:p>
      <w:pPr>
        <w:pStyle w:val="ListParagraph"/>
        <w:numPr>
          <w:ilvl w:val="0"/>
          <w:numId w:val="2"/>
        </w:numPr>
        <w:spacing w:after="60" w:line="276"/>
        <w:jc w:val="both"/>
      </w:pPr>
      <w:r>
        <w:rPr>
          <w:rFonts w:ascii="Calibri" w:cs="Calibri" w:eastAsia="Calibri" w:hAnsi="Calibri"/>
          <w:color w:val="333333"/>
          <w:sz w:val="22"/>
          <w:szCs w:val="22"/>
        </w:rPr>
        <w:t xml:space="preserve">Periodic review of the funding relationship to ensure continued alignment with Company interests.</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12. AI-ASSISTED CODE AND CONTENT</w:t>
      </w:r>
    </w:p>
    <w:p>
      <w:pPr>
        <w:pStyle w:val="Heading2"/>
        <w:spacing w:after="120" w:before="240"/>
        <w:jc w:val="left"/>
      </w:pPr>
      <w:r>
        <w:rPr>
          <w:rFonts w:ascii="Calibri" w:cs="Calibri" w:eastAsia="Calibri" w:hAnsi="Calibri"/>
          <w:b/>
          <w:bCs/>
          <w:color w:val="1F3864"/>
          <w:sz w:val="24"/>
          <w:szCs w:val="24"/>
        </w:rPr>
        <w:t xml:space="preserve">12.1 Scope of AI-Assisted Code Provisions</w:t>
      </w:r>
    </w:p>
    <w:p>
      <w:pPr>
        <w:spacing w:after="120" w:before="0" w:line="276"/>
        <w:jc w:val="both"/>
      </w:pPr>
      <w:r>
        <w:rPr>
          <w:rFonts w:ascii="Calibri" w:cs="Calibri" w:eastAsia="Calibri" w:hAnsi="Calibri"/>
          <w:b w:val="false"/>
          <w:bCs w:val="false"/>
          <w:i w:val="false"/>
          <w:iCs w:val="false"/>
          <w:color w:val="333333"/>
          <w:sz w:val="22"/>
          <w:szCs w:val="22"/>
        </w:rPr>
        <w:t xml:space="preserve">This Section 12 applies to all code, text, configuration, documentation, or other output generated, suggested, completed, auto-completed, or synthesized using AI-assisted coding or content-generation tools, including without limitation:</w:t>
      </w:r>
    </w:p>
    <w:p>
      <w:pPr>
        <w:pStyle w:val="ListParagraph"/>
        <w:numPr>
          <w:ilvl w:val="0"/>
          <w:numId w:val="2"/>
        </w:numPr>
        <w:spacing w:after="60" w:line="276"/>
        <w:jc w:val="both"/>
      </w:pPr>
      <w:r>
        <w:rPr>
          <w:rFonts w:ascii="Calibri" w:cs="Calibri" w:eastAsia="Calibri" w:hAnsi="Calibri"/>
          <w:color w:val="333333"/>
          <w:sz w:val="22"/>
          <w:szCs w:val="22"/>
        </w:rPr>
        <w:t xml:space="preserve">Inline code-completion and suggestion tools (e.g., GitHub Copilot, Amazon CodeWhisperer, Codeium, Tabnine, Cursor, Supermaven);</w:t>
      </w:r>
    </w:p>
    <w:p>
      <w:pPr>
        <w:pStyle w:val="ListParagraph"/>
        <w:numPr>
          <w:ilvl w:val="0"/>
          <w:numId w:val="2"/>
        </w:numPr>
        <w:spacing w:after="60" w:line="276"/>
        <w:jc w:val="both"/>
      </w:pPr>
      <w:r>
        <w:rPr>
          <w:rFonts w:ascii="Calibri" w:cs="Calibri" w:eastAsia="Calibri" w:hAnsi="Calibri"/>
          <w:color w:val="333333"/>
          <w:sz w:val="22"/>
          <w:szCs w:val="22"/>
        </w:rPr>
        <w:t xml:space="preserve">Conversational AI assistants used for code generation (e.g., ChatGPT, Claude, Gemini, Llama-based models);</w:t>
      </w:r>
    </w:p>
    <w:p>
      <w:pPr>
        <w:pStyle w:val="ListParagraph"/>
        <w:numPr>
          <w:ilvl w:val="0"/>
          <w:numId w:val="2"/>
        </w:numPr>
        <w:spacing w:after="60" w:line="276"/>
        <w:jc w:val="both"/>
      </w:pPr>
      <w:r>
        <w:rPr>
          <w:rFonts w:ascii="Calibri" w:cs="Calibri" w:eastAsia="Calibri" w:hAnsi="Calibri"/>
          <w:color w:val="333333"/>
          <w:sz w:val="22"/>
          <w:szCs w:val="22"/>
        </w:rPr>
        <w:t xml:space="preserve">AI-powered code-refactoring, translation, and migration tools;</w:t>
      </w:r>
    </w:p>
    <w:p>
      <w:pPr>
        <w:pStyle w:val="ListParagraph"/>
        <w:numPr>
          <w:ilvl w:val="0"/>
          <w:numId w:val="2"/>
        </w:numPr>
        <w:spacing w:after="60" w:line="276"/>
        <w:jc w:val="both"/>
      </w:pPr>
      <w:r>
        <w:rPr>
          <w:rFonts w:ascii="Calibri" w:cs="Calibri" w:eastAsia="Calibri" w:hAnsi="Calibri"/>
          <w:color w:val="333333"/>
          <w:sz w:val="22"/>
          <w:szCs w:val="22"/>
        </w:rPr>
        <w:t xml:space="preserve">AI-generated test cases, documentation, commit messages, and code comments; and</w:t>
      </w:r>
    </w:p>
    <w:p>
      <w:pPr>
        <w:pStyle w:val="ListParagraph"/>
        <w:numPr>
          <w:ilvl w:val="0"/>
          <w:numId w:val="2"/>
        </w:numPr>
        <w:spacing w:after="60" w:line="276"/>
        <w:jc w:val="both"/>
      </w:pPr>
      <w:r>
        <w:rPr>
          <w:rFonts w:ascii="Calibri" w:cs="Calibri" w:eastAsia="Calibri" w:hAnsi="Calibri"/>
          <w:color w:val="333333"/>
          <w:sz w:val="22"/>
          <w:szCs w:val="22"/>
        </w:rPr>
        <w:t xml:space="preserve">AI-generated infrastructure-as-code, configuration files, and deployment scripts.</w:t>
      </w:r>
    </w:p>
    <w:p>
      <w:pPr>
        <w:pStyle w:val="Heading2"/>
        <w:spacing w:after="120" w:before="240"/>
        <w:jc w:val="left"/>
      </w:pPr>
      <w:r>
        <w:rPr>
          <w:rFonts w:ascii="Calibri" w:cs="Calibri" w:eastAsia="Calibri" w:hAnsi="Calibri"/>
          <w:b/>
          <w:bCs/>
          <w:color w:val="1F3864"/>
          <w:sz w:val="24"/>
          <w:szCs w:val="24"/>
        </w:rPr>
        <w:t xml:space="preserve">12.2 Approved Tools and Settings</w:t>
      </w:r>
    </w:p>
    <w:p>
      <w:pPr>
        <w:spacing w:after="120" w:before="0" w:line="276"/>
        <w:jc w:val="both"/>
      </w:pPr>
      <w:r>
        <w:rPr>
          <w:rFonts w:ascii="Calibri" w:cs="Calibri" w:eastAsia="Calibri" w:hAnsi="Calibri"/>
          <w:b w:val="false"/>
          <w:bCs w:val="false"/>
          <w:i w:val="false"/>
          <w:iCs w:val="false"/>
          <w:color w:val="333333"/>
          <w:sz w:val="22"/>
          <w:szCs w:val="22"/>
        </w:rPr>
        <w:t xml:space="preserve">Personnel may use AI-assisted coding tools only if:</w:t>
      </w:r>
    </w:p>
    <w:p>
      <w:pPr>
        <w:pStyle w:val="ListParagraph"/>
        <w:numPr>
          <w:ilvl w:val="0"/>
          <w:numId w:val="2"/>
        </w:numPr>
        <w:spacing w:after="60" w:line="276"/>
        <w:jc w:val="both"/>
      </w:pPr>
      <w:r>
        <w:rPr>
          <w:rFonts w:ascii="Calibri" w:cs="Calibri" w:eastAsia="Calibri" w:hAnsi="Calibri"/>
          <w:color w:val="333333"/>
          <w:sz w:val="22"/>
          <w:szCs w:val="22"/>
        </w:rPr>
        <w:t xml:space="preserve">The tool has been reviewed and approved by the OSRB and Information Security in accordance with the Company's [AI/ML ACCEPTABLE USE POLICY / TECHNOLOGY PROCUREMENT POLICY];</w:t>
      </w:r>
    </w:p>
    <w:p>
      <w:pPr>
        <w:pStyle w:val="ListParagraph"/>
        <w:numPr>
          <w:ilvl w:val="0"/>
          <w:numId w:val="2"/>
        </w:numPr>
        <w:spacing w:after="60" w:line="276"/>
        <w:jc w:val="both"/>
      </w:pPr>
      <w:r>
        <w:rPr>
          <w:rFonts w:ascii="Calibri" w:cs="Calibri" w:eastAsia="Calibri" w:hAnsi="Calibri"/>
          <w:color w:val="333333"/>
          <w:sz w:val="22"/>
          <w:szCs w:val="22"/>
        </w:rPr>
        <w:t xml:space="preserve">The tool is used with the Company-approved configuration, including any settings related to telemetry, data sharing, suggestion filtering, and license-aware mode;</w:t>
      </w:r>
    </w:p>
    <w:p>
      <w:pPr>
        <w:pStyle w:val="ListParagraph"/>
        <w:numPr>
          <w:ilvl w:val="0"/>
          <w:numId w:val="2"/>
        </w:numPr>
        <w:spacing w:after="60" w:line="276"/>
        <w:jc w:val="both"/>
      </w:pPr>
      <w:r>
        <w:rPr>
          <w:rFonts w:ascii="Calibri" w:cs="Calibri" w:eastAsia="Calibri" w:hAnsi="Calibri"/>
          <w:color w:val="333333"/>
          <w:sz w:val="22"/>
          <w:szCs w:val="22"/>
        </w:rPr>
        <w:t xml:space="preserve">The tool's terms of service and data-processing agreements have been reviewed and approved by Legal, particularly with respect to IP ownership, data retention, and confidentiality of input data; and</w:t>
      </w:r>
    </w:p>
    <w:p>
      <w:pPr>
        <w:pStyle w:val="ListParagraph"/>
        <w:numPr>
          <w:ilvl w:val="0"/>
          <w:numId w:val="2"/>
        </w:numPr>
        <w:spacing w:after="60" w:line="276"/>
        <w:jc w:val="both"/>
      </w:pPr>
      <w:r>
        <w:rPr>
          <w:rFonts w:ascii="Calibri" w:cs="Calibri" w:eastAsia="Calibri" w:hAnsi="Calibri"/>
          <w:color w:val="333333"/>
          <w:sz w:val="22"/>
          <w:szCs w:val="22"/>
        </w:rPr>
        <w:t xml:space="preserve">The tool is listed on the Company's Approved AI Tools List, maintained by [IT / INFORMATION SECURITY].</w:t>
      </w:r>
    </w:p>
    <w:p>
      <w:pPr>
        <w:pStyle w:val="Heading2"/>
        <w:spacing w:after="120" w:before="240"/>
        <w:jc w:val="left"/>
      </w:pPr>
      <w:r>
        <w:rPr>
          <w:rFonts w:ascii="Calibri" w:cs="Calibri" w:eastAsia="Calibri" w:hAnsi="Calibri"/>
          <w:b/>
          <w:bCs/>
          <w:color w:val="1F3864"/>
          <w:sz w:val="24"/>
          <w:szCs w:val="24"/>
        </w:rPr>
        <w:t xml:space="preserve">12.3 Provenance and Similarity Review</w:t>
      </w:r>
    </w:p>
    <w:p>
      <w:pPr>
        <w:spacing w:after="120" w:before="0" w:line="276"/>
        <w:jc w:val="both"/>
      </w:pPr>
      <w:r>
        <w:rPr>
          <w:rFonts w:ascii="Calibri" w:cs="Calibri" w:eastAsia="Calibri" w:hAnsi="Calibri"/>
          <w:b w:val="false"/>
          <w:bCs w:val="false"/>
          <w:i w:val="false"/>
          <w:iCs w:val="false"/>
          <w:color w:val="333333"/>
          <w:sz w:val="22"/>
          <w:szCs w:val="22"/>
        </w:rPr>
        <w:t xml:space="preserve">All AI-generated code incorporated into Company Code shall be subject to the following review requirements:</w:t>
      </w:r>
    </w:p>
    <w:p>
      <w:pPr>
        <w:pStyle w:val="ListParagraph"/>
        <w:numPr>
          <w:ilvl w:val="0"/>
          <w:numId w:val="2"/>
        </w:numPr>
        <w:spacing w:after="60" w:line="276"/>
        <w:jc w:val="both"/>
      </w:pPr>
      <w:r>
        <w:rPr>
          <w:rFonts w:ascii="Calibri" w:cs="Calibri" w:eastAsia="Calibri" w:hAnsi="Calibri"/>
          <w:color w:val="333333"/>
          <w:sz w:val="22"/>
          <w:szCs w:val="22"/>
        </w:rPr>
        <w:t xml:space="preserve">Personnel shall review AI-generated suggestions for similarity to known open-source code before acceptance. Where the AI tool provides attribution or similarity indicators, Personnel shall evaluate the identified source and license;</w:t>
      </w:r>
    </w:p>
    <w:p>
      <w:pPr>
        <w:pStyle w:val="ListParagraph"/>
        <w:numPr>
          <w:ilvl w:val="0"/>
          <w:numId w:val="2"/>
        </w:numPr>
        <w:spacing w:after="60" w:line="276"/>
        <w:jc w:val="both"/>
      </w:pPr>
      <w:r>
        <w:rPr>
          <w:rFonts w:ascii="Calibri" w:cs="Calibri" w:eastAsia="Calibri" w:hAnsi="Calibri"/>
          <w:color w:val="333333"/>
          <w:sz w:val="22"/>
          <w:szCs w:val="22"/>
        </w:rPr>
        <w:t xml:space="preserve">AI-generated code blocks exceeding [10-25] lines shall be scanned using the Company's approved SCA tools to detect potential matches against known open-source code;</w:t>
      </w:r>
    </w:p>
    <w:p>
      <w:pPr>
        <w:pStyle w:val="ListParagraph"/>
        <w:numPr>
          <w:ilvl w:val="0"/>
          <w:numId w:val="2"/>
        </w:numPr>
        <w:spacing w:after="60" w:line="276"/>
        <w:jc w:val="both"/>
      </w:pPr>
      <w:r>
        <w:rPr>
          <w:rFonts w:ascii="Calibri" w:cs="Calibri" w:eastAsia="Calibri" w:hAnsi="Calibri"/>
          <w:color w:val="333333"/>
          <w:sz w:val="22"/>
          <w:szCs w:val="22"/>
        </w:rPr>
        <w:t xml:space="preserve">If a scan identifies a match or high-confidence similarity to open-source code, the AI-generated code shall be treated as a potential Component and submitted through the Intake Record and Approval Workflow before use; and</w:t>
      </w:r>
    </w:p>
    <w:p>
      <w:pPr>
        <w:pStyle w:val="ListParagraph"/>
        <w:numPr>
          <w:ilvl w:val="0"/>
          <w:numId w:val="2"/>
        </w:numPr>
        <w:spacing w:after="60" w:line="276"/>
        <w:jc w:val="both"/>
      </w:pPr>
      <w:r>
        <w:rPr>
          <w:rFonts w:ascii="Calibri" w:cs="Calibri" w:eastAsia="Calibri" w:hAnsi="Calibri"/>
          <w:color w:val="333333"/>
          <w:sz w:val="22"/>
          <w:szCs w:val="22"/>
        </w:rPr>
        <w:t xml:space="preserve">Personnel shall not use AI tools to circumvent this Policy by, for example, prompting the tool to reproduce specific open-source code without license compliance.</w:t>
      </w:r>
    </w:p>
    <w:p>
      <w:pPr>
        <w:pStyle w:val="Heading2"/>
        <w:spacing w:after="120" w:before="240"/>
        <w:jc w:val="left"/>
      </w:pPr>
      <w:r>
        <w:rPr>
          <w:rFonts w:ascii="Calibri" w:cs="Calibri" w:eastAsia="Calibri" w:hAnsi="Calibri"/>
          <w:b/>
          <w:bCs/>
          <w:color w:val="1F3864"/>
          <w:sz w:val="24"/>
          <w:szCs w:val="24"/>
        </w:rPr>
        <w:t xml:space="preserve">12.4 Dependency and License Testing</w:t>
      </w:r>
    </w:p>
    <w:p>
      <w:pPr>
        <w:spacing w:after="120" w:before="0" w:line="276"/>
        <w:jc w:val="both"/>
      </w:pPr>
      <w:r>
        <w:rPr>
          <w:rFonts w:ascii="Calibri" w:cs="Calibri" w:eastAsia="Calibri" w:hAnsi="Calibri"/>
          <w:b w:val="false"/>
          <w:bCs w:val="false"/>
          <w:i w:val="false"/>
          <w:iCs w:val="false"/>
          <w:color w:val="333333"/>
          <w:sz w:val="22"/>
          <w:szCs w:val="22"/>
        </w:rPr>
        <w:t xml:space="preserve">AI-generated code that introduces new library imports, package dependencies, or framework references shall be subject to the same dependency-management and approval requirements as manually authored code. The CI/CD gates described in Section 8 shall apply equally to AI-generated and manually authored code.</w:t>
      </w:r>
    </w:p>
    <w:p>
      <w:pPr>
        <w:pStyle w:val="Heading2"/>
        <w:spacing w:after="120" w:before="240"/>
        <w:jc w:val="left"/>
      </w:pPr>
      <w:r>
        <w:rPr>
          <w:rFonts w:ascii="Calibri" w:cs="Calibri" w:eastAsia="Calibri" w:hAnsi="Calibri"/>
          <w:b/>
          <w:bCs/>
          <w:color w:val="1F3864"/>
          <w:sz w:val="24"/>
          <w:szCs w:val="24"/>
        </w:rPr>
        <w:t xml:space="preserve">12.5 Record-Keeping</w:t>
      </w:r>
    </w:p>
    <w:p>
      <w:pPr>
        <w:spacing w:after="120" w:before="0" w:line="276"/>
        <w:jc w:val="both"/>
      </w:pPr>
      <w:r>
        <w:rPr>
          <w:rFonts w:ascii="Calibri" w:cs="Calibri" w:eastAsia="Calibri" w:hAnsi="Calibri"/>
          <w:b w:val="false"/>
          <w:bCs w:val="false"/>
          <w:i w:val="false"/>
          <w:iCs w:val="false"/>
          <w:color w:val="333333"/>
          <w:sz w:val="22"/>
          <w:szCs w:val="22"/>
        </w:rPr>
        <w:t xml:space="preserve">Personnel shall maintain records sufficient to identify which portions of Company Code were generated or substantially influenced by AI tools, including the tool name, version/model, and approximate date of generation. These records support provenance tracking, audit, and potential IP-ownership analysis.</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13. ACQUISITIONS, VENDORS, AND CONTRACTORS</w:t>
      </w:r>
    </w:p>
    <w:p>
      <w:pPr>
        <w:pStyle w:val="Heading2"/>
        <w:spacing w:after="120" w:before="240"/>
        <w:jc w:val="left"/>
      </w:pPr>
      <w:r>
        <w:rPr>
          <w:rFonts w:ascii="Calibri" w:cs="Calibri" w:eastAsia="Calibri" w:hAnsi="Calibri"/>
          <w:b/>
          <w:bCs/>
          <w:color w:val="1F3864"/>
          <w:sz w:val="24"/>
          <w:szCs w:val="24"/>
        </w:rPr>
        <w:t xml:space="preserve">13.1 Acquisition Due Diligence</w:t>
      </w:r>
    </w:p>
    <w:p>
      <w:pPr>
        <w:spacing w:after="120" w:before="0" w:line="276"/>
        <w:jc w:val="both"/>
      </w:pPr>
      <w:r>
        <w:rPr>
          <w:rFonts w:ascii="Calibri" w:cs="Calibri" w:eastAsia="Calibri" w:hAnsi="Calibri"/>
          <w:b w:val="false"/>
          <w:bCs w:val="false"/>
          <w:i w:val="false"/>
          <w:iCs w:val="false"/>
          <w:color w:val="333333"/>
          <w:sz w:val="22"/>
          <w:szCs w:val="22"/>
        </w:rPr>
        <w:t xml:space="preserve">In connection with any acquisition, merger, or purchase of substantially all assets of another entity, the Company shall conduct open-source due diligence that includes:</w:t>
      </w:r>
    </w:p>
    <w:p>
      <w:pPr>
        <w:pStyle w:val="ListParagraph"/>
        <w:numPr>
          <w:ilvl w:val="0"/>
          <w:numId w:val="2"/>
        </w:numPr>
        <w:spacing w:after="60" w:line="276"/>
        <w:jc w:val="both"/>
      </w:pPr>
      <w:r>
        <w:rPr>
          <w:rFonts w:ascii="Calibri" w:cs="Calibri" w:eastAsia="Calibri" w:hAnsi="Calibri"/>
          <w:color w:val="333333"/>
          <w:sz w:val="22"/>
          <w:szCs w:val="22"/>
        </w:rPr>
        <w:t xml:space="preserve">A comprehensive code scan of all target software assets using approved SCA tools to identify all open-source Components;</w:t>
      </w:r>
    </w:p>
    <w:p>
      <w:pPr>
        <w:pStyle w:val="ListParagraph"/>
        <w:numPr>
          <w:ilvl w:val="0"/>
          <w:numId w:val="2"/>
        </w:numPr>
        <w:spacing w:after="60" w:line="276"/>
        <w:jc w:val="both"/>
      </w:pPr>
      <w:r>
        <w:rPr>
          <w:rFonts w:ascii="Calibri" w:cs="Calibri" w:eastAsia="Calibri" w:hAnsi="Calibri"/>
          <w:color w:val="333333"/>
          <w:sz w:val="22"/>
          <w:szCs w:val="22"/>
        </w:rPr>
        <w:t xml:space="preserve">Verification of the target's open-source compliance program, policies, and historical compliance track record;</w:t>
      </w:r>
    </w:p>
    <w:p>
      <w:pPr>
        <w:pStyle w:val="ListParagraph"/>
        <w:numPr>
          <w:ilvl w:val="0"/>
          <w:numId w:val="2"/>
        </w:numPr>
        <w:spacing w:after="60" w:line="276"/>
        <w:jc w:val="both"/>
      </w:pPr>
      <w:r>
        <w:rPr>
          <w:rFonts w:ascii="Calibri" w:cs="Calibri" w:eastAsia="Calibri" w:hAnsi="Calibri"/>
          <w:color w:val="333333"/>
          <w:sz w:val="22"/>
          <w:szCs w:val="22"/>
        </w:rPr>
        <w:t xml:space="preserve">A complete SBOM for each target product and service, with license classification and obligation mapping;</w:t>
      </w:r>
    </w:p>
    <w:p>
      <w:pPr>
        <w:pStyle w:val="ListParagraph"/>
        <w:numPr>
          <w:ilvl w:val="0"/>
          <w:numId w:val="2"/>
        </w:numPr>
        <w:spacing w:after="60" w:line="276"/>
        <w:jc w:val="both"/>
      </w:pPr>
      <w:r>
        <w:rPr>
          <w:rFonts w:ascii="Calibri" w:cs="Calibri" w:eastAsia="Calibri" w:hAnsi="Calibri"/>
          <w:color w:val="333333"/>
          <w:sz w:val="22"/>
          <w:szCs w:val="22"/>
        </w:rPr>
        <w:t xml:space="preserve">Assessment of copyleft exposure, particularly any use of AGPL, GPL, or SSPL in SaaS or distributed products;</w:t>
      </w:r>
    </w:p>
    <w:p>
      <w:pPr>
        <w:pStyle w:val="ListParagraph"/>
        <w:numPr>
          <w:ilvl w:val="0"/>
          <w:numId w:val="2"/>
        </w:numPr>
        <w:spacing w:after="60" w:line="276"/>
        <w:jc w:val="both"/>
      </w:pPr>
      <w:r>
        <w:rPr>
          <w:rFonts w:ascii="Calibri" w:cs="Calibri" w:eastAsia="Calibri" w:hAnsi="Calibri"/>
          <w:color w:val="333333"/>
          <w:sz w:val="22"/>
          <w:szCs w:val="22"/>
        </w:rPr>
        <w:t xml:space="preserve">Identification of any open-source license disputes, claims, or known compliance gaps;</w:t>
      </w:r>
    </w:p>
    <w:p>
      <w:pPr>
        <w:pStyle w:val="ListParagraph"/>
        <w:numPr>
          <w:ilvl w:val="0"/>
          <w:numId w:val="2"/>
        </w:numPr>
        <w:spacing w:after="60" w:line="276"/>
        <w:jc w:val="both"/>
      </w:pPr>
      <w:r>
        <w:rPr>
          <w:rFonts w:ascii="Calibri" w:cs="Calibri" w:eastAsia="Calibri" w:hAnsi="Calibri"/>
          <w:color w:val="333333"/>
          <w:sz w:val="22"/>
          <w:szCs w:val="22"/>
        </w:rPr>
        <w:t xml:space="preserve">Review of the target's Contributions to external projects and any associated CLA/DCO commitments;</w:t>
      </w:r>
    </w:p>
    <w:p>
      <w:pPr>
        <w:pStyle w:val="ListParagraph"/>
        <w:numPr>
          <w:ilvl w:val="0"/>
          <w:numId w:val="2"/>
        </w:numPr>
        <w:spacing w:after="60" w:line="276"/>
        <w:jc w:val="both"/>
      </w:pPr>
      <w:r>
        <w:rPr>
          <w:rFonts w:ascii="Calibri" w:cs="Calibri" w:eastAsia="Calibri" w:hAnsi="Calibri"/>
          <w:color w:val="333333"/>
          <w:sz w:val="22"/>
          <w:szCs w:val="22"/>
        </w:rPr>
        <w:t xml:space="preserve">Review of the target's own Releases and associated governance, maintenance, and community obligations;</w:t>
      </w:r>
    </w:p>
    <w:p>
      <w:pPr>
        <w:pStyle w:val="ListParagraph"/>
        <w:numPr>
          <w:ilvl w:val="0"/>
          <w:numId w:val="2"/>
        </w:numPr>
        <w:spacing w:after="60" w:line="276"/>
        <w:jc w:val="both"/>
      </w:pPr>
      <w:r>
        <w:rPr>
          <w:rFonts w:ascii="Calibri" w:cs="Calibri" w:eastAsia="Calibri" w:hAnsi="Calibri"/>
          <w:color w:val="333333"/>
          <w:sz w:val="22"/>
          <w:szCs w:val="22"/>
        </w:rPr>
        <w:t xml:space="preserve">Assessment of the target's open-source Component inventory against the Company's Risk Tier framework and Prohibited List; and</w:t>
      </w:r>
    </w:p>
    <w:p>
      <w:pPr>
        <w:pStyle w:val="ListParagraph"/>
        <w:numPr>
          <w:ilvl w:val="0"/>
          <w:numId w:val="2"/>
        </w:numPr>
        <w:spacing w:after="60" w:line="276"/>
        <w:jc w:val="both"/>
      </w:pPr>
      <w:r>
        <w:rPr>
          <w:rFonts w:ascii="Calibri" w:cs="Calibri" w:eastAsia="Calibri" w:hAnsi="Calibri"/>
          <w:color w:val="333333"/>
          <w:sz w:val="22"/>
          <w:szCs w:val="22"/>
        </w:rPr>
        <w:t xml:space="preserve">A license-schedule deliverable (see Exhibit I) mapping each identified Component, its license, and the compliance obligations that the Company will assume post-closing.</w:t>
      </w:r>
    </w:p>
    <w:p>
      <w:pPr>
        <w:pStyle w:val="Heading2"/>
        <w:spacing w:after="120" w:before="240"/>
        <w:jc w:val="left"/>
      </w:pPr>
      <w:r>
        <w:rPr>
          <w:rFonts w:ascii="Calibri" w:cs="Calibri" w:eastAsia="Calibri" w:hAnsi="Calibri"/>
          <w:b/>
          <w:bCs/>
          <w:color w:val="1F3864"/>
          <w:sz w:val="24"/>
          <w:szCs w:val="24"/>
        </w:rPr>
        <w:t xml:space="preserve">13.2 Representations and Warranties</w:t>
      </w:r>
    </w:p>
    <w:p>
      <w:pPr>
        <w:spacing w:after="120" w:before="0" w:line="276"/>
        <w:jc w:val="both"/>
      </w:pPr>
      <w:r>
        <w:rPr>
          <w:rFonts w:ascii="Calibri" w:cs="Calibri" w:eastAsia="Calibri" w:hAnsi="Calibri"/>
          <w:b w:val="false"/>
          <w:bCs w:val="false"/>
          <w:i w:val="false"/>
          <w:iCs w:val="false"/>
          <w:color w:val="333333"/>
          <w:sz w:val="22"/>
          <w:szCs w:val="22"/>
        </w:rPr>
        <w:t xml:space="preserve">All acquisition agreements shall include representations and warranties from the seller/target regarding:</w:t>
      </w:r>
    </w:p>
    <w:p>
      <w:pPr>
        <w:pStyle w:val="ListParagraph"/>
        <w:numPr>
          <w:ilvl w:val="0"/>
          <w:numId w:val="2"/>
        </w:numPr>
        <w:spacing w:after="60" w:line="276"/>
        <w:jc w:val="both"/>
      </w:pPr>
      <w:r>
        <w:rPr>
          <w:rFonts w:ascii="Calibri" w:cs="Calibri" w:eastAsia="Calibri" w:hAnsi="Calibri"/>
          <w:color w:val="333333"/>
          <w:sz w:val="22"/>
          <w:szCs w:val="22"/>
        </w:rPr>
        <w:t xml:space="preserve">Complete and accurate disclosure of all open-source Components used in the target's products and services;</w:t>
      </w:r>
    </w:p>
    <w:p>
      <w:pPr>
        <w:pStyle w:val="ListParagraph"/>
        <w:numPr>
          <w:ilvl w:val="0"/>
          <w:numId w:val="2"/>
        </w:numPr>
        <w:spacing w:after="60" w:line="276"/>
        <w:jc w:val="both"/>
      </w:pPr>
      <w:r>
        <w:rPr>
          <w:rFonts w:ascii="Calibri" w:cs="Calibri" w:eastAsia="Calibri" w:hAnsi="Calibri"/>
          <w:color w:val="333333"/>
          <w:sz w:val="22"/>
          <w:szCs w:val="22"/>
        </w:rPr>
        <w:t xml:space="preserve">Compliance with all applicable open-source license terms and conditions;</w:t>
      </w:r>
    </w:p>
    <w:p>
      <w:pPr>
        <w:pStyle w:val="ListParagraph"/>
        <w:numPr>
          <w:ilvl w:val="0"/>
          <w:numId w:val="2"/>
        </w:numPr>
        <w:spacing w:after="60" w:line="276"/>
        <w:jc w:val="both"/>
      </w:pPr>
      <w:r>
        <w:rPr>
          <w:rFonts w:ascii="Calibri" w:cs="Calibri" w:eastAsia="Calibri" w:hAnsi="Calibri"/>
          <w:color w:val="333333"/>
          <w:sz w:val="22"/>
          <w:szCs w:val="22"/>
        </w:rPr>
        <w:t xml:space="preserve">Absence of undisclosed copyleft obligations that could encumber the target's proprietary code;</w:t>
      </w:r>
    </w:p>
    <w:p>
      <w:pPr>
        <w:pStyle w:val="ListParagraph"/>
        <w:numPr>
          <w:ilvl w:val="0"/>
          <w:numId w:val="2"/>
        </w:numPr>
        <w:spacing w:after="60" w:line="276"/>
        <w:jc w:val="both"/>
      </w:pPr>
      <w:r>
        <w:rPr>
          <w:rFonts w:ascii="Calibri" w:cs="Calibri" w:eastAsia="Calibri" w:hAnsi="Calibri"/>
          <w:color w:val="333333"/>
          <w:sz w:val="22"/>
          <w:szCs w:val="22"/>
        </w:rPr>
        <w:t xml:space="preserve">Absence of pending or threatened claims, disputes, or litigation related to open-source license compliance; and</w:t>
      </w:r>
    </w:p>
    <w:p>
      <w:pPr>
        <w:pStyle w:val="ListParagraph"/>
        <w:numPr>
          <w:ilvl w:val="0"/>
          <w:numId w:val="2"/>
        </w:numPr>
        <w:spacing w:after="60" w:line="276"/>
        <w:jc w:val="both"/>
      </w:pPr>
      <w:r>
        <w:rPr>
          <w:rFonts w:ascii="Calibri" w:cs="Calibri" w:eastAsia="Calibri" w:hAnsi="Calibri"/>
          <w:color w:val="333333"/>
          <w:sz w:val="22"/>
          <w:szCs w:val="22"/>
        </w:rPr>
        <w:t xml:space="preserve">The availability of all source code, build scripts, and notices required by applicable license obligations.</w:t>
      </w:r>
    </w:p>
    <w:p>
      <w:pPr>
        <w:pStyle w:val="Heading2"/>
        <w:spacing w:after="120" w:before="240"/>
        <w:jc w:val="left"/>
      </w:pPr>
      <w:r>
        <w:rPr>
          <w:rFonts w:ascii="Calibri" w:cs="Calibri" w:eastAsia="Calibri" w:hAnsi="Calibri"/>
          <w:b/>
          <w:bCs/>
          <w:color w:val="1F3864"/>
          <w:sz w:val="24"/>
          <w:szCs w:val="24"/>
        </w:rPr>
        <w:t xml:space="preserve">13.3 Vendor and Contractor Requirements</w:t>
      </w:r>
    </w:p>
    <w:p>
      <w:pPr>
        <w:spacing w:after="120" w:before="0" w:line="276"/>
        <w:jc w:val="both"/>
      </w:pPr>
      <w:r>
        <w:rPr>
          <w:rFonts w:ascii="Calibri" w:cs="Calibri" w:eastAsia="Calibri" w:hAnsi="Calibri"/>
          <w:b w:val="false"/>
          <w:bCs w:val="false"/>
          <w:i w:val="false"/>
          <w:iCs w:val="false"/>
          <w:color w:val="333333"/>
          <w:sz w:val="22"/>
          <w:szCs w:val="22"/>
        </w:rPr>
        <w:t xml:space="preserve">All agreements with vendors, contractors, and third-party developers who create, modify, or deliver software or code on behalf of the Company shall include:</w:t>
      </w:r>
    </w:p>
    <w:p>
      <w:pPr>
        <w:pStyle w:val="ListParagraph"/>
        <w:numPr>
          <w:ilvl w:val="0"/>
          <w:numId w:val="2"/>
        </w:numPr>
        <w:spacing w:after="60" w:line="276"/>
        <w:jc w:val="both"/>
      </w:pPr>
      <w:r>
        <w:rPr>
          <w:rFonts w:ascii="Calibri" w:cs="Calibri" w:eastAsia="Calibri" w:hAnsi="Calibri"/>
          <w:color w:val="333333"/>
          <w:sz w:val="22"/>
          <w:szCs w:val="22"/>
        </w:rPr>
        <w:t xml:space="preserve">A requirement to disclose all open-source Components incorporated in or used to develop the delivered work product, including transitive dependencies;</w:t>
      </w:r>
    </w:p>
    <w:p>
      <w:pPr>
        <w:pStyle w:val="ListParagraph"/>
        <w:numPr>
          <w:ilvl w:val="0"/>
          <w:numId w:val="2"/>
        </w:numPr>
        <w:spacing w:after="60" w:line="276"/>
        <w:jc w:val="both"/>
      </w:pPr>
      <w:r>
        <w:rPr>
          <w:rFonts w:ascii="Calibri" w:cs="Calibri" w:eastAsia="Calibri" w:hAnsi="Calibri"/>
          <w:color w:val="333333"/>
          <w:sz w:val="22"/>
          <w:szCs w:val="22"/>
        </w:rPr>
        <w:t xml:space="preserve">A requirement to provide a complete SBOM in SPDX or CycloneDX format with each delivery;</w:t>
      </w:r>
    </w:p>
    <w:p>
      <w:pPr>
        <w:pStyle w:val="ListParagraph"/>
        <w:numPr>
          <w:ilvl w:val="0"/>
          <w:numId w:val="2"/>
        </w:numPr>
        <w:spacing w:after="60" w:line="276"/>
        <w:jc w:val="both"/>
      </w:pPr>
      <w:r>
        <w:rPr>
          <w:rFonts w:ascii="Calibri" w:cs="Calibri" w:eastAsia="Calibri" w:hAnsi="Calibri"/>
          <w:color w:val="333333"/>
          <w:sz w:val="22"/>
          <w:szCs w:val="22"/>
        </w:rPr>
        <w:t xml:space="preserve">A requirement to comply with this Policy (or the Company's vendor-facing open-source requirements summary) with respect to all open-source Components in the delivered work product;</w:t>
      </w:r>
    </w:p>
    <w:p>
      <w:pPr>
        <w:pStyle w:val="ListParagraph"/>
        <w:numPr>
          <w:ilvl w:val="0"/>
          <w:numId w:val="2"/>
        </w:numPr>
        <w:spacing w:after="60" w:line="276"/>
        <w:jc w:val="both"/>
      </w:pPr>
      <w:r>
        <w:rPr>
          <w:rFonts w:ascii="Calibri" w:cs="Calibri" w:eastAsia="Calibri" w:hAnsi="Calibri"/>
          <w:color w:val="333333"/>
          <w:sz w:val="22"/>
          <w:szCs w:val="22"/>
        </w:rPr>
        <w:t xml:space="preserve">Representations and warranties regarding license compliance, provenance, and the absence of undisclosed copyleft obligations;</w:t>
      </w:r>
    </w:p>
    <w:p>
      <w:pPr>
        <w:pStyle w:val="ListParagraph"/>
        <w:numPr>
          <w:ilvl w:val="0"/>
          <w:numId w:val="2"/>
        </w:numPr>
        <w:spacing w:after="60" w:line="276"/>
        <w:jc w:val="both"/>
      </w:pPr>
      <w:r>
        <w:rPr>
          <w:rFonts w:ascii="Calibri" w:cs="Calibri" w:eastAsia="Calibri" w:hAnsi="Calibri"/>
          <w:color w:val="333333"/>
          <w:sz w:val="22"/>
          <w:szCs w:val="22"/>
        </w:rPr>
        <w:t xml:space="preserve">Indemnification obligations for losses arising from the vendor's failure to comply with open-source license requirements; and</w:t>
      </w:r>
    </w:p>
    <w:p>
      <w:pPr>
        <w:pStyle w:val="ListParagraph"/>
        <w:numPr>
          <w:ilvl w:val="0"/>
          <w:numId w:val="2"/>
        </w:numPr>
        <w:spacing w:after="60" w:line="276"/>
        <w:jc w:val="both"/>
      </w:pPr>
      <w:r>
        <w:rPr>
          <w:rFonts w:ascii="Calibri" w:cs="Calibri" w:eastAsia="Calibri" w:hAnsi="Calibri"/>
          <w:color w:val="333333"/>
          <w:sz w:val="22"/>
          <w:szCs w:val="22"/>
        </w:rPr>
        <w:t xml:space="preserve">Audit rights permitting the Company to scan, review, and verify the vendor's open-source compliance.</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14. INCIDENT PROCESS</w:t>
      </w:r>
    </w:p>
    <w:p>
      <w:pPr>
        <w:pStyle w:val="Heading2"/>
        <w:spacing w:after="120" w:before="240"/>
        <w:jc w:val="left"/>
      </w:pPr>
      <w:r>
        <w:rPr>
          <w:rFonts w:ascii="Calibri" w:cs="Calibri" w:eastAsia="Calibri" w:hAnsi="Calibri"/>
          <w:b/>
          <w:bCs/>
          <w:color w:val="1F3864"/>
          <w:sz w:val="24"/>
          <w:szCs w:val="24"/>
        </w:rPr>
        <w:t xml:space="preserve">14.1 Triggering Events</w:t>
      </w:r>
    </w:p>
    <w:p>
      <w:pPr>
        <w:spacing w:after="120" w:before="0" w:line="276"/>
        <w:jc w:val="both"/>
      </w:pPr>
      <w:r>
        <w:rPr>
          <w:rFonts w:ascii="Calibri" w:cs="Calibri" w:eastAsia="Calibri" w:hAnsi="Calibri"/>
          <w:b w:val="false"/>
          <w:bCs w:val="false"/>
          <w:i w:val="false"/>
          <w:iCs w:val="false"/>
          <w:color w:val="333333"/>
          <w:sz w:val="22"/>
          <w:szCs w:val="22"/>
        </w:rPr>
        <w:t xml:space="preserve">The following events shall be treated as open-source incidents requiring activation of this Section 14:</w:t>
      </w:r>
    </w:p>
    <w:p>
      <w:pPr>
        <w:pStyle w:val="ListParagraph"/>
        <w:numPr>
          <w:ilvl w:val="0"/>
          <w:numId w:val="2"/>
        </w:numPr>
        <w:spacing w:after="60" w:line="276"/>
        <w:jc w:val="both"/>
      </w:pPr>
      <w:r>
        <w:rPr>
          <w:rFonts w:ascii="Calibri" w:cs="Calibri" w:eastAsia="Calibri" w:hAnsi="Calibri"/>
          <w:color w:val="333333"/>
          <w:sz w:val="22"/>
          <w:szCs w:val="22"/>
        </w:rPr>
        <w:t xml:space="preserve">Receipt of a license-compliance inquiry, demand letter, or legal claim from an open-source licensor, foundation, or enforcement organization;</w:t>
      </w:r>
    </w:p>
    <w:p>
      <w:pPr>
        <w:pStyle w:val="ListParagraph"/>
        <w:numPr>
          <w:ilvl w:val="0"/>
          <w:numId w:val="2"/>
        </w:numPr>
        <w:spacing w:after="60" w:line="276"/>
        <w:jc w:val="both"/>
      </w:pPr>
      <w:r>
        <w:rPr>
          <w:rFonts w:ascii="Calibri" w:cs="Calibri" w:eastAsia="Calibri" w:hAnsi="Calibri"/>
          <w:color w:val="333333"/>
          <w:sz w:val="22"/>
          <w:szCs w:val="22"/>
        </w:rPr>
        <w:t xml:space="preserve">Discovery of an unapproved Component in production, released, or customer-facing code;</w:t>
      </w:r>
    </w:p>
    <w:p>
      <w:pPr>
        <w:pStyle w:val="ListParagraph"/>
        <w:numPr>
          <w:ilvl w:val="0"/>
          <w:numId w:val="2"/>
        </w:numPr>
        <w:spacing w:after="60" w:line="276"/>
        <w:jc w:val="both"/>
      </w:pPr>
      <w:r>
        <w:rPr>
          <w:rFonts w:ascii="Calibri" w:cs="Calibri" w:eastAsia="Calibri" w:hAnsi="Calibri"/>
          <w:color w:val="333333"/>
          <w:sz w:val="22"/>
          <w:szCs w:val="22"/>
        </w:rPr>
        <w:t xml:space="preserve">Discovery that a required notice, attribution, source-code package, or written offer is missing, incomplete, or inaccurate in a released product;</w:t>
      </w:r>
    </w:p>
    <w:p>
      <w:pPr>
        <w:pStyle w:val="ListParagraph"/>
        <w:numPr>
          <w:ilvl w:val="0"/>
          <w:numId w:val="2"/>
        </w:numPr>
        <w:spacing w:after="60" w:line="276"/>
        <w:jc w:val="both"/>
      </w:pPr>
      <w:r>
        <w:rPr>
          <w:rFonts w:ascii="Calibri" w:cs="Calibri" w:eastAsia="Calibri" w:hAnsi="Calibri"/>
          <w:color w:val="333333"/>
          <w:sz w:val="22"/>
          <w:szCs w:val="22"/>
        </w:rPr>
        <w:t xml:space="preserve">Discovery that a copyleft-licensed Component has been combined with Company proprietary code in a manner that triggers source-disclosure obligations not previously assessed or authorized;</w:t>
      </w:r>
    </w:p>
    <w:p>
      <w:pPr>
        <w:pStyle w:val="ListParagraph"/>
        <w:numPr>
          <w:ilvl w:val="0"/>
          <w:numId w:val="2"/>
        </w:numPr>
        <w:spacing w:after="60" w:line="276"/>
        <w:jc w:val="both"/>
      </w:pPr>
      <w:r>
        <w:rPr>
          <w:rFonts w:ascii="Calibri" w:cs="Calibri" w:eastAsia="Calibri" w:hAnsi="Calibri"/>
          <w:color w:val="333333"/>
          <w:sz w:val="22"/>
          <w:szCs w:val="22"/>
        </w:rPr>
        <w:t xml:space="preserve">Discovery that an AI-assisted coding tool generated code that is substantially similar to open-source code and was incorporated without license compliance;</w:t>
      </w:r>
    </w:p>
    <w:p>
      <w:pPr>
        <w:pStyle w:val="ListParagraph"/>
        <w:numPr>
          <w:ilvl w:val="0"/>
          <w:numId w:val="2"/>
        </w:numPr>
        <w:spacing w:after="60" w:line="276"/>
        <w:jc w:val="both"/>
      </w:pPr>
      <w:r>
        <w:rPr>
          <w:rFonts w:ascii="Calibri" w:cs="Calibri" w:eastAsia="Calibri" w:hAnsi="Calibri"/>
          <w:color w:val="333333"/>
          <w:sz w:val="22"/>
          <w:szCs w:val="22"/>
        </w:rPr>
        <w:t xml:space="preserve">Compromise, hijacking, or malicious modification of a Component in the Company's dependency tree;</w:t>
      </w:r>
    </w:p>
    <w:p>
      <w:pPr>
        <w:pStyle w:val="ListParagraph"/>
        <w:numPr>
          <w:ilvl w:val="0"/>
          <w:numId w:val="2"/>
        </w:numPr>
        <w:spacing w:after="60" w:line="276"/>
        <w:jc w:val="both"/>
      </w:pPr>
      <w:r>
        <w:rPr>
          <w:rFonts w:ascii="Calibri" w:cs="Calibri" w:eastAsia="Calibri" w:hAnsi="Calibri"/>
          <w:color w:val="333333"/>
          <w:sz w:val="22"/>
          <w:szCs w:val="22"/>
        </w:rPr>
        <w:t xml:space="preserve">Discovery of a critical zero-day vulnerability in a widely-deployed Component; and</w:t>
      </w:r>
    </w:p>
    <w:p>
      <w:pPr>
        <w:pStyle w:val="ListParagraph"/>
        <w:numPr>
          <w:ilvl w:val="0"/>
          <w:numId w:val="2"/>
        </w:numPr>
        <w:spacing w:after="60" w:line="276"/>
        <w:jc w:val="both"/>
      </w:pPr>
      <w:r>
        <w:rPr>
          <w:rFonts w:ascii="Calibri" w:cs="Calibri" w:eastAsia="Calibri" w:hAnsi="Calibri"/>
          <w:color w:val="333333"/>
          <w:sz w:val="22"/>
          <w:szCs w:val="22"/>
        </w:rPr>
        <w:t xml:space="preserve">Any event that could result in the Company's obligation to release proprietary source code under a copyleft license.</w:t>
      </w:r>
    </w:p>
    <w:p>
      <w:pPr>
        <w:pStyle w:val="Heading2"/>
        <w:spacing w:after="120" w:before="240"/>
        <w:jc w:val="left"/>
      </w:pPr>
      <w:r>
        <w:rPr>
          <w:rFonts w:ascii="Calibri" w:cs="Calibri" w:eastAsia="Calibri" w:hAnsi="Calibri"/>
          <w:b/>
          <w:bCs/>
          <w:color w:val="1F3864"/>
          <w:sz w:val="24"/>
          <w:szCs w:val="24"/>
        </w:rPr>
        <w:t xml:space="preserve">14.2 Immediate Response Actions</w:t>
      </w:r>
    </w:p>
    <w:p>
      <w:pPr>
        <w:spacing w:after="120" w:before="0" w:line="276"/>
        <w:jc w:val="both"/>
      </w:pPr>
      <w:r>
        <w:rPr>
          <w:rFonts w:ascii="Calibri" w:cs="Calibri" w:eastAsia="Calibri" w:hAnsi="Calibri"/>
          <w:b w:val="false"/>
          <w:bCs w:val="false"/>
          <w:i w:val="false"/>
          <w:iCs w:val="false"/>
          <w:color w:val="333333"/>
          <w:sz w:val="22"/>
          <w:szCs w:val="22"/>
        </w:rPr>
        <w:t xml:space="preserve">Upon identification of an open-source incident, the following actions shall be taken immediately:</w:t>
      </w:r>
    </w:p>
    <w:p>
      <w:pPr>
        <w:pStyle w:val="ListParagraph"/>
        <w:numPr>
          <w:ilvl w:val="0"/>
          <w:numId w:val="3"/>
        </w:numPr>
        <w:spacing w:after="80" w:line="276"/>
        <w:jc w:val="both"/>
      </w:pPr>
      <w:r>
        <w:rPr>
          <w:rFonts w:ascii="Calibri" w:cs="Calibri" w:eastAsia="Calibri" w:hAnsi="Calibri"/>
          <w:b/>
          <w:bCs/>
          <w:color w:val="333333"/>
          <w:sz w:val="22"/>
          <w:szCs w:val="22"/>
        </w:rPr>
        <w:t xml:space="preserve">Release Hold: </w:t>
      </w:r>
      <w:r>
        <w:rPr>
          <w:rFonts w:ascii="Calibri" w:cs="Calibri" w:eastAsia="Calibri" w:hAnsi="Calibri"/>
          <w:color w:val="333333"/>
          <w:sz w:val="22"/>
          <w:szCs w:val="22"/>
        </w:rPr>
        <w:t xml:space="preserve">The Release Manager shall place an immediate hold on any pending or in-progress releases that may be affected by the incident, pending investigation and resolution;</w:t>
      </w:r>
    </w:p>
    <w:p>
      <w:pPr>
        <w:pStyle w:val="ListParagraph"/>
        <w:numPr>
          <w:ilvl w:val="0"/>
          <w:numId w:val="3"/>
        </w:numPr>
        <w:spacing w:after="80" w:line="276"/>
        <w:jc w:val="both"/>
      </w:pPr>
      <w:r>
        <w:rPr>
          <w:rFonts w:ascii="Calibri" w:cs="Calibri" w:eastAsia="Calibri" w:hAnsi="Calibri"/>
          <w:b/>
          <w:bCs/>
          <w:color w:val="333333"/>
          <w:sz w:val="22"/>
          <w:szCs w:val="22"/>
        </w:rPr>
        <w:t xml:space="preserve">Evidence Preservation: </w:t>
      </w:r>
      <w:r>
        <w:rPr>
          <w:rFonts w:ascii="Calibri" w:cs="Calibri" w:eastAsia="Calibri" w:hAnsi="Calibri"/>
          <w:color w:val="333333"/>
          <w:sz w:val="22"/>
          <w:szCs w:val="22"/>
        </w:rPr>
        <w:t xml:space="preserve">All relevant artifacts, logs, SBOM snapshots, build outputs, scanner results, repository histories, and communications shall be preserved in their current state. No evidence shall be deleted, modified, or overwritten during the pendency of the investigation;</w:t>
      </w:r>
    </w:p>
    <w:p>
      <w:pPr>
        <w:pStyle w:val="ListParagraph"/>
        <w:numPr>
          <w:ilvl w:val="0"/>
          <w:numId w:val="3"/>
        </w:numPr>
        <w:spacing w:after="80" w:line="276"/>
        <w:jc w:val="both"/>
      </w:pPr>
      <w:r>
        <w:rPr>
          <w:rFonts w:ascii="Calibri" w:cs="Calibri" w:eastAsia="Calibri" w:hAnsi="Calibri"/>
          <w:b/>
          <w:bCs/>
          <w:color w:val="333333"/>
          <w:sz w:val="22"/>
          <w:szCs w:val="22"/>
        </w:rPr>
        <w:t xml:space="preserve">Notification: </w:t>
      </w:r>
      <w:r>
        <w:rPr>
          <w:rFonts w:ascii="Calibri" w:cs="Calibri" w:eastAsia="Calibri" w:hAnsi="Calibri"/>
          <w:color w:val="333333"/>
          <w:sz w:val="22"/>
          <w:szCs w:val="22"/>
        </w:rPr>
        <w:t xml:space="preserve">The OSRB Chair, Legal Counsel, and Security Lead shall be notified immediately. For incidents involving external legal claims, the General Counsel shall be notified;</w:t>
      </w:r>
    </w:p>
    <w:p>
      <w:pPr>
        <w:pStyle w:val="ListParagraph"/>
        <w:numPr>
          <w:ilvl w:val="0"/>
          <w:numId w:val="3"/>
        </w:numPr>
        <w:spacing w:after="80" w:line="276"/>
        <w:jc w:val="both"/>
      </w:pPr>
      <w:r>
        <w:rPr>
          <w:rFonts w:ascii="Calibri" w:cs="Calibri" w:eastAsia="Calibri" w:hAnsi="Calibri"/>
          <w:b/>
          <w:bCs/>
          <w:color w:val="333333"/>
          <w:sz w:val="22"/>
          <w:szCs w:val="22"/>
        </w:rPr>
        <w:t xml:space="preserve">Scope Assessment: </w:t>
      </w:r>
      <w:r>
        <w:rPr>
          <w:rFonts w:ascii="Calibri" w:cs="Calibri" w:eastAsia="Calibri" w:hAnsi="Calibri"/>
          <w:color w:val="333333"/>
          <w:sz w:val="22"/>
          <w:szCs w:val="22"/>
        </w:rPr>
        <w:t xml:space="preserve">The OSRB shall conduct an initial assessment to determine the scope and severity of the incident, including identification of all affected products, releases, builds, customers, and partners;</w:t>
      </w:r>
    </w:p>
    <w:p>
      <w:pPr>
        <w:pStyle w:val="ListParagraph"/>
        <w:numPr>
          <w:ilvl w:val="0"/>
          <w:numId w:val="3"/>
        </w:numPr>
        <w:spacing w:after="80" w:line="276"/>
        <w:jc w:val="both"/>
      </w:pPr>
      <w:r>
        <w:rPr>
          <w:rFonts w:ascii="Calibri" w:cs="Calibri" w:eastAsia="Calibri" w:hAnsi="Calibri"/>
          <w:b/>
          <w:bCs/>
          <w:color w:val="333333"/>
          <w:sz w:val="22"/>
          <w:szCs w:val="22"/>
        </w:rPr>
        <w:t xml:space="preserve">Affected-Build Tracing: </w:t>
      </w:r>
      <w:r>
        <w:rPr>
          <w:rFonts w:ascii="Calibri" w:cs="Calibri" w:eastAsia="Calibri" w:hAnsi="Calibri"/>
          <w:color w:val="333333"/>
          <w:sz w:val="22"/>
          <w:szCs w:val="22"/>
        </w:rPr>
        <w:t xml:space="preserve">Using SBOM records and build logs, the OSRB shall trace all builds, releases, and deployments that include the affected Component(s) and determine the full blast radius of the incident; and</w:t>
      </w:r>
    </w:p>
    <w:p>
      <w:pPr>
        <w:pStyle w:val="ListParagraph"/>
        <w:numPr>
          <w:ilvl w:val="0"/>
          <w:numId w:val="3"/>
        </w:numPr>
        <w:spacing w:after="80" w:line="276"/>
        <w:jc w:val="both"/>
      </w:pPr>
      <w:r>
        <w:rPr>
          <w:rFonts w:ascii="Calibri" w:cs="Calibri" w:eastAsia="Calibri" w:hAnsi="Calibri"/>
          <w:b/>
          <w:bCs/>
          <w:color w:val="333333"/>
          <w:sz w:val="22"/>
          <w:szCs w:val="22"/>
        </w:rPr>
        <w:t xml:space="preserve">Containment: </w:t>
      </w:r>
      <w:r>
        <w:rPr>
          <w:rFonts w:ascii="Calibri" w:cs="Calibri" w:eastAsia="Calibri" w:hAnsi="Calibri"/>
          <w:color w:val="333333"/>
          <w:sz w:val="22"/>
          <w:szCs w:val="22"/>
        </w:rPr>
        <w:t xml:space="preserve">The OSRB shall determine and implement appropriate containment measures, which may include removing the Component from future builds, issuing a patch or update, recalling or replacing affected releases, or providing retroactive compliance (e.g., publishing missing notices or source code).</w:t>
      </w:r>
    </w:p>
    <w:p>
      <w:pPr>
        <w:pStyle w:val="Heading2"/>
        <w:spacing w:after="120" w:before="240"/>
        <w:jc w:val="left"/>
      </w:pPr>
      <w:r>
        <w:rPr>
          <w:rFonts w:ascii="Calibri" w:cs="Calibri" w:eastAsia="Calibri" w:hAnsi="Calibri"/>
          <w:b/>
          <w:bCs/>
          <w:color w:val="1F3864"/>
          <w:sz w:val="24"/>
          <w:szCs w:val="24"/>
        </w:rPr>
        <w:t xml:space="preserve">14.3 Investigation and Resolution</w:t>
      </w:r>
    </w:p>
    <w:p>
      <w:pPr>
        <w:spacing w:after="120" w:before="0" w:line="276"/>
        <w:jc w:val="both"/>
      </w:pPr>
      <w:r>
        <w:rPr>
          <w:rFonts w:ascii="Calibri" w:cs="Calibri" w:eastAsia="Calibri" w:hAnsi="Calibri"/>
          <w:b w:val="false"/>
          <w:bCs w:val="false"/>
          <w:i w:val="false"/>
          <w:iCs w:val="false"/>
          <w:color w:val="333333"/>
          <w:sz w:val="22"/>
          <w:szCs w:val="22"/>
        </w:rPr>
        <w:t xml:space="preserve">Following immediate response, the OSRB shall conduct a thorough investigation to determine the root cause of the incident, assess the legal and operational impact, and develop a remediation plan. The investigation record shall document:</w:t>
      </w:r>
    </w:p>
    <w:p>
      <w:pPr>
        <w:pStyle w:val="ListParagraph"/>
        <w:numPr>
          <w:ilvl w:val="0"/>
          <w:numId w:val="2"/>
        </w:numPr>
        <w:spacing w:after="60" w:line="276"/>
        <w:jc w:val="both"/>
      </w:pPr>
      <w:r>
        <w:rPr>
          <w:rFonts w:ascii="Calibri" w:cs="Calibri" w:eastAsia="Calibri" w:hAnsi="Calibri"/>
          <w:color w:val="333333"/>
          <w:sz w:val="22"/>
          <w:szCs w:val="22"/>
        </w:rPr>
        <w:t xml:space="preserve">Timeline of events leading to the incident;</w:t>
      </w:r>
    </w:p>
    <w:p>
      <w:pPr>
        <w:pStyle w:val="ListParagraph"/>
        <w:numPr>
          <w:ilvl w:val="0"/>
          <w:numId w:val="2"/>
        </w:numPr>
        <w:spacing w:after="60" w:line="276"/>
        <w:jc w:val="both"/>
      </w:pPr>
      <w:r>
        <w:rPr>
          <w:rFonts w:ascii="Calibri" w:cs="Calibri" w:eastAsia="Calibri" w:hAnsi="Calibri"/>
          <w:color w:val="333333"/>
          <w:sz w:val="22"/>
          <w:szCs w:val="22"/>
        </w:rPr>
        <w:t xml:space="preserve">Root cause (process failure, tool gap, human error, malicious action, etc.);</w:t>
      </w:r>
    </w:p>
    <w:p>
      <w:pPr>
        <w:pStyle w:val="ListParagraph"/>
        <w:numPr>
          <w:ilvl w:val="0"/>
          <w:numId w:val="2"/>
        </w:numPr>
        <w:spacing w:after="60" w:line="276"/>
        <w:jc w:val="both"/>
      </w:pPr>
      <w:r>
        <w:rPr>
          <w:rFonts w:ascii="Calibri" w:cs="Calibri" w:eastAsia="Calibri" w:hAnsi="Calibri"/>
          <w:color w:val="333333"/>
          <w:sz w:val="22"/>
          <w:szCs w:val="22"/>
        </w:rPr>
        <w:t xml:space="preserve">Complete list of affected products, releases, builds, and customers;</w:t>
      </w:r>
    </w:p>
    <w:p>
      <w:pPr>
        <w:pStyle w:val="ListParagraph"/>
        <w:numPr>
          <w:ilvl w:val="0"/>
          <w:numId w:val="2"/>
        </w:numPr>
        <w:spacing w:after="60" w:line="276"/>
        <w:jc w:val="both"/>
      </w:pPr>
      <w:r>
        <w:rPr>
          <w:rFonts w:ascii="Calibri" w:cs="Calibri" w:eastAsia="Calibri" w:hAnsi="Calibri"/>
          <w:color w:val="333333"/>
          <w:sz w:val="22"/>
          <w:szCs w:val="22"/>
        </w:rPr>
        <w:t xml:space="preserve">Legal analysis of the Company's exposure, obligations, and potential liability;</w:t>
      </w:r>
    </w:p>
    <w:p>
      <w:pPr>
        <w:pStyle w:val="ListParagraph"/>
        <w:numPr>
          <w:ilvl w:val="0"/>
          <w:numId w:val="2"/>
        </w:numPr>
        <w:spacing w:after="60" w:line="276"/>
        <w:jc w:val="both"/>
      </w:pPr>
      <w:r>
        <w:rPr>
          <w:rFonts w:ascii="Calibri" w:cs="Calibri" w:eastAsia="Calibri" w:hAnsi="Calibri"/>
          <w:color w:val="333333"/>
          <w:sz w:val="22"/>
          <w:szCs w:val="22"/>
        </w:rPr>
        <w:t xml:space="preserve">Remediation actions taken and their effectiveness; and</w:t>
      </w:r>
    </w:p>
    <w:p>
      <w:pPr>
        <w:pStyle w:val="ListParagraph"/>
        <w:numPr>
          <w:ilvl w:val="0"/>
          <w:numId w:val="2"/>
        </w:numPr>
        <w:spacing w:after="60" w:line="276"/>
        <w:jc w:val="both"/>
      </w:pPr>
      <w:r>
        <w:rPr>
          <w:rFonts w:ascii="Calibri" w:cs="Calibri" w:eastAsia="Calibri" w:hAnsi="Calibri"/>
          <w:color w:val="333333"/>
          <w:sz w:val="22"/>
          <w:szCs w:val="22"/>
        </w:rPr>
        <w:t xml:space="preserve">Lessons learned and recommendations for Policy, process, or tooling improvements.</w:t>
      </w:r>
    </w:p>
    <w:p>
      <w:pPr>
        <w:pStyle w:val="Heading2"/>
        <w:spacing w:after="120" w:before="240"/>
        <w:jc w:val="left"/>
      </w:pPr>
      <w:r>
        <w:rPr>
          <w:rFonts w:ascii="Calibri" w:cs="Calibri" w:eastAsia="Calibri" w:hAnsi="Calibri"/>
          <w:b/>
          <w:bCs/>
          <w:color w:val="1F3864"/>
          <w:sz w:val="24"/>
          <w:szCs w:val="24"/>
        </w:rPr>
        <w:t xml:space="preserve">14.4 Post-Incident Review</w:t>
      </w:r>
    </w:p>
    <w:p>
      <w:pPr>
        <w:spacing w:after="120" w:before="0" w:line="276"/>
        <w:jc w:val="both"/>
      </w:pPr>
      <w:r>
        <w:rPr>
          <w:rFonts w:ascii="Calibri" w:cs="Calibri" w:eastAsia="Calibri" w:hAnsi="Calibri"/>
          <w:b w:val="false"/>
          <w:bCs w:val="false"/>
          <w:i w:val="false"/>
          <w:iCs w:val="false"/>
          <w:color w:val="333333"/>
          <w:sz w:val="22"/>
          <w:szCs w:val="22"/>
        </w:rPr>
        <w:t xml:space="preserve">Within [30] days of incident resolution, the OSRB shall conduct a post-incident review to evaluate the effectiveness of the response, identify systemic issues, and implement corrective actions. Findings and corrective actions shall be reported to [CTO / GENERAL COUNSEL / BOARD AUDIT COMMITTEE] as appropriate.</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15. TRAINING, EXCEPTIONS, METRICS, AND ENFORCEMENT</w:t>
      </w:r>
    </w:p>
    <w:p>
      <w:pPr>
        <w:pStyle w:val="Heading2"/>
        <w:spacing w:after="120" w:before="240"/>
        <w:jc w:val="left"/>
      </w:pPr>
      <w:r>
        <w:rPr>
          <w:rFonts w:ascii="Calibri" w:cs="Calibri" w:eastAsia="Calibri" w:hAnsi="Calibri"/>
          <w:b/>
          <w:bCs/>
          <w:color w:val="1F3864"/>
          <w:sz w:val="24"/>
          <w:szCs w:val="24"/>
        </w:rPr>
        <w:t xml:space="preserve">15.1 Exceptions</w:t>
      </w:r>
    </w:p>
    <w:p>
      <w:pPr>
        <w:spacing w:after="120" w:before="0" w:line="276"/>
        <w:jc w:val="both"/>
      </w:pPr>
      <w:r>
        <w:rPr>
          <w:rFonts w:ascii="Calibri" w:cs="Calibri" w:eastAsia="Calibri" w:hAnsi="Calibri"/>
          <w:b w:val="false"/>
          <w:bCs w:val="false"/>
          <w:i w:val="false"/>
          <w:iCs w:val="false"/>
          <w:color w:val="333333"/>
          <w:sz w:val="22"/>
          <w:szCs w:val="22"/>
        </w:rPr>
        <w:t xml:space="preserve">Time-limited exceptions to any requirement of this Policy may be granted only by the OSRB, subject to the following conditions:</w:t>
      </w:r>
    </w:p>
    <w:p>
      <w:pPr>
        <w:pStyle w:val="ListParagraph"/>
        <w:numPr>
          <w:ilvl w:val="0"/>
          <w:numId w:val="2"/>
        </w:numPr>
        <w:spacing w:after="60" w:line="276"/>
        <w:jc w:val="both"/>
      </w:pPr>
      <w:r>
        <w:rPr>
          <w:rFonts w:ascii="Calibri" w:cs="Calibri" w:eastAsia="Calibri" w:hAnsi="Calibri"/>
          <w:b/>
          <w:bCs/>
          <w:color w:val="333333"/>
          <w:sz w:val="22"/>
          <w:szCs w:val="22"/>
        </w:rPr>
        <w:t xml:space="preserve">Written Request: </w:t>
      </w:r>
      <w:r>
        <w:rPr>
          <w:rFonts w:ascii="Calibri" w:cs="Calibri" w:eastAsia="Calibri" w:hAnsi="Calibri"/>
          <w:color w:val="333333"/>
          <w:sz w:val="22"/>
          <w:szCs w:val="22"/>
        </w:rPr>
        <w:t xml:space="preserve">The requesting Personnel or team shall submit an Exception Request Form (Exhibit G) to the OSRB, documenting the specific Policy requirement for which an exception is sought, the business justification, the proposed compensating controls, and the requested duration;</w:t>
      </w:r>
    </w:p>
    <w:p>
      <w:pPr>
        <w:pStyle w:val="ListParagraph"/>
        <w:numPr>
          <w:ilvl w:val="0"/>
          <w:numId w:val="2"/>
        </w:numPr>
        <w:spacing w:after="60" w:line="276"/>
        <w:jc w:val="both"/>
      </w:pPr>
      <w:r>
        <w:rPr>
          <w:rFonts w:ascii="Calibri" w:cs="Calibri" w:eastAsia="Calibri" w:hAnsi="Calibri"/>
          <w:b/>
          <w:bCs/>
          <w:color w:val="333333"/>
          <w:sz w:val="22"/>
          <w:szCs w:val="22"/>
        </w:rPr>
        <w:t xml:space="preserve">Risk Assessment: </w:t>
      </w:r>
      <w:r>
        <w:rPr>
          <w:rFonts w:ascii="Calibri" w:cs="Calibri" w:eastAsia="Calibri" w:hAnsi="Calibri"/>
          <w:color w:val="333333"/>
          <w:sz w:val="22"/>
          <w:szCs w:val="22"/>
        </w:rPr>
        <w:t xml:space="preserve">The OSRB shall conduct a risk assessment evaluating the legal, security, operational, and reputational risks of granting the exception;</w:t>
      </w:r>
    </w:p>
    <w:p>
      <w:pPr>
        <w:pStyle w:val="ListParagraph"/>
        <w:numPr>
          <w:ilvl w:val="0"/>
          <w:numId w:val="2"/>
        </w:numPr>
        <w:spacing w:after="60" w:line="276"/>
        <w:jc w:val="both"/>
      </w:pPr>
      <w:r>
        <w:rPr>
          <w:rFonts w:ascii="Calibri" w:cs="Calibri" w:eastAsia="Calibri" w:hAnsi="Calibri"/>
          <w:b/>
          <w:bCs/>
          <w:color w:val="333333"/>
          <w:sz w:val="22"/>
          <w:szCs w:val="22"/>
        </w:rPr>
        <w:t xml:space="preserve">Compensating Controls: </w:t>
      </w:r>
      <w:r>
        <w:rPr>
          <w:rFonts w:ascii="Calibri" w:cs="Calibri" w:eastAsia="Calibri" w:hAnsi="Calibri"/>
          <w:color w:val="333333"/>
          <w:sz w:val="22"/>
          <w:szCs w:val="22"/>
        </w:rPr>
        <w:t xml:space="preserve">The OSRB shall require implementation of compensating controls sufficient to mitigate the risks identified in the risk assessment;</w:t>
      </w:r>
    </w:p>
    <w:p>
      <w:pPr>
        <w:pStyle w:val="ListParagraph"/>
        <w:numPr>
          <w:ilvl w:val="0"/>
          <w:numId w:val="2"/>
        </w:numPr>
        <w:spacing w:after="60" w:line="276"/>
        <w:jc w:val="both"/>
      </w:pPr>
      <w:r>
        <w:rPr>
          <w:rFonts w:ascii="Calibri" w:cs="Calibri" w:eastAsia="Calibri" w:hAnsi="Calibri"/>
          <w:b/>
          <w:bCs/>
          <w:color w:val="333333"/>
          <w:sz w:val="22"/>
          <w:szCs w:val="22"/>
        </w:rPr>
        <w:t xml:space="preserve">Time Limit: </w:t>
      </w:r>
      <w:r>
        <w:rPr>
          <w:rFonts w:ascii="Calibri" w:cs="Calibri" w:eastAsia="Calibri" w:hAnsi="Calibri"/>
          <w:color w:val="333333"/>
          <w:sz w:val="22"/>
          <w:szCs w:val="22"/>
        </w:rPr>
        <w:t xml:space="preserve">All exceptions shall have a defined expiration date not to exceed [90 / 180] days. Exceptions may be renewed through a new request and review cycle, but shall not be renewed indefinitely without a remediation plan;</w:t>
      </w:r>
    </w:p>
    <w:p>
      <w:pPr>
        <w:pStyle w:val="ListParagraph"/>
        <w:numPr>
          <w:ilvl w:val="0"/>
          <w:numId w:val="2"/>
        </w:numPr>
        <w:spacing w:after="60" w:line="276"/>
        <w:jc w:val="both"/>
      </w:pPr>
      <w:r>
        <w:rPr>
          <w:rFonts w:ascii="Calibri" w:cs="Calibri" w:eastAsia="Calibri" w:hAnsi="Calibri"/>
          <w:b/>
          <w:bCs/>
          <w:color w:val="333333"/>
          <w:sz w:val="22"/>
          <w:szCs w:val="22"/>
        </w:rPr>
        <w:t xml:space="preserve">Documentation: </w:t>
      </w:r>
      <w:r>
        <w:rPr>
          <w:rFonts w:ascii="Calibri" w:cs="Calibri" w:eastAsia="Calibri" w:hAnsi="Calibri"/>
          <w:color w:val="333333"/>
          <w:sz w:val="22"/>
          <w:szCs w:val="22"/>
        </w:rPr>
        <w:t xml:space="preserve">All granted exceptions shall be recorded in the Exception Register, which shall track the exception scope, conditions, compensating controls, expiration date, renewal history, and responsible Personnel; and</w:t>
      </w:r>
    </w:p>
    <w:p>
      <w:pPr>
        <w:pStyle w:val="ListParagraph"/>
        <w:numPr>
          <w:ilvl w:val="0"/>
          <w:numId w:val="2"/>
        </w:numPr>
        <w:spacing w:after="60" w:line="276"/>
        <w:jc w:val="both"/>
      </w:pPr>
      <w:r>
        <w:rPr>
          <w:rFonts w:ascii="Calibri" w:cs="Calibri" w:eastAsia="Calibri" w:hAnsi="Calibri"/>
          <w:b/>
          <w:bCs/>
          <w:color w:val="333333"/>
          <w:sz w:val="22"/>
          <w:szCs w:val="22"/>
        </w:rPr>
        <w:t xml:space="preserve">Audit: </w:t>
      </w:r>
      <w:r>
        <w:rPr>
          <w:rFonts w:ascii="Calibri" w:cs="Calibri" w:eastAsia="Calibri" w:hAnsi="Calibri"/>
          <w:color w:val="333333"/>
          <w:sz w:val="22"/>
          <w:szCs w:val="22"/>
        </w:rPr>
        <w:t xml:space="preserve">The Exception Register shall be reviewed by the OSRB [MONTHLY / QUARTERLY] to identify expired exceptions, overdue remediations, and trends.</w:t>
      </w:r>
    </w:p>
    <w:p>
      <w:pPr>
        <w:pStyle w:val="Heading2"/>
        <w:spacing w:after="120" w:before="240"/>
        <w:jc w:val="left"/>
      </w:pPr>
      <w:r>
        <w:rPr>
          <w:rFonts w:ascii="Calibri" w:cs="Calibri" w:eastAsia="Calibri" w:hAnsi="Calibri"/>
          <w:b/>
          <w:bCs/>
          <w:color w:val="1F3864"/>
          <w:sz w:val="24"/>
          <w:szCs w:val="24"/>
        </w:rPr>
        <w:t xml:space="preserve">15.2 Tracking and Metrics</w:t>
      </w:r>
    </w:p>
    <w:p>
      <w:pPr>
        <w:spacing w:after="120" w:before="0" w:line="276"/>
        <w:jc w:val="both"/>
      </w:pPr>
      <w:r>
        <w:rPr>
          <w:rFonts w:ascii="Calibri" w:cs="Calibri" w:eastAsia="Calibri" w:hAnsi="Calibri"/>
          <w:b w:val="false"/>
          <w:bCs w:val="false"/>
          <w:i w:val="false"/>
          <w:iCs w:val="false"/>
          <w:color w:val="333333"/>
          <w:sz w:val="22"/>
          <w:szCs w:val="22"/>
        </w:rPr>
        <w:t xml:space="preserve">The OSRB shall establish and maintain metrics to measure the effectiveness of the Company's open-source governance program. Metrics shall include, at a minimum:</w:t>
      </w:r>
    </w:p>
    <w:p>
      <w:pPr>
        <w:pStyle w:val="ListParagraph"/>
        <w:numPr>
          <w:ilvl w:val="0"/>
          <w:numId w:val="2"/>
        </w:numPr>
        <w:spacing w:after="60" w:line="276"/>
        <w:jc w:val="both"/>
      </w:pPr>
      <w:r>
        <w:rPr>
          <w:rFonts w:ascii="Calibri" w:cs="Calibri" w:eastAsia="Calibri" w:hAnsi="Calibri"/>
          <w:color w:val="333333"/>
          <w:sz w:val="22"/>
          <w:szCs w:val="22"/>
        </w:rPr>
        <w:t xml:space="preserve">Number of Intake Records submitted, approved, denied, and pending, by period;</w:t>
      </w:r>
    </w:p>
    <w:p>
      <w:pPr>
        <w:pStyle w:val="ListParagraph"/>
        <w:numPr>
          <w:ilvl w:val="0"/>
          <w:numId w:val="2"/>
        </w:numPr>
        <w:spacing w:after="60" w:line="276"/>
        <w:jc w:val="both"/>
      </w:pPr>
      <w:r>
        <w:rPr>
          <w:rFonts w:ascii="Calibri" w:cs="Calibri" w:eastAsia="Calibri" w:hAnsi="Calibri"/>
          <w:color w:val="333333"/>
          <w:sz w:val="22"/>
          <w:szCs w:val="22"/>
        </w:rPr>
        <w:t xml:space="preserve">Mean time to complete each stage of the Approval Workflow;</w:t>
      </w:r>
    </w:p>
    <w:p>
      <w:pPr>
        <w:pStyle w:val="ListParagraph"/>
        <w:numPr>
          <w:ilvl w:val="0"/>
          <w:numId w:val="2"/>
        </w:numPr>
        <w:spacing w:after="60" w:line="276"/>
        <w:jc w:val="both"/>
      </w:pPr>
      <w:r>
        <w:rPr>
          <w:rFonts w:ascii="Calibri" w:cs="Calibri" w:eastAsia="Calibri" w:hAnsi="Calibri"/>
          <w:color w:val="333333"/>
          <w:sz w:val="22"/>
          <w:szCs w:val="22"/>
        </w:rPr>
        <w:t xml:space="preserve">Number and percentage of Components in each Risk Tier;</w:t>
      </w:r>
    </w:p>
    <w:p>
      <w:pPr>
        <w:pStyle w:val="ListParagraph"/>
        <w:numPr>
          <w:ilvl w:val="0"/>
          <w:numId w:val="2"/>
        </w:numPr>
        <w:spacing w:after="60" w:line="276"/>
        <w:jc w:val="both"/>
      </w:pPr>
      <w:r>
        <w:rPr>
          <w:rFonts w:ascii="Calibri" w:cs="Calibri" w:eastAsia="Calibri" w:hAnsi="Calibri"/>
          <w:color w:val="333333"/>
          <w:sz w:val="22"/>
          <w:szCs w:val="22"/>
        </w:rPr>
        <w:t xml:space="preserve">Number of active exceptions, expired exceptions, and exception renewals;</w:t>
      </w:r>
    </w:p>
    <w:p>
      <w:pPr>
        <w:pStyle w:val="ListParagraph"/>
        <w:numPr>
          <w:ilvl w:val="0"/>
          <w:numId w:val="2"/>
        </w:numPr>
        <w:spacing w:after="60" w:line="276"/>
        <w:jc w:val="both"/>
      </w:pPr>
      <w:r>
        <w:rPr>
          <w:rFonts w:ascii="Calibri" w:cs="Calibri" w:eastAsia="Calibri" w:hAnsi="Calibri"/>
          <w:color w:val="333333"/>
          <w:sz w:val="22"/>
          <w:szCs w:val="22"/>
        </w:rPr>
        <w:t xml:space="preserve">Number and severity of open-source incidents;</w:t>
      </w:r>
    </w:p>
    <w:p>
      <w:pPr>
        <w:pStyle w:val="ListParagraph"/>
        <w:numPr>
          <w:ilvl w:val="0"/>
          <w:numId w:val="2"/>
        </w:numPr>
        <w:spacing w:after="60" w:line="276"/>
        <w:jc w:val="both"/>
      </w:pPr>
      <w:r>
        <w:rPr>
          <w:rFonts w:ascii="Calibri" w:cs="Calibri" w:eastAsia="Calibri" w:hAnsi="Calibri"/>
          <w:color w:val="333333"/>
          <w:sz w:val="22"/>
          <w:szCs w:val="22"/>
        </w:rPr>
        <w:t xml:space="preserve">SBOM completeness and accuracy rates;</w:t>
      </w:r>
    </w:p>
    <w:p>
      <w:pPr>
        <w:pStyle w:val="ListParagraph"/>
        <w:numPr>
          <w:ilvl w:val="0"/>
          <w:numId w:val="2"/>
        </w:numPr>
        <w:spacing w:after="60" w:line="276"/>
        <w:jc w:val="both"/>
      </w:pPr>
      <w:r>
        <w:rPr>
          <w:rFonts w:ascii="Calibri" w:cs="Calibri" w:eastAsia="Calibri" w:hAnsi="Calibri"/>
          <w:color w:val="333333"/>
          <w:sz w:val="22"/>
          <w:szCs w:val="22"/>
        </w:rPr>
        <w:t xml:space="preserve">CI/CD gate pass/fail rates and false-positive rates;</w:t>
      </w:r>
    </w:p>
    <w:p>
      <w:pPr>
        <w:pStyle w:val="ListParagraph"/>
        <w:numPr>
          <w:ilvl w:val="0"/>
          <w:numId w:val="2"/>
        </w:numPr>
        <w:spacing w:after="60" w:line="276"/>
        <w:jc w:val="both"/>
      </w:pPr>
      <w:r>
        <w:rPr>
          <w:rFonts w:ascii="Calibri" w:cs="Calibri" w:eastAsia="Calibri" w:hAnsi="Calibri"/>
          <w:color w:val="333333"/>
          <w:sz w:val="22"/>
          <w:szCs w:val="22"/>
        </w:rPr>
        <w:t xml:space="preserve">Percentage of Personnel who have completed required training; and</w:t>
      </w:r>
    </w:p>
    <w:p>
      <w:pPr>
        <w:pStyle w:val="ListParagraph"/>
        <w:numPr>
          <w:ilvl w:val="0"/>
          <w:numId w:val="2"/>
        </w:numPr>
        <w:spacing w:after="60" w:line="276"/>
        <w:jc w:val="both"/>
      </w:pPr>
      <w:r>
        <w:rPr>
          <w:rFonts w:ascii="Calibri" w:cs="Calibri" w:eastAsia="Calibri" w:hAnsi="Calibri"/>
          <w:color w:val="333333"/>
          <w:sz w:val="22"/>
          <w:szCs w:val="22"/>
        </w:rPr>
        <w:t xml:space="preserve">Number and status of Contribution and Release requests.</w:t>
      </w:r>
    </w:p>
    <w:p>
      <w:pPr>
        <w:spacing w:after="120" w:before="0" w:line="276"/>
        <w:jc w:val="both"/>
      </w:pPr>
      <w:r>
        <w:rPr>
          <w:rFonts w:ascii="Calibri" w:cs="Calibri" w:eastAsia="Calibri" w:hAnsi="Calibri"/>
          <w:b w:val="false"/>
          <w:bCs w:val="false"/>
          <w:i w:val="false"/>
          <w:iCs w:val="false"/>
          <w:color w:val="333333"/>
          <w:sz w:val="22"/>
          <w:szCs w:val="22"/>
        </w:rPr>
        <w:t xml:space="preserve">Metrics shall be reported to [CTO / GENERAL COUNSEL / CISO] on a [MONTHLY / QUARTERLY] basis and to the [BOARD / AUDIT COMMITTEE] on an [ANNUAL] basis.</w:t>
      </w:r>
    </w:p>
    <w:p>
      <w:pPr>
        <w:pStyle w:val="Heading2"/>
        <w:spacing w:after="120" w:before="240"/>
        <w:jc w:val="left"/>
      </w:pPr>
      <w:r>
        <w:rPr>
          <w:rFonts w:ascii="Calibri" w:cs="Calibri" w:eastAsia="Calibri" w:hAnsi="Calibri"/>
          <w:b/>
          <w:bCs/>
          <w:color w:val="1F3864"/>
          <w:sz w:val="24"/>
          <w:szCs w:val="24"/>
        </w:rPr>
        <w:t xml:space="preserve">15.3 Training</w:t>
      </w:r>
    </w:p>
    <w:p>
      <w:pPr>
        <w:spacing w:after="120" w:before="0" w:line="276"/>
        <w:jc w:val="both"/>
      </w:pPr>
      <w:r>
        <w:rPr>
          <w:rFonts w:ascii="Calibri" w:cs="Calibri" w:eastAsia="Calibri" w:hAnsi="Calibri"/>
          <w:b w:val="false"/>
          <w:bCs w:val="false"/>
          <w:i w:val="false"/>
          <w:iCs w:val="false"/>
          <w:color w:val="333333"/>
          <w:sz w:val="22"/>
          <w:szCs w:val="22"/>
        </w:rPr>
        <w:t xml:space="preserve">All Personnel who develop, deploy, procure, or manage software are required to complete open-source compliance training upon hire or engagement and at least [ANNUALLY] thereafter. Training shall cover:</w:t>
      </w:r>
    </w:p>
    <w:p>
      <w:pPr>
        <w:pStyle w:val="ListParagraph"/>
        <w:numPr>
          <w:ilvl w:val="0"/>
          <w:numId w:val="2"/>
        </w:numPr>
        <w:spacing w:after="60" w:line="276"/>
        <w:jc w:val="both"/>
      </w:pPr>
      <w:r>
        <w:rPr>
          <w:rFonts w:ascii="Calibri" w:cs="Calibri" w:eastAsia="Calibri" w:hAnsi="Calibri"/>
          <w:color w:val="333333"/>
          <w:sz w:val="22"/>
          <w:szCs w:val="22"/>
        </w:rPr>
        <w:t xml:space="preserve">Overview of open-source licenses, obligations, and risks;</w:t>
      </w:r>
    </w:p>
    <w:p>
      <w:pPr>
        <w:pStyle w:val="ListParagraph"/>
        <w:numPr>
          <w:ilvl w:val="0"/>
          <w:numId w:val="2"/>
        </w:numPr>
        <w:spacing w:after="60" w:line="276"/>
        <w:jc w:val="both"/>
      </w:pPr>
      <w:r>
        <w:rPr>
          <w:rFonts w:ascii="Calibri" w:cs="Calibri" w:eastAsia="Calibri" w:hAnsi="Calibri"/>
          <w:color w:val="333333"/>
          <w:sz w:val="22"/>
          <w:szCs w:val="22"/>
        </w:rPr>
        <w:t xml:space="preserve">The requirements of this Policy, including the Core Gate, Intake Record, and Approval Workflow;</w:t>
      </w:r>
    </w:p>
    <w:p>
      <w:pPr>
        <w:pStyle w:val="ListParagraph"/>
        <w:numPr>
          <w:ilvl w:val="0"/>
          <w:numId w:val="2"/>
        </w:numPr>
        <w:spacing w:after="60" w:line="276"/>
        <w:jc w:val="both"/>
      </w:pPr>
      <w:r>
        <w:rPr>
          <w:rFonts w:ascii="Calibri" w:cs="Calibri" w:eastAsia="Calibri" w:hAnsi="Calibri"/>
          <w:color w:val="333333"/>
          <w:sz w:val="22"/>
          <w:szCs w:val="22"/>
        </w:rPr>
        <w:t xml:space="preserve">Use of the Component Registry, SBOM tools, and CI/CD gates;</w:t>
      </w:r>
    </w:p>
    <w:p>
      <w:pPr>
        <w:pStyle w:val="ListParagraph"/>
        <w:numPr>
          <w:ilvl w:val="0"/>
          <w:numId w:val="2"/>
        </w:numPr>
        <w:spacing w:after="60" w:line="276"/>
        <w:jc w:val="both"/>
      </w:pPr>
      <w:r>
        <w:rPr>
          <w:rFonts w:ascii="Calibri" w:cs="Calibri" w:eastAsia="Calibri" w:hAnsi="Calibri"/>
          <w:color w:val="333333"/>
          <w:sz w:val="22"/>
          <w:szCs w:val="22"/>
        </w:rPr>
        <w:t xml:space="preserve">The Contribution and Release approval processes;</w:t>
      </w:r>
    </w:p>
    <w:p>
      <w:pPr>
        <w:pStyle w:val="ListParagraph"/>
        <w:numPr>
          <w:ilvl w:val="0"/>
          <w:numId w:val="2"/>
        </w:numPr>
        <w:spacing w:after="60" w:line="276"/>
        <w:jc w:val="both"/>
      </w:pPr>
      <w:r>
        <w:rPr>
          <w:rFonts w:ascii="Calibri" w:cs="Calibri" w:eastAsia="Calibri" w:hAnsi="Calibri"/>
          <w:color w:val="333333"/>
          <w:sz w:val="22"/>
          <w:szCs w:val="22"/>
        </w:rPr>
        <w:t xml:space="preserve">The open-source incident process; and</w:t>
      </w:r>
    </w:p>
    <w:p>
      <w:pPr>
        <w:pStyle w:val="ListParagraph"/>
        <w:numPr>
          <w:ilvl w:val="0"/>
          <w:numId w:val="2"/>
        </w:numPr>
        <w:spacing w:after="60" w:line="276"/>
        <w:jc w:val="both"/>
      </w:pPr>
      <w:r>
        <w:rPr>
          <w:rFonts w:ascii="Calibri" w:cs="Calibri" w:eastAsia="Calibri" w:hAnsi="Calibri"/>
          <w:color w:val="333333"/>
          <w:sz w:val="22"/>
          <w:szCs w:val="22"/>
        </w:rPr>
        <w:t xml:space="preserve">AI-assisted coding tool risks and compliance requirements.</w:t>
      </w:r>
    </w:p>
    <w:p>
      <w:pPr>
        <w:spacing w:after="120" w:before="0" w:line="276"/>
        <w:jc w:val="both"/>
      </w:pPr>
      <w:r>
        <w:rPr>
          <w:rFonts w:ascii="Calibri" w:cs="Calibri" w:eastAsia="Calibri" w:hAnsi="Calibri"/>
          <w:b w:val="false"/>
          <w:bCs w:val="false"/>
          <w:i w:val="false"/>
          <w:iCs w:val="false"/>
          <w:color w:val="333333"/>
          <w:sz w:val="22"/>
          <w:szCs w:val="22"/>
        </w:rPr>
        <w:t xml:space="preserve">Completion of training shall be recorded, tracked, and reported as a metric under Section 15.2. Personnel who have not completed required training may have their access to source-code repositories and CI/CD systems restricted until training is completed.</w:t>
      </w:r>
    </w:p>
    <w:p>
      <w:pPr>
        <w:pStyle w:val="Heading2"/>
        <w:spacing w:after="120" w:before="240"/>
        <w:jc w:val="left"/>
      </w:pPr>
      <w:r>
        <w:rPr>
          <w:rFonts w:ascii="Calibri" w:cs="Calibri" w:eastAsia="Calibri" w:hAnsi="Calibri"/>
          <w:b/>
          <w:bCs/>
          <w:color w:val="1F3864"/>
          <w:sz w:val="24"/>
          <w:szCs w:val="24"/>
        </w:rPr>
        <w:t xml:space="preserve">15.4 Enforcement</w:t>
      </w:r>
    </w:p>
    <w:p>
      <w:pPr>
        <w:spacing w:after="120" w:before="0" w:line="276"/>
        <w:jc w:val="both"/>
      </w:pPr>
      <w:r>
        <w:rPr>
          <w:rFonts w:ascii="Calibri" w:cs="Calibri" w:eastAsia="Calibri" w:hAnsi="Calibri"/>
          <w:b w:val="false"/>
          <w:bCs w:val="false"/>
          <w:i w:val="false"/>
          <w:iCs w:val="false"/>
          <w:color w:val="333333"/>
          <w:sz w:val="22"/>
          <w:szCs w:val="22"/>
        </w:rPr>
        <w:t xml:space="preserve">Violations of this Policy may result in disciplinary action, up to and including termination of employment or engagement, in accordance with the Company's human-resources policies and applicable law. Without limiting the foregoing:</w:t>
      </w:r>
    </w:p>
    <w:p>
      <w:pPr>
        <w:pStyle w:val="ListParagraph"/>
        <w:numPr>
          <w:ilvl w:val="0"/>
          <w:numId w:val="2"/>
        </w:numPr>
        <w:spacing w:after="60" w:line="276"/>
        <w:jc w:val="both"/>
      </w:pPr>
      <w:r>
        <w:rPr>
          <w:rFonts w:ascii="Calibri" w:cs="Calibri" w:eastAsia="Calibri" w:hAnsi="Calibri"/>
          <w:color w:val="333333"/>
          <w:sz w:val="22"/>
          <w:szCs w:val="22"/>
        </w:rPr>
        <w:t xml:space="preserve">First violations involving unintentional non-compliance shall be addressed through coaching, re-training, and documented remediation;</w:t>
      </w:r>
    </w:p>
    <w:p>
      <w:pPr>
        <w:pStyle w:val="ListParagraph"/>
        <w:numPr>
          <w:ilvl w:val="0"/>
          <w:numId w:val="2"/>
        </w:numPr>
        <w:spacing w:after="60" w:line="276"/>
        <w:jc w:val="both"/>
      </w:pPr>
      <w:r>
        <w:rPr>
          <w:rFonts w:ascii="Calibri" w:cs="Calibri" w:eastAsia="Calibri" w:hAnsi="Calibri"/>
          <w:color w:val="333333"/>
          <w:sz w:val="22"/>
          <w:szCs w:val="22"/>
        </w:rPr>
        <w:t xml:space="preserve">Repeat violations or intentional circumvention of Policy controls shall be escalated to [HR / MANAGEMENT] for formal disciplinary review;</w:t>
      </w:r>
    </w:p>
    <w:p>
      <w:pPr>
        <w:pStyle w:val="ListParagraph"/>
        <w:numPr>
          <w:ilvl w:val="0"/>
          <w:numId w:val="2"/>
        </w:numPr>
        <w:spacing w:after="60" w:line="276"/>
        <w:jc w:val="both"/>
      </w:pPr>
      <w:r>
        <w:rPr>
          <w:rFonts w:ascii="Calibri" w:cs="Calibri" w:eastAsia="Calibri" w:hAnsi="Calibri"/>
          <w:color w:val="333333"/>
          <w:sz w:val="22"/>
          <w:szCs w:val="22"/>
        </w:rPr>
        <w:t xml:space="preserve">Violations by contractors, consultants, or vendors shall be addressed through the applicable contractual enforcement mechanisms, including termination of the engagement; and</w:t>
      </w:r>
    </w:p>
    <w:p>
      <w:pPr>
        <w:pStyle w:val="ListParagraph"/>
        <w:numPr>
          <w:ilvl w:val="0"/>
          <w:numId w:val="2"/>
        </w:numPr>
        <w:spacing w:after="60" w:line="276"/>
        <w:jc w:val="both"/>
      </w:pPr>
      <w:r>
        <w:rPr>
          <w:rFonts w:ascii="Calibri" w:cs="Calibri" w:eastAsia="Calibri" w:hAnsi="Calibri"/>
          <w:color w:val="333333"/>
          <w:sz w:val="22"/>
          <w:szCs w:val="22"/>
        </w:rPr>
        <w:t xml:space="preserve">Violations that result in material legal exposure, data breach, or security incident shall be referred to [GENERAL COUNSEL / CISO] for further action.</w:t>
      </w:r>
    </w:p>
    <w:p>
      <w:pPr>
        <w:spacing w:after="120" w:before="0" w:line="276"/>
        <w:jc w:val="both"/>
      </w:pPr>
      <w:r>
        <w:rPr>
          <w:rFonts w:ascii="Calibri" w:cs="Calibri" w:eastAsia="Calibri" w:hAnsi="Calibri"/>
          <w:b w:val="false"/>
          <w:bCs w:val="false"/>
          <w:i w:val="false"/>
          <w:iCs w:val="false"/>
          <w:color w:val="333333"/>
          <w:sz w:val="22"/>
          <w:szCs w:val="22"/>
        </w:rPr>
        <w:t xml:space="preserve">This Policy is subject to review and update no less than [ANNUALLY] and upon the occurrence of material changes in applicable law, regulation, industry standards, or Company operations. The OSRB is responsible for initiating the review process and presenting proposed amendments to [POLICY OWNER / EXECUTIVE SPONSOR] for approval.</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A — LICENSE / USE RISK MATRIX</w:t>
      </w:r>
    </w:p>
    <w:p>
      <w:pPr>
        <w:spacing w:after="120" w:before="0" w:line="276"/>
        <w:jc w:val="both"/>
      </w:pPr>
      <w:r>
        <w:rPr>
          <w:rFonts w:ascii="Calibri" w:cs="Calibri" w:eastAsia="Calibri" w:hAnsi="Calibri"/>
          <w:b w:val="false"/>
          <w:bCs w:val="false"/>
          <w:i w:val="false"/>
          <w:iCs w:val="false"/>
          <w:color w:val="333333"/>
          <w:sz w:val="22"/>
          <w:szCs w:val="22"/>
        </w:rPr>
        <w:t xml:space="preserve">The following matrix provides a non-exhaustive reference for classifying common open-source licenses by Risk Tier. The actual Risk Tier assigned to a Component depends on the license, the intended use, the architecture, and the specific obligations triggered. This matrix is maintained by the OSRB and updated as new licenses and use patterns are identified.</w:t>
      </w:r>
    </w:p>
    <w:p>
      <w:pPr>
        <w:spacing w:after="80" w:before="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400"/>
        <w:gridCol w:w="1400"/>
        <w:gridCol w:w="1400"/>
        <w:gridCol w:w="1160"/>
        <w:gridCol w:w="1400"/>
      </w:tblGrid>
      <w:tr>
        <w:trPr>
          <w:tblHeader/>
        </w:trPr>
        <w:tc>
          <w:tcPr>
            <w:tcW w:type="dxa" w:w="26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License</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Tier (Unmodified)</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Tier (Modified)</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Tier (Distributed)</w:t>
            </w:r>
          </w:p>
        </w:tc>
        <w:tc>
          <w:tcPr>
            <w:tcW w:type="dxa" w:w="11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Tier (SaaS)</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Key Obligations</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MIT</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Attribution; license text</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BSD-2-Clause</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Attribution; license text</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BSD-3-Clause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Attribution; no endorsement</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Apache-2.0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1-2</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Attribution; NOTICE; patent grant</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ISC</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Attribution; license text</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MPL-2.0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File-level copyleft; source for modified files</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LGPL-2.1</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Weak copyleft; linking considerations</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LGPL-3.0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Weak copyleft; installation info</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EPL-2.0</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Weak copyleft; patent provisions</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CDDL-1.0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File-level copyleft; patent provisions</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GPL-2.0</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Strong copyleft; source disclosure</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GPL-3.0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Strong copyleft; anti-tivoization</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AGPL-3.0</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Network copyleft; SaaS trigger</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SSPL</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Service-level copyleft</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BSL / BUSL</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Source available; use restrictions</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CC-BY-4.0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1-2</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1-2</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Attribution (for non-code)</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CC-BY-SA-4.0</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2-3</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Share-alike; attribution</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CC-BY-NC-4.0</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Non-commercial restriction</w:t>
            </w:r>
          </w:p>
        </w:tc>
      </w:tr>
      <w:tr>
        <w:tc>
          <w:tcPr>
            <w:tcW w:type="dxa" w:w="2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 License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rights reserved; prohibited</w:t>
            </w:r>
          </w:p>
        </w:tc>
      </w:tr>
      <w:tr>
        <w:tc>
          <w:tcPr>
            <w:tcW w:type="dxa" w:w="2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Unknown</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1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Blocked pending investigation</w:t>
            </w:r>
          </w:p>
        </w:tc>
      </w:tr>
    </w:tbl>
    <w:p>
      <w:pPr>
        <w:spacing w:after="120" w:before="0" w:line="276"/>
        <w:jc w:val="both"/>
      </w:pPr>
      <w:r>
        <w:rPr>
          <w:rFonts w:ascii="Calibri" w:cs="Calibri" w:eastAsia="Calibri" w:hAnsi="Calibri"/>
          <w:b w:val="false"/>
          <w:bCs w:val="false"/>
          <w:i/>
          <w:iCs/>
          <w:color w:val="333333"/>
          <w:sz w:val="20"/>
          <w:szCs w:val="20"/>
        </w:rPr>
        <w:t xml:space="preserve">Notes: Tier ranges (e.g., "2-3") indicate that classification depends on the specific architecture and use case. Components at the boundary require individual OSRB review. The OSRB may reclassify any Component based on evolving legal analysis or changed circumstances.</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B — INTAKE AND APPROVAL FORM</w:t>
      </w:r>
    </w:p>
    <w:p>
      <w:pPr>
        <w:spacing w:after="120" w:before="0" w:line="276"/>
        <w:jc w:val="both"/>
      </w:pPr>
      <w:r>
        <w:rPr>
          <w:rFonts w:ascii="Calibri" w:cs="Calibri" w:eastAsia="Calibri" w:hAnsi="Calibri"/>
          <w:b w:val="false"/>
          <w:bCs w:val="false"/>
          <w:i w:val="false"/>
          <w:iCs w:val="false"/>
          <w:color w:val="333333"/>
          <w:sz w:val="22"/>
          <w:szCs w:val="22"/>
        </w:rPr>
        <w:t xml:space="preserve">Complete this form for each Component submitted through the Approval Workflow. All fields are mandatory unless marked optional. Submit the completed form to [OSRB-INTAKE@COMPANY.COM / JIRA PROJECT / INTAKE TOOL].</w:t>
      </w:r>
    </w:p>
    <w:p>
      <w:pPr>
        <w:spacing w:after="80" w:before="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 of Request</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Requestor Name</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Requestor Team / Department</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[TEAM]</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Requestor Email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[EMAIL]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Name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Version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Source URL (Repository / Registry)</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[URL]</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Artifact Hash (SHA-256)</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[HASH]</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Copyright Holder(s)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[HOLDER(S)]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 Identifier (SPDX)</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 Version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 OR N/A]</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 URL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[URL]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Dual / Multi-Licensed?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IF YES, SPECIFY LICENSES]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Intended Use Description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USE CASE IN DETAIL]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Target Product / Service / System</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 NAME(S)]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Environment(s)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[PRODUCTION / STAGING / DEV / TEST / ALL]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Architecture / Integration Method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[STATIC LINK / DYNAMIC LINK / SUBPROCES / API / CONTAINER / OTHER]</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Modification Planned?</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IF YES, DESCRIBE SCOPE AND NATURE]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Distribution Method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[BINARY / SOURCE / SAAS / EMBEDDED / NONE]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Transitive Dependency Count</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[NUMBER]</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Transitive License Summary</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[SUMMARY OR ATTACH SCAN REPORT]</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Known Vulnerabilities (CVEs)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[LIST OR ATTACH SCAN REPORT]</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Security Scan Tool(s) Used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[TOOL NAME(S) AND VERSION(S)]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Maintenance Status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[ACTIVE / ARCHIVED / DEPRECATED / UNKNOWN]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Last Release Date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Business Justification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[JUSTIFY NEED; EXPLAIN WHY ALTERNATIVES ARE INSUFFICIENT]</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Alternatives Considered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[LIST ALTERNATIVES AND REASONS FOR REJECTION]</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Requestor Certification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 certify that the information provided is accurate and complete to the best of my knowledge.  Signed: ____________  Date: ____________</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spacing w:after="80" w:before="0" w:line="276"/>
        <w:jc w:val="center"/>
      </w:pPr>
      <w:r>
        <w:rPr>
          <w:rFonts w:ascii="Calibri" w:cs="Calibri" w:eastAsia="Calibri" w:hAnsi="Calibri"/>
          <w:b/>
          <w:bCs/>
          <w:i w:val="false"/>
          <w:iCs w:val="false"/>
          <w:color w:val="333333"/>
          <w:sz w:val="22"/>
          <w:szCs w:val="22"/>
        </w:rPr>
        <w:t xml:space="preserve">OSRB USE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Assigned Risk Tier</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 2 / 3]</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Engineering Reviewer</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DATE — APPROVE / DENY / DEFER]</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Reviewer</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DATE — APPROVE / DENY / DEFER]</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Security Reviewer</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DATE — APPROVE / DENY / DEFER]</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 Reviewer</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DATE — APPROVE / DENY / DEFER / N/A]</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Release Reviewer</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DATE — APPROVE / DENY / DEFER / N/A]</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Final Determination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[APPROVED / APPROVED WITH CONDITIONS / DENIED / DEFERRED]</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Conditions (if any)</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CONDITIONS]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Approval Expiration Date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Registry ID</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[ID]</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Notes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[ADDITIONAL NOTES]</w:t>
            </w:r>
          </w:p>
        </w:tc>
      </w:tr>
    </w:tbl>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C — ARCHITECTURE / USE QUESTIONNAIRE</w:t>
      </w:r>
    </w:p>
    <w:p>
      <w:pPr>
        <w:spacing w:after="120" w:before="0" w:line="276"/>
        <w:jc w:val="both"/>
      </w:pPr>
      <w:r>
        <w:rPr>
          <w:rFonts w:ascii="Calibri" w:cs="Calibri" w:eastAsia="Calibri" w:hAnsi="Calibri"/>
          <w:b w:val="false"/>
          <w:bCs w:val="false"/>
          <w:i w:val="false"/>
          <w:iCs w:val="false"/>
          <w:color w:val="333333"/>
          <w:sz w:val="22"/>
          <w:szCs w:val="22"/>
        </w:rPr>
        <w:t xml:space="preserve">Complete this questionnaire to support the OSRB's analysis of how the Component integrates with Company Code and what license obligations are triggered. Accurate responses are critical to proper risk classification.</w:t>
      </w:r>
    </w:p>
    <w:p>
      <w:pPr>
        <w:spacing w:after="80" w:before="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Question</w:t>
            </w:r>
          </w:p>
        </w:tc>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statically linked into Company Code?</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identify the binary/artifact.</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dynamically linked at runtime?</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the linking mechanism.</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invoked as a separate process (subprocess, exec, IPC)?</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the invocation mechanism and data exchange format.</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used as a library imported/required into Company source files?</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list the import statements or module references.</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deployed as a separate service communicating via network API?</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the API protocol and integration architecture.</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embedded in a container image used by Company services?</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identify the container image and layers.</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used only as a build tool, compiler, or development dependency?</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confirm it is not bundled into release artifacts.</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Is the Component used only in test/development environments and never in production?</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confirm no path exists for it to reach production.</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Will the Component be distributed to end users in binary or source form?</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the distribution mechanism.</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Will the Component be used to provide SaaS/hosted functionality to users over a network?</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identify the service and user-facing functionality.</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Will the Company modify the Component's source code?</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the nature and scope of modifications.</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Will the Component's output (generated code, compiled artifacts) be included in Company Code?</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 the output and how it is incorporated.</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Component include or depend upon ML models, training data, or weights?</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identify the models/data and their license terms.</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Component include cryptographic functionality?</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identify algorithms and compliance requirements.</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Are there any customer, partner, or regulatory requirements specific to this Component or its license?</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If yes, describe.</w:t>
            </w:r>
          </w:p>
        </w:tc>
      </w:tr>
    </w:tbl>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D — SBOM AND NOTICE CHECKLIST</w:t>
      </w:r>
    </w:p>
    <w:p>
      <w:pPr>
        <w:spacing w:after="120" w:before="0" w:line="276"/>
        <w:jc w:val="both"/>
      </w:pPr>
      <w:r>
        <w:rPr>
          <w:rFonts w:ascii="Calibri" w:cs="Calibri" w:eastAsia="Calibri" w:hAnsi="Calibri"/>
          <w:b w:val="false"/>
          <w:bCs w:val="false"/>
          <w:i w:val="false"/>
          <w:iCs w:val="false"/>
          <w:color w:val="333333"/>
          <w:sz w:val="22"/>
          <w:szCs w:val="22"/>
        </w:rPr>
        <w:t xml:space="preserve">Use this checklist for each release to verify SBOM completeness and notice-file accuracy. The Release Manager or designated release engineer shall complete this checklist and retain it as part of the release record.</w:t>
      </w:r>
    </w:p>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1: SBOM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Checkpoint</w:t>
            </w:r>
          </w:p>
        </w:tc>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Status</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generated for this release in SPDX or CycloneDX format?</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 N/A</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includes all direct Components with name, version, SPDX ID?</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includes all transitive Components identified by SCA tool?</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includes SHA-256 hashes for each Component artifact?</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includes provenance (source URL) for each Component?</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records Company Modifications to each Component?</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 N/A</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matches the resolved dependency tree of the release build?</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stored in artifact repository alongside release artifacts?</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Components in SBOM have Approved status in Component Registry?</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list exceptions</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 Component approvals have expired since last verification?</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list expired</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2: Notice File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Checkpoint</w:t>
            </w:r>
          </w:p>
        </w:tc>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Status</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NOTICES / THIRD-PARTY-LICENSES file is present in release artifacts?</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 file includes entry for every Component in the SBOM?</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list missing</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Each entry includes correct copyright holder?</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Each entry includes correct SPDX license identifier?</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Each entry includes full license text or reference URL?</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Entries for modified Components include modification notices?</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 N/A</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Written offers for source-disclosure obligations are current and accessible?</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 N/A</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Source packages for copyleft-obligated Components are complete and buildable?</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 N/A</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 file is accessible and discoverable by recipients (About dialog, docs, etc.)?</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 file formatting is consistent with prior releases?</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spacing w:after="120" w:before="0" w:line="276"/>
        <w:jc w:val="both"/>
      </w:pPr>
      <w:r>
        <w:rPr>
          <w:rFonts w:ascii="Calibri" w:cs="Calibri" w:eastAsia="Calibri" w:hAnsi="Calibri"/>
          <w:b/>
          <w:bCs/>
          <w:color w:val="333333"/>
          <w:sz w:val="22"/>
          <w:szCs w:val="22"/>
        </w:rPr>
        <w:t xml:space="preserve">Verified by:  </w:t>
      </w:r>
      <w:r>
        <w:rPr>
          <w:rFonts w:ascii="Calibri" w:cs="Calibri" w:eastAsia="Calibri" w:hAnsi="Calibri"/>
          <w:color w:val="333333"/>
          <w:sz w:val="22"/>
          <w:szCs w:val="22"/>
        </w:rPr>
        <w:t xml:space="preserve">___________________________________    </w:t>
      </w:r>
      <w:r>
        <w:rPr>
          <w:rFonts w:ascii="Calibri" w:cs="Calibri" w:eastAsia="Calibri" w:hAnsi="Calibri"/>
          <w:b/>
          <w:bCs/>
          <w:color w:val="333333"/>
          <w:sz w:val="22"/>
          <w:szCs w:val="22"/>
        </w:rPr>
        <w:t xml:space="preserve">Date:  </w:t>
      </w:r>
      <w:r>
        <w:rPr>
          <w:rFonts w:ascii="Calibri" w:cs="Calibri" w:eastAsia="Calibri" w:hAnsi="Calibri"/>
          <w:color w:val="333333"/>
          <w:sz w:val="22"/>
          <w:szCs w:val="22"/>
        </w:rPr>
        <w:t xml:space="preserve">_______________    </w:t>
      </w:r>
      <w:r>
        <w:rPr>
          <w:rFonts w:ascii="Calibri" w:cs="Calibri" w:eastAsia="Calibri" w:hAnsi="Calibri"/>
          <w:b/>
          <w:bCs/>
          <w:color w:val="333333"/>
          <w:sz w:val="22"/>
          <w:szCs w:val="22"/>
        </w:rPr>
        <w:t xml:space="preserve">Release:  </w:t>
      </w:r>
      <w:r>
        <w:rPr>
          <w:rFonts w:ascii="Calibri" w:cs="Calibri" w:eastAsia="Calibri" w:hAnsi="Calibri"/>
          <w:color w:val="333333"/>
          <w:sz w:val="22"/>
          <w:szCs w:val="22"/>
        </w:rPr>
        <w:t xml:space="preserve">_______________</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E — CI/CD RELEASE GATE</w:t>
      </w:r>
    </w:p>
    <w:p>
      <w:pPr>
        <w:spacing w:after="120" w:before="0" w:line="276"/>
        <w:jc w:val="both"/>
      </w:pPr>
      <w:r>
        <w:rPr>
          <w:rFonts w:ascii="Calibri" w:cs="Calibri" w:eastAsia="Calibri" w:hAnsi="Calibri"/>
          <w:b w:val="false"/>
          <w:bCs w:val="false"/>
          <w:i w:val="false"/>
          <w:iCs w:val="false"/>
          <w:color w:val="333333"/>
          <w:sz w:val="22"/>
          <w:szCs w:val="22"/>
        </w:rPr>
        <w:t xml:space="preserve">This checklist documents the automated and manual gate checks performed at each CI/CD stage. Gate results are logged to the audit trail. Any gate failure blocks the pipeline until resolved or an authorized exception is granted.</w:t>
      </w:r>
    </w:p>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Pre-Merge Gate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Check</w:t>
            </w:r>
          </w:p>
        </w:tc>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Result</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New/modified Component dependencies detected?</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NONE  [ ] DETECTED — list below</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detected Components have Approved status in Registry?</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 — blocked</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version within approved range?</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License-file changes detected and flagged for review?</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N/A</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Delta report generated for reviewer?</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Build Gate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Check</w:t>
            </w:r>
          </w:p>
        </w:tc>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Result</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Full dependency tree resolved and scanned?</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Components (direct + transitive) approved?</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 — list unapproved</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 critical/high vulnerabilities exceeding SLA?</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 — list CVEs</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generated and stored as build artifact?</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 unauthorized scanner suppressions detected?</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Build gate decision logged to audit trail?</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Release Gate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Check</w:t>
            </w:r>
          </w:p>
        </w:tc>
        <w:tc>
          <w:tcPr>
            <w:tcW w:type="dxa" w:w="4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Result</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 file present, complete, and accurate?</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Source packages (if required) present and buildable?</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  [ ] N/A</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current and matching release artifacts?</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Component approvals current (not expired/revoked)?</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approval conditions satisfied?</w:t>
            </w:r>
          </w:p>
        </w:tc>
        <w:tc>
          <w:tcPr>
            <w:tcW w:type="dxa" w:w="4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r>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Release-readiness report generated and signed?</w:t>
            </w:r>
          </w:p>
        </w:tc>
        <w:tc>
          <w:tcPr>
            <w:tcW w:type="dxa" w:w="4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PASS  [ ] FAIL</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spacing w:after="120" w:before="0" w:line="276"/>
        <w:jc w:val="both"/>
      </w:pPr>
      <w:r>
        <w:rPr>
          <w:rFonts w:ascii="Calibri" w:cs="Calibri" w:eastAsia="Calibri" w:hAnsi="Calibri"/>
          <w:b/>
          <w:bCs/>
          <w:color w:val="333333"/>
          <w:sz w:val="22"/>
          <w:szCs w:val="22"/>
        </w:rPr>
        <w:t xml:space="preserve">Release Manager Sign-Off:  </w:t>
      </w:r>
      <w:r>
        <w:rPr>
          <w:rFonts w:ascii="Calibri" w:cs="Calibri" w:eastAsia="Calibri" w:hAnsi="Calibri"/>
          <w:color w:val="333333"/>
          <w:sz w:val="22"/>
          <w:szCs w:val="22"/>
        </w:rPr>
        <w:t xml:space="preserve">______________________________    </w:t>
      </w:r>
      <w:r>
        <w:rPr>
          <w:rFonts w:ascii="Calibri" w:cs="Calibri" w:eastAsia="Calibri" w:hAnsi="Calibri"/>
          <w:b/>
          <w:bCs/>
          <w:color w:val="333333"/>
          <w:sz w:val="22"/>
          <w:szCs w:val="22"/>
        </w:rPr>
        <w:t xml:space="preserve">Date:  </w:t>
      </w:r>
      <w:r>
        <w:rPr>
          <w:rFonts w:ascii="Calibri" w:cs="Calibri" w:eastAsia="Calibri" w:hAnsi="Calibri"/>
          <w:color w:val="333333"/>
          <w:sz w:val="22"/>
          <w:szCs w:val="22"/>
        </w:rPr>
        <w:t xml:space="preserve">_______________</w:t>
      </w:r>
    </w:p>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F — CONTRIBUTION AND COMPANY-RELEASE REQUEST</w:t>
      </w:r>
    </w:p>
    <w:p>
      <w:pPr>
        <w:spacing w:after="120" w:before="0" w:line="276"/>
        <w:jc w:val="both"/>
      </w:pPr>
      <w:r>
        <w:rPr>
          <w:rFonts w:ascii="Calibri" w:cs="Calibri" w:eastAsia="Calibri" w:hAnsi="Calibri"/>
          <w:b w:val="false"/>
          <w:bCs w:val="false"/>
          <w:i w:val="false"/>
          <w:iCs w:val="false"/>
          <w:color w:val="333333"/>
          <w:sz w:val="22"/>
          <w:szCs w:val="22"/>
        </w:rPr>
        <w:t xml:space="preserve">Complete Part 1 for Contributions to external open-source projects. Complete Part 2 for Company-initiated open-source Releases.</w:t>
      </w:r>
    </w:p>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1: External Contribution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 of Request</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Requestor Name / Team / Email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TEAM / EMAIL]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Target Project Name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[PROJECT NAME]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Target Project URL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[REPOSITORY URL]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Target Project License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Contributor Terms (CLA/DCO)</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[CLA / DCO / NONE — ATTACH TERMS IF CLA]</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Nature of Contribution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[BUG FIX / FEATURE / DOCUMENTATION / TEST / OTHER]</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Description of Contribution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[DETAILED DESCRIPTION OF WHAT WILL BE CONTRIBUTED]</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Business Rationale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[WHY THIS CONTRIBUTION BENEFITS THE COMPANY]</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Contains Company IP?</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IF YES, EXPLAIN]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Contains Trade Secrets?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MUST BE NO TO PROCEED]</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Contains Confidential Info?</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MUST BE NO TO PROCEED]</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Implicate Patents?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UNKNOWN — IF YES, DESCRIBE]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Export-Control Concerns?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UNKNOWN — IF YES, DESCRIBE]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Manager Approval</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Date: ____________</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Approval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Date: ____________</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Approval</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Date: ____________</w:t>
            </w:r>
          </w:p>
        </w:tc>
      </w:tr>
    </w:tbl>
    <w:p>
      <w:pPr>
        <w:spacing w:after="10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2: Company Open-Source Release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 of Request</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Sponsoring Team / Department</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[TEAM / DEPARTMENT]</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Project Name (Proposed)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Project Description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[DESCRIPTION]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Business Case Summary</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[STRATEGIC RATIONALE AND EXPECTED BENEFITS]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Competitive Analysis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[COMPETITIVE IMPLICATIONS; DESCRIBE SIMILAR PROJECTS]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Proposed License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 — DEFAULT: APACHE-2.0 / MIT]</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Justification for License Choice</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[WHY THIS LICENSE; IF COPYLEFT, ADDITIONAL JUSTIFICATION]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IP/Ownership Clear?</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PROVIDE CONFIRMATION FROM LEGAL]</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Third-Party Components Included?</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IF YES, LIST WITH LICENSES]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Secrets Scan Completed?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TOOL USED AND DATE OF SCAN]</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Governance Model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MAINTAINERS, CONTRIBUTION PROCESS, RELEASE CADENCE]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Named Maintainers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[NAME(S) AND TIME COMMITMENT]</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Maintenance Budget (Annual)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[$AMOUNT OR DESCRIBE RESOURCE ALLOCATION]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Estimated Maintenance Duration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[DURATION; IF TIME-LIMITED, DESCRIBE SUNSET PLAN]</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Community Engagement Plan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DOCUMENTATION, ISSUE TRIAGE, PR REVIEW]</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Approval</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Date: ____________</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Approval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Date: ____________</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Executive Approval</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Title: ____________  Date: ____________</w:t>
            </w:r>
          </w:p>
        </w:tc>
      </w:tr>
    </w:tbl>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G — EXCEPTION / EXPIRY FORM</w:t>
      </w:r>
    </w:p>
    <w:p>
      <w:pPr>
        <w:spacing w:after="120" w:before="0" w:line="276"/>
        <w:jc w:val="both"/>
      </w:pPr>
      <w:r>
        <w:rPr>
          <w:rFonts w:ascii="Calibri" w:cs="Calibri" w:eastAsia="Calibri" w:hAnsi="Calibri"/>
          <w:b w:val="false"/>
          <w:bCs w:val="false"/>
          <w:i w:val="false"/>
          <w:iCs w:val="false"/>
          <w:color w:val="333333"/>
          <w:sz w:val="22"/>
          <w:szCs w:val="22"/>
        </w:rPr>
        <w:t xml:space="preserve">Complete this form to request a time-limited exception to any requirement of this Policy. Submit to the OSRB for review and determination.</w:t>
      </w:r>
    </w:p>
    <w:p>
      <w:pPr>
        <w:spacing w:after="80" w:before="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 of Request</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Requestor Name / Team / Email</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 TEAM / EMAIL]</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Policy Section(s) Requiring Exception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[SECTION NUMBER(S) AND TITLE(S)]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Specific Requirement(s) at Issue</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THE SPECIFIC REQUIREMENT(S)]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Component(s) Involved (if applicable)</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NAME(S), VERSION(S), LICENSE(S)]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Product(s) / System(s) Affected</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 / SERVICE / SYSTEM NAME(S)]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Business Justification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[EXPLAIN WHY COMPLIANCE IS NOT FEASIBLE AND THE BUSINESS IMPACT OF DENIAL]</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Risk Assessment</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LEGAL, SECURITY, AND OPERATIONAL RISKS OF THE EXCEPTION]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Proposed Compensating Controls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CONTROLS TO MITIGATE IDENTIFIED RISKS]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Requested Duration</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[START DATE — END DATE; MAXIMUM 90/180 DAYS]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Remediation Plan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PLAN TO ACHIEVE FULL COMPLIANCE BEFORE EXPIRATION]</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Remediation Owner</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AND TITLE OF PERSON RESPONSIBLE FOR REMEDIATION]</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Manager Approval</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 ____________  Date: ____________</w:t>
            </w:r>
          </w:p>
        </w:tc>
      </w:tr>
    </w:tbl>
    <w:p>
      <w:pPr>
        <w:spacing w:after="80" w:before="0" w:line="276"/>
        <w:jc w:val="both"/>
      </w:pPr>
      <w:r>
        <w:rPr>
          <w:rFonts w:ascii="Calibri" w:cs="Calibri" w:eastAsia="Calibri" w:hAnsi="Calibri"/>
          <w:b w:val="false"/>
          <w:bCs w:val="false"/>
          <w:i w:val="false"/>
          <w:iCs w:val="false"/>
          <w:color w:val="333333"/>
          <w:sz w:val="22"/>
          <w:szCs w:val="22"/>
        </w:rPr>
        <w:t xml:space="preserve"/>
      </w:r>
    </w:p>
    <w:p>
      <w:pPr>
        <w:spacing w:after="80" w:before="0" w:line="276"/>
        <w:jc w:val="center"/>
      </w:pPr>
      <w:r>
        <w:rPr>
          <w:rFonts w:ascii="Calibri" w:cs="Calibri" w:eastAsia="Calibri" w:hAnsi="Calibri"/>
          <w:b/>
          <w:bCs/>
          <w:i w:val="false"/>
          <w:iCs w:val="false"/>
          <w:color w:val="333333"/>
          <w:sz w:val="22"/>
          <w:szCs w:val="22"/>
        </w:rPr>
        <w:t xml:space="preserve">OSRB DETERMINATION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Field</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Exception Granted?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Conditions / Compensating Controls Required</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Approved Duration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[START DATE — END DATE]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Renewal Permitted?</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Monitoring Requirements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Reviewer(s)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[NAME(S) AND DATE]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Exception Register ID</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[ID]</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Expiration Reminder Set?</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 YES  [ ] NO — reminder date: [DATE]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Notes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[ADDITIONAL NOTES]</w:t>
            </w:r>
          </w:p>
        </w:tc>
      </w:tr>
    </w:tbl>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H — OSS INCIDENT PLAYBOOK</w:t>
      </w:r>
    </w:p>
    <w:p>
      <w:pPr>
        <w:spacing w:after="120" w:before="0" w:line="276"/>
        <w:jc w:val="both"/>
      </w:pPr>
      <w:r>
        <w:rPr>
          <w:rFonts w:ascii="Calibri" w:cs="Calibri" w:eastAsia="Calibri" w:hAnsi="Calibri"/>
          <w:b w:val="false"/>
          <w:bCs w:val="false"/>
          <w:i w:val="false"/>
          <w:iCs w:val="false"/>
          <w:color w:val="333333"/>
          <w:sz w:val="22"/>
          <w:szCs w:val="22"/>
        </w:rPr>
        <w:t xml:space="preserve">This playbook provides step-by-step procedures for responding to open-source incidents as defined in Section 14. Adapt these steps as necessary based on the nature and severity of the incident.</w:t>
      </w:r>
    </w:p>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Phase 1: Detection and Triage (0-4 Hours)</w:t>
      </w:r>
    </w:p>
    <w:p>
      <w:pPr>
        <w:pStyle w:val="ListParagraph"/>
        <w:numPr>
          <w:ilvl w:val="0"/>
          <w:numId w:val="3"/>
        </w:numPr>
        <w:spacing w:after="80" w:line="276"/>
        <w:jc w:val="both"/>
      </w:pPr>
      <w:r>
        <w:rPr>
          <w:rFonts w:ascii="Calibri" w:cs="Calibri" w:eastAsia="Calibri" w:hAnsi="Calibri"/>
          <w:b/>
          <w:bCs/>
          <w:color w:val="333333"/>
          <w:sz w:val="22"/>
          <w:szCs w:val="22"/>
        </w:rPr>
        <w:t xml:space="preserve">Identify the triggering event </w:t>
      </w:r>
      <w:r>
        <w:rPr>
          <w:rFonts w:ascii="Calibri" w:cs="Calibri" w:eastAsia="Calibri" w:hAnsi="Calibri"/>
          <w:color w:val="333333"/>
          <w:sz w:val="22"/>
          <w:szCs w:val="22"/>
        </w:rPr>
        <w:t xml:space="preserve">(license claim, unapproved component, missing notices, copyleft exposure, compromised dependency, zero-day vulnerability, AI-code match).</w:t>
      </w:r>
    </w:p>
    <w:p>
      <w:pPr>
        <w:pStyle w:val="ListParagraph"/>
        <w:numPr>
          <w:ilvl w:val="0"/>
          <w:numId w:val="3"/>
        </w:numPr>
        <w:spacing w:after="80" w:line="276"/>
        <w:jc w:val="both"/>
      </w:pPr>
      <w:r>
        <w:rPr>
          <w:rFonts w:ascii="Calibri" w:cs="Calibri" w:eastAsia="Calibri" w:hAnsi="Calibri"/>
          <w:b/>
          <w:bCs/>
          <w:color w:val="333333"/>
          <w:sz w:val="22"/>
          <w:szCs w:val="22"/>
        </w:rPr>
        <w:t xml:space="preserve">Assess severity: </w:t>
      </w:r>
      <w:r>
        <w:rPr>
          <w:rFonts w:ascii="Calibri" w:cs="Calibri" w:eastAsia="Calibri" w:hAnsi="Calibri"/>
          <w:color w:val="333333"/>
          <w:sz w:val="22"/>
          <w:szCs w:val="22"/>
        </w:rPr>
        <w:t xml:space="preserve">Critical (active legal claim, production security breach, mandatory source-code disclosure of proprietary code), High (compliance gap in released product, customer-facing risk), Medium (internal-only impact, pre-release discovery), Low (process gap, no released-product impact).</w:t>
      </w:r>
    </w:p>
    <w:p>
      <w:pPr>
        <w:pStyle w:val="ListParagraph"/>
        <w:numPr>
          <w:ilvl w:val="0"/>
          <w:numId w:val="3"/>
        </w:numPr>
        <w:spacing w:after="80" w:line="276"/>
        <w:jc w:val="both"/>
      </w:pPr>
      <w:r>
        <w:rPr>
          <w:rFonts w:ascii="Calibri" w:cs="Calibri" w:eastAsia="Calibri" w:hAnsi="Calibri"/>
          <w:b/>
          <w:bCs/>
          <w:color w:val="333333"/>
          <w:sz w:val="22"/>
          <w:szCs w:val="22"/>
        </w:rPr>
        <w:t xml:space="preserve">Notify: </w:t>
      </w:r>
      <w:r>
        <w:rPr>
          <w:rFonts w:ascii="Calibri" w:cs="Calibri" w:eastAsia="Calibri" w:hAnsi="Calibri"/>
          <w:color w:val="333333"/>
          <w:sz w:val="22"/>
          <w:szCs w:val="22"/>
        </w:rPr>
        <w:t xml:space="preserve">OSRB Chair, Legal Counsel, Security Lead. For Critical/High: General Counsel, CTO, CISO.</w:t>
      </w:r>
    </w:p>
    <w:p>
      <w:pPr>
        <w:pStyle w:val="ListParagraph"/>
        <w:numPr>
          <w:ilvl w:val="0"/>
          <w:numId w:val="3"/>
        </w:numPr>
        <w:spacing w:after="80" w:line="276"/>
        <w:jc w:val="both"/>
      </w:pPr>
      <w:r>
        <w:rPr>
          <w:rFonts w:ascii="Calibri" w:cs="Calibri" w:eastAsia="Calibri" w:hAnsi="Calibri"/>
          <w:b/>
          <w:bCs/>
          <w:color w:val="333333"/>
          <w:sz w:val="22"/>
          <w:szCs w:val="22"/>
        </w:rPr>
        <w:t xml:space="preserve">Assign Incident Commander </w:t>
      </w:r>
      <w:r>
        <w:rPr>
          <w:rFonts w:ascii="Calibri" w:cs="Calibri" w:eastAsia="Calibri" w:hAnsi="Calibri"/>
          <w:color w:val="333333"/>
          <w:sz w:val="22"/>
          <w:szCs w:val="22"/>
        </w:rPr>
        <w:t xml:space="preserve">(typically OSRB Chair or designee).</w:t>
      </w:r>
    </w:p>
    <w:p>
      <w:pPr>
        <w:pStyle w:val="ListParagraph"/>
        <w:numPr>
          <w:ilvl w:val="0"/>
          <w:numId w:val="3"/>
        </w:numPr>
        <w:spacing w:after="80" w:line="276"/>
        <w:jc w:val="both"/>
      </w:pPr>
      <w:r>
        <w:rPr>
          <w:rFonts w:ascii="Calibri" w:cs="Calibri" w:eastAsia="Calibri" w:hAnsi="Calibri"/>
          <w:b/>
          <w:bCs/>
          <w:color w:val="333333"/>
          <w:sz w:val="22"/>
          <w:szCs w:val="22"/>
        </w:rPr>
        <w:t xml:space="preserve">Issue Release Hold </w:t>
      </w:r>
      <w:r>
        <w:rPr>
          <w:rFonts w:ascii="Calibri" w:cs="Calibri" w:eastAsia="Calibri" w:hAnsi="Calibri"/>
          <w:color w:val="333333"/>
          <w:sz w:val="22"/>
          <w:szCs w:val="22"/>
        </w:rPr>
        <w:t xml:space="preserve">for affected products/releases if severity is High or above.</w:t>
      </w:r>
    </w:p>
    <w:p>
      <w:pPr>
        <w:pStyle w:val="ListParagraph"/>
        <w:numPr>
          <w:ilvl w:val="0"/>
          <w:numId w:val="3"/>
        </w:numPr>
        <w:spacing w:after="80" w:line="276"/>
        <w:jc w:val="both"/>
      </w:pPr>
      <w:r>
        <w:rPr>
          <w:rFonts w:ascii="Calibri" w:cs="Calibri" w:eastAsia="Calibri" w:hAnsi="Calibri"/>
          <w:b/>
          <w:bCs/>
          <w:color w:val="333333"/>
          <w:sz w:val="22"/>
          <w:szCs w:val="22"/>
        </w:rPr>
        <w:t xml:space="preserve">Preserve evidence: </w:t>
      </w:r>
      <w:r>
        <w:rPr>
          <w:rFonts w:ascii="Calibri" w:cs="Calibri" w:eastAsia="Calibri" w:hAnsi="Calibri"/>
          <w:color w:val="333333"/>
          <w:sz w:val="22"/>
          <w:szCs w:val="22"/>
        </w:rPr>
        <w:t xml:space="preserve">snapshot SBOMs, build logs, scanner outputs, dependency lock files, repository state, communications.</w:t>
      </w:r>
    </w:p>
    <w:p>
      <w:pPr>
        <w:pStyle w:val="Heading2"/>
        <w:spacing w:after="120" w:before="240"/>
        <w:jc w:val="left"/>
      </w:pPr>
      <w:r>
        <w:rPr>
          <w:rFonts w:ascii="Calibri" w:cs="Calibri" w:eastAsia="Calibri" w:hAnsi="Calibri"/>
          <w:b/>
          <w:bCs/>
          <w:color w:val="1F3864"/>
          <w:sz w:val="24"/>
          <w:szCs w:val="24"/>
        </w:rPr>
        <w:t xml:space="preserve">Phase 2: Investigation (4-48 Hours)</w:t>
      </w:r>
    </w:p>
    <w:p>
      <w:pPr>
        <w:pStyle w:val="ListParagraph"/>
        <w:numPr>
          <w:ilvl w:val="0"/>
          <w:numId w:val="3"/>
        </w:numPr>
        <w:spacing w:after="80" w:line="276"/>
        <w:jc w:val="both"/>
      </w:pPr>
      <w:r>
        <w:rPr>
          <w:rFonts w:ascii="Calibri" w:cs="Calibri" w:eastAsia="Calibri" w:hAnsi="Calibri"/>
          <w:b/>
          <w:bCs/>
          <w:color w:val="333333"/>
          <w:sz w:val="22"/>
          <w:szCs w:val="22"/>
        </w:rPr>
        <w:t xml:space="preserve">Scope the blast radius: </w:t>
      </w:r>
      <w:r>
        <w:rPr>
          <w:rFonts w:ascii="Calibri" w:cs="Calibri" w:eastAsia="Calibri" w:hAnsi="Calibri"/>
          <w:color w:val="333333"/>
          <w:sz w:val="22"/>
          <w:szCs w:val="22"/>
        </w:rPr>
        <w:t xml:space="preserve">Using SBOMs and build records, identify all products, releases, builds, deployments, and customers affected by the Component(s) at issue.</w:t>
      </w:r>
    </w:p>
    <w:p>
      <w:pPr>
        <w:pStyle w:val="ListParagraph"/>
        <w:numPr>
          <w:ilvl w:val="0"/>
          <w:numId w:val="3"/>
        </w:numPr>
        <w:spacing w:after="80" w:line="276"/>
        <w:jc w:val="both"/>
      </w:pPr>
      <w:r>
        <w:rPr>
          <w:rFonts w:ascii="Calibri" w:cs="Calibri" w:eastAsia="Calibri" w:hAnsi="Calibri"/>
          <w:b/>
          <w:bCs/>
          <w:color w:val="333333"/>
          <w:sz w:val="22"/>
          <w:szCs w:val="22"/>
        </w:rPr>
        <w:t xml:space="preserve">Root-cause analysis: </w:t>
      </w:r>
      <w:r>
        <w:rPr>
          <w:rFonts w:ascii="Calibri" w:cs="Calibri" w:eastAsia="Calibri" w:hAnsi="Calibri"/>
          <w:color w:val="333333"/>
          <w:sz w:val="22"/>
          <w:szCs w:val="22"/>
        </w:rPr>
        <w:t xml:space="preserve">Determine how the non-compliant or compromised Component entered the codebase (process failure, tool gap, human error, malicious action, AI tool output).</w:t>
      </w:r>
    </w:p>
    <w:p>
      <w:pPr>
        <w:pStyle w:val="ListParagraph"/>
        <w:numPr>
          <w:ilvl w:val="0"/>
          <w:numId w:val="3"/>
        </w:numPr>
        <w:spacing w:after="80" w:line="276"/>
        <w:jc w:val="both"/>
      </w:pPr>
      <w:r>
        <w:rPr>
          <w:rFonts w:ascii="Calibri" w:cs="Calibri" w:eastAsia="Calibri" w:hAnsi="Calibri"/>
          <w:b/>
          <w:bCs/>
          <w:color w:val="333333"/>
          <w:sz w:val="22"/>
          <w:szCs w:val="22"/>
        </w:rPr>
        <w:t xml:space="preserve">Legal analysis: </w:t>
      </w:r>
      <w:r>
        <w:rPr>
          <w:rFonts w:ascii="Calibri" w:cs="Calibri" w:eastAsia="Calibri" w:hAnsi="Calibri"/>
          <w:color w:val="333333"/>
          <w:sz w:val="22"/>
          <w:szCs w:val="22"/>
        </w:rPr>
        <w:t xml:space="preserve">Assess the Company's legal exposure, obligations, and potential liability. Determine whether the incident triggers notification obligations to customers, partners, or regulators.</w:t>
      </w:r>
    </w:p>
    <w:p>
      <w:pPr>
        <w:pStyle w:val="ListParagraph"/>
        <w:numPr>
          <w:ilvl w:val="0"/>
          <w:numId w:val="3"/>
        </w:numPr>
        <w:spacing w:after="80" w:line="276"/>
        <w:jc w:val="both"/>
      </w:pPr>
      <w:r>
        <w:rPr>
          <w:rFonts w:ascii="Calibri" w:cs="Calibri" w:eastAsia="Calibri" w:hAnsi="Calibri"/>
          <w:b/>
          <w:bCs/>
          <w:color w:val="333333"/>
          <w:sz w:val="22"/>
          <w:szCs w:val="22"/>
        </w:rPr>
        <w:t xml:space="preserve">Technical assessment: </w:t>
      </w:r>
      <w:r>
        <w:rPr>
          <w:rFonts w:ascii="Calibri" w:cs="Calibri" w:eastAsia="Calibri" w:hAnsi="Calibri"/>
          <w:color w:val="333333"/>
          <w:sz w:val="22"/>
          <w:szCs w:val="22"/>
        </w:rPr>
        <w:t xml:space="preserve">For security incidents, determine whether exploitation has occurred, what data or systems are at risk, and what containment measures are needed.</w:t>
      </w:r>
    </w:p>
    <w:p>
      <w:pPr>
        <w:pStyle w:val="ListParagraph"/>
        <w:numPr>
          <w:ilvl w:val="0"/>
          <w:numId w:val="3"/>
        </w:numPr>
        <w:spacing w:after="80" w:line="276"/>
        <w:jc w:val="both"/>
      </w:pPr>
      <w:r>
        <w:rPr>
          <w:rFonts w:ascii="Calibri" w:cs="Calibri" w:eastAsia="Calibri" w:hAnsi="Calibri"/>
          <w:b/>
          <w:bCs/>
          <w:color w:val="333333"/>
          <w:sz w:val="22"/>
          <w:szCs w:val="22"/>
        </w:rPr>
        <w:t xml:space="preserve">Document findings: </w:t>
      </w:r>
      <w:r>
        <w:rPr>
          <w:rFonts w:ascii="Calibri" w:cs="Calibri" w:eastAsia="Calibri" w:hAnsi="Calibri"/>
          <w:color w:val="333333"/>
          <w:sz w:val="22"/>
          <w:szCs w:val="22"/>
        </w:rPr>
        <w:t xml:space="preserve">Maintain a running incident log with timestamped entries.</w:t>
      </w:r>
    </w:p>
    <w:p>
      <w:pPr>
        <w:pStyle w:val="Heading2"/>
        <w:spacing w:after="120" w:before="240"/>
        <w:jc w:val="left"/>
      </w:pPr>
      <w:r>
        <w:rPr>
          <w:rFonts w:ascii="Calibri" w:cs="Calibri" w:eastAsia="Calibri" w:hAnsi="Calibri"/>
          <w:b/>
          <w:bCs/>
          <w:color w:val="1F3864"/>
          <w:sz w:val="24"/>
          <w:szCs w:val="24"/>
        </w:rPr>
        <w:t xml:space="preserve">Phase 3: Containment and Remediation (24 Hours - 30 Days)</w:t>
      </w:r>
    </w:p>
    <w:p>
      <w:pPr>
        <w:pStyle w:val="ListParagraph"/>
        <w:numPr>
          <w:ilvl w:val="0"/>
          <w:numId w:val="3"/>
        </w:numPr>
        <w:spacing w:after="80" w:line="276"/>
        <w:jc w:val="both"/>
      </w:pPr>
      <w:r>
        <w:rPr>
          <w:rFonts w:ascii="Calibri" w:cs="Calibri" w:eastAsia="Calibri" w:hAnsi="Calibri"/>
          <w:b/>
          <w:bCs/>
          <w:color w:val="333333"/>
          <w:sz w:val="22"/>
          <w:szCs w:val="22"/>
        </w:rPr>
        <w:t xml:space="preserve">Implement containment: </w:t>
      </w:r>
      <w:r>
        <w:rPr>
          <w:rFonts w:ascii="Calibri" w:cs="Calibri" w:eastAsia="Calibri" w:hAnsi="Calibri"/>
          <w:color w:val="333333"/>
          <w:sz w:val="22"/>
          <w:szCs w:val="22"/>
        </w:rPr>
        <w:t xml:space="preserve">Remove compromised Component, revert to approved version, disable affected functionality, isolate affected systems.</w:t>
      </w:r>
    </w:p>
    <w:p>
      <w:pPr>
        <w:pStyle w:val="ListParagraph"/>
        <w:numPr>
          <w:ilvl w:val="0"/>
          <w:numId w:val="3"/>
        </w:numPr>
        <w:spacing w:after="80" w:line="276"/>
        <w:jc w:val="both"/>
      </w:pPr>
      <w:r>
        <w:rPr>
          <w:rFonts w:ascii="Calibri" w:cs="Calibri" w:eastAsia="Calibri" w:hAnsi="Calibri"/>
          <w:b/>
          <w:bCs/>
          <w:color w:val="333333"/>
          <w:sz w:val="22"/>
          <w:szCs w:val="22"/>
        </w:rPr>
        <w:t xml:space="preserve">Remediate compliance gaps: </w:t>
      </w:r>
      <w:r>
        <w:rPr>
          <w:rFonts w:ascii="Calibri" w:cs="Calibri" w:eastAsia="Calibri" w:hAnsi="Calibri"/>
          <w:color w:val="333333"/>
          <w:sz w:val="22"/>
          <w:szCs w:val="22"/>
        </w:rPr>
        <w:t xml:space="preserve">Publish missing notices, prepare source packages, issue corrected releases, provide retroactive attribution.</w:t>
      </w:r>
    </w:p>
    <w:p>
      <w:pPr>
        <w:pStyle w:val="ListParagraph"/>
        <w:numPr>
          <w:ilvl w:val="0"/>
          <w:numId w:val="3"/>
        </w:numPr>
        <w:spacing w:after="80" w:line="276"/>
        <w:jc w:val="both"/>
      </w:pPr>
      <w:r>
        <w:rPr>
          <w:rFonts w:ascii="Calibri" w:cs="Calibri" w:eastAsia="Calibri" w:hAnsi="Calibri"/>
          <w:b/>
          <w:bCs/>
          <w:color w:val="333333"/>
          <w:sz w:val="22"/>
          <w:szCs w:val="22"/>
        </w:rPr>
        <w:t xml:space="preserve">Respond to external parties: </w:t>
      </w:r>
      <w:r>
        <w:rPr>
          <w:rFonts w:ascii="Calibri" w:cs="Calibri" w:eastAsia="Calibri" w:hAnsi="Calibri"/>
          <w:color w:val="333333"/>
          <w:sz w:val="22"/>
          <w:szCs w:val="22"/>
        </w:rPr>
        <w:t xml:space="preserve">Coordinate with Legal for responses to license-enforcement inquiries or legal claims. Do not admit liability without Legal guidance.</w:t>
      </w:r>
    </w:p>
    <w:p>
      <w:pPr>
        <w:pStyle w:val="ListParagraph"/>
        <w:numPr>
          <w:ilvl w:val="0"/>
          <w:numId w:val="3"/>
        </w:numPr>
        <w:spacing w:after="80" w:line="276"/>
        <w:jc w:val="both"/>
      </w:pPr>
      <w:r>
        <w:rPr>
          <w:rFonts w:ascii="Calibri" w:cs="Calibri" w:eastAsia="Calibri" w:hAnsi="Calibri"/>
          <w:b/>
          <w:bCs/>
          <w:color w:val="333333"/>
          <w:sz w:val="22"/>
          <w:szCs w:val="22"/>
        </w:rPr>
        <w:t xml:space="preserve">Notify affected parties: </w:t>
      </w:r>
      <w:r>
        <w:rPr>
          <w:rFonts w:ascii="Calibri" w:cs="Calibri" w:eastAsia="Calibri" w:hAnsi="Calibri"/>
          <w:color w:val="333333"/>
          <w:sz w:val="22"/>
          <w:szCs w:val="22"/>
        </w:rPr>
        <w:t xml:space="preserve">Notify customers, partners, and regulators as required by applicable law, contract, or Company policy.</w:t>
      </w:r>
    </w:p>
    <w:p>
      <w:pPr>
        <w:pStyle w:val="ListParagraph"/>
        <w:numPr>
          <w:ilvl w:val="0"/>
          <w:numId w:val="3"/>
        </w:numPr>
        <w:spacing w:after="80" w:line="276"/>
        <w:jc w:val="both"/>
      </w:pPr>
      <w:r>
        <w:rPr>
          <w:rFonts w:ascii="Calibri" w:cs="Calibri" w:eastAsia="Calibri" w:hAnsi="Calibri"/>
          <w:b/>
          <w:bCs/>
          <w:color w:val="333333"/>
          <w:sz w:val="22"/>
          <w:szCs w:val="22"/>
        </w:rPr>
        <w:t xml:space="preserve">Verify remediation: </w:t>
      </w:r>
      <w:r>
        <w:rPr>
          <w:rFonts w:ascii="Calibri" w:cs="Calibri" w:eastAsia="Calibri" w:hAnsi="Calibri"/>
          <w:color w:val="333333"/>
          <w:sz w:val="22"/>
          <w:szCs w:val="22"/>
        </w:rPr>
        <w:t xml:space="preserve">Confirm that affected builds have been rebuilt, re-scanned, and re-released as needed.</w:t>
      </w:r>
    </w:p>
    <w:p>
      <w:pPr>
        <w:pStyle w:val="Heading2"/>
        <w:spacing w:after="120" w:before="240"/>
        <w:jc w:val="left"/>
      </w:pPr>
      <w:r>
        <w:rPr>
          <w:rFonts w:ascii="Calibri" w:cs="Calibri" w:eastAsia="Calibri" w:hAnsi="Calibri"/>
          <w:b/>
          <w:bCs/>
          <w:color w:val="1F3864"/>
          <w:sz w:val="24"/>
          <w:szCs w:val="24"/>
        </w:rPr>
        <w:t xml:space="preserve">Phase 4: Post-Incident Review (Within 30 Days of Resolution)</w:t>
      </w:r>
    </w:p>
    <w:p>
      <w:pPr>
        <w:pStyle w:val="ListParagraph"/>
        <w:numPr>
          <w:ilvl w:val="0"/>
          <w:numId w:val="3"/>
        </w:numPr>
        <w:spacing w:after="80" w:line="276"/>
        <w:jc w:val="both"/>
      </w:pPr>
      <w:r>
        <w:rPr>
          <w:rFonts w:ascii="Calibri" w:cs="Calibri" w:eastAsia="Calibri" w:hAnsi="Calibri"/>
          <w:b/>
          <w:bCs/>
          <w:color w:val="333333"/>
          <w:sz w:val="22"/>
          <w:szCs w:val="22"/>
        </w:rPr>
        <w:t xml:space="preserve">Conduct blameless post-mortem: </w:t>
      </w:r>
      <w:r>
        <w:rPr>
          <w:rFonts w:ascii="Calibri" w:cs="Calibri" w:eastAsia="Calibri" w:hAnsi="Calibri"/>
          <w:color w:val="333333"/>
          <w:sz w:val="22"/>
          <w:szCs w:val="22"/>
        </w:rPr>
        <w:t xml:space="preserve">Review timeline, root cause, response effectiveness, and communication.</w:t>
      </w:r>
    </w:p>
    <w:p>
      <w:pPr>
        <w:pStyle w:val="ListParagraph"/>
        <w:numPr>
          <w:ilvl w:val="0"/>
          <w:numId w:val="3"/>
        </w:numPr>
        <w:spacing w:after="80" w:line="276"/>
        <w:jc w:val="both"/>
      </w:pPr>
      <w:r>
        <w:rPr>
          <w:rFonts w:ascii="Calibri" w:cs="Calibri" w:eastAsia="Calibri" w:hAnsi="Calibri"/>
          <w:b/>
          <w:bCs/>
          <w:color w:val="333333"/>
          <w:sz w:val="22"/>
          <w:szCs w:val="22"/>
        </w:rPr>
        <w:t xml:space="preserve">Identify systemic issues: </w:t>
      </w:r>
      <w:r>
        <w:rPr>
          <w:rFonts w:ascii="Calibri" w:cs="Calibri" w:eastAsia="Calibri" w:hAnsi="Calibri"/>
          <w:color w:val="333333"/>
          <w:sz w:val="22"/>
          <w:szCs w:val="22"/>
        </w:rPr>
        <w:t xml:space="preserve">Process gaps, tool deficiencies, training needs, Policy ambiguities.</w:t>
      </w:r>
    </w:p>
    <w:p>
      <w:pPr>
        <w:pStyle w:val="ListParagraph"/>
        <w:numPr>
          <w:ilvl w:val="0"/>
          <w:numId w:val="3"/>
        </w:numPr>
        <w:spacing w:after="80" w:line="276"/>
        <w:jc w:val="both"/>
      </w:pPr>
      <w:r>
        <w:rPr>
          <w:rFonts w:ascii="Calibri" w:cs="Calibri" w:eastAsia="Calibri" w:hAnsi="Calibri"/>
          <w:b/>
          <w:bCs/>
          <w:color w:val="333333"/>
          <w:sz w:val="22"/>
          <w:szCs w:val="22"/>
        </w:rPr>
        <w:t xml:space="preserve">Implement corrective actions: </w:t>
      </w:r>
      <w:r>
        <w:rPr>
          <w:rFonts w:ascii="Calibri" w:cs="Calibri" w:eastAsia="Calibri" w:hAnsi="Calibri"/>
          <w:color w:val="333333"/>
          <w:sz w:val="22"/>
          <w:szCs w:val="22"/>
        </w:rPr>
        <w:t xml:space="preserve">Update Policy, procedures, tools, training, or controls as needed.</w:t>
      </w:r>
    </w:p>
    <w:p>
      <w:pPr>
        <w:pStyle w:val="ListParagraph"/>
        <w:numPr>
          <w:ilvl w:val="0"/>
          <w:numId w:val="3"/>
        </w:numPr>
        <w:spacing w:after="80" w:line="276"/>
        <w:jc w:val="both"/>
      </w:pPr>
      <w:r>
        <w:rPr>
          <w:rFonts w:ascii="Calibri" w:cs="Calibri" w:eastAsia="Calibri" w:hAnsi="Calibri"/>
          <w:b/>
          <w:bCs/>
          <w:color w:val="333333"/>
          <w:sz w:val="22"/>
          <w:szCs w:val="22"/>
        </w:rPr>
        <w:t xml:space="preserve">Update metrics and reporting: </w:t>
      </w:r>
      <w:r>
        <w:rPr>
          <w:rFonts w:ascii="Calibri" w:cs="Calibri" w:eastAsia="Calibri" w:hAnsi="Calibri"/>
          <w:color w:val="333333"/>
          <w:sz w:val="22"/>
          <w:szCs w:val="22"/>
        </w:rPr>
        <w:t xml:space="preserve">Record incident in the incident register and update OSRB metrics.</w:t>
      </w:r>
    </w:p>
    <w:p>
      <w:pPr>
        <w:pStyle w:val="ListParagraph"/>
        <w:numPr>
          <w:ilvl w:val="0"/>
          <w:numId w:val="3"/>
        </w:numPr>
        <w:spacing w:after="80" w:line="276"/>
        <w:jc w:val="both"/>
      </w:pPr>
      <w:r>
        <w:rPr>
          <w:rFonts w:ascii="Calibri" w:cs="Calibri" w:eastAsia="Calibri" w:hAnsi="Calibri"/>
          <w:b/>
          <w:bCs/>
          <w:color w:val="333333"/>
          <w:sz w:val="22"/>
          <w:szCs w:val="22"/>
        </w:rPr>
        <w:t xml:space="preserve">Report to leadership: </w:t>
      </w:r>
      <w:r>
        <w:rPr>
          <w:rFonts w:ascii="Calibri" w:cs="Calibri" w:eastAsia="Calibri" w:hAnsi="Calibri"/>
          <w:color w:val="333333"/>
          <w:sz w:val="22"/>
          <w:szCs w:val="22"/>
        </w:rPr>
        <w:t xml:space="preserve">Provide summary report to CTO, General Counsel, and (for Critical/High) Board/Audit Committee.</w:t>
      </w:r>
    </w:p>
    <w:p>
      <w:pPr>
        <w:spacing w:after="60" w:before="0" w:line="276"/>
        <w:jc w:val="both"/>
      </w:pPr>
      <w:r>
        <w:rPr>
          <w:rFonts w:ascii="Calibri" w:cs="Calibri" w:eastAsia="Calibri" w:hAnsi="Calibri"/>
          <w:b w:val="false"/>
          <w:bCs w:val="false"/>
          <w:i w:val="false"/>
          <w:iCs w:val="false"/>
          <w:color w:val="333333"/>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Severity</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OSRB Notification</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Legal Notification</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Executive Notification</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Release Hold</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Post-Mortem</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Critical</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Immediate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Immediate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CTO + GC + Board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Mandatory</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Mandatory</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High</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Immediate</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Within 4 hrs</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CTO + GC</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Mandatory</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Mandatory</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Medium</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Within 4 hrs</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Within 24 hrs</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As needed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Discretionary</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Recommended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Low</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Within 24 hrs</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As needed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Optional</w:t>
            </w:r>
          </w:p>
        </w:tc>
      </w:tr>
    </w:tbl>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I — ACQUISITION DILIGENCE SCHEDULE</w:t>
      </w:r>
    </w:p>
    <w:p>
      <w:pPr>
        <w:spacing w:after="120" w:before="0" w:line="276"/>
        <w:jc w:val="both"/>
      </w:pPr>
      <w:r>
        <w:rPr>
          <w:rFonts w:ascii="Calibri" w:cs="Calibri" w:eastAsia="Calibri" w:hAnsi="Calibri"/>
          <w:b w:val="false"/>
          <w:bCs w:val="false"/>
          <w:i w:val="false"/>
          <w:iCs w:val="false"/>
          <w:color w:val="333333"/>
          <w:sz w:val="22"/>
          <w:szCs w:val="22"/>
        </w:rPr>
        <w:t xml:space="preserve">Use this schedule during M&amp;A due diligence to document the open-source posture of the acquisition target. This schedule should be completed by the target (or the Company's diligence team based on SCA scan results) and reviewed by the OSRB and Legal before closing.</w:t>
      </w:r>
    </w:p>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1: Target Open-Source Program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Assessment Area</w:t>
            </w:r>
          </w:p>
        </w:tc>
        <w:tc>
          <w:tcPr>
            <w:tcW w:type="dxa" w:w="624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have a written open-source policy?</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ATTACH IF YES]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maintain a component registry or inventory?</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DESCRIBE]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generate SBOMs for its products?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FORMAT AND TOOL]</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have an open-source review board or equivalent?</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DESCRIBE STRUCTURE]</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Has the target received any license-compliance claims or inquiries?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DESCRIBE IF YES]</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contribute to external open-source projects?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LIST PROJECTS AND CLA/DCO STATUS]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maintain any open-source Releases?</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LIST PROJECTS, LICENSES, AND GOVERNANCE]</w:t>
            </w:r>
          </w:p>
        </w:tc>
      </w:tr>
      <w:tr>
        <w:tc>
          <w:tcPr>
            <w:tcW w:type="dxa" w:w="312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Does the target use AI-assisted coding tools?</w:t>
            </w:r>
          </w:p>
        </w:tc>
        <w:tc>
          <w:tcPr>
            <w:tcW w:type="dxa" w:w="624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[YES / NO — LIST TOOLS AND DESCRIBE PROVENANCE CONTROLS]</w:t>
            </w:r>
          </w:p>
        </w:tc>
      </w:tr>
      <w:tr>
        <w:tc>
          <w:tcPr>
            <w:tcW w:type="dxa" w:w="312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 of last comprehensive SCA scan?</w:t>
            </w:r>
          </w:p>
        </w:tc>
        <w:tc>
          <w:tcPr>
            <w:tcW w:type="dxa" w:w="624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 — TOOL USED]</w:t>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2: Component License Schedule</w:t>
      </w:r>
    </w:p>
    <w:p>
      <w:pPr>
        <w:spacing w:after="120" w:before="0" w:line="276"/>
        <w:jc w:val="both"/>
      </w:pPr>
      <w:r>
        <w:rPr>
          <w:rFonts w:ascii="Calibri" w:cs="Calibri" w:eastAsia="Calibri" w:hAnsi="Calibri"/>
          <w:b w:val="false"/>
          <w:bCs w:val="false"/>
          <w:i w:val="false"/>
          <w:iCs w:val="false"/>
          <w:color w:val="333333"/>
          <w:sz w:val="22"/>
          <w:szCs w:val="22"/>
        </w:rPr>
        <w:t xml:space="preserve">List all open-source Components identified in the target's products and services. Attach full SCA scan reports as supplemental materials.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Component</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Version</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License (SPDX)</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Product(s)</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Use Type</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Risk Tier</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[DISTRIBUTED / SAAS / INTERNAL / BUILD]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 2 / 3]</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[DISTRIBUTED / SAAS / INTERNAL / BUILD]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 2 / 3]</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[DISTRIBUTED / SAAS / INTERNAL / BUILD]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 2 / 3]</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[DISTRIBUTED / SAAS / INTERNAL / BUILD]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 2 / 3]</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[VERSION]</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[SPDX ID]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[DISTRIBUTED / SAAS / INTERNAL / BUILD]</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 2 / 3]</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(Add rows as needed)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r>
    </w:tbl>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3: Risk Flags and Remediation Items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Issue</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Severity</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Affected Product(s)</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Remediation Required</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Target Completion</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Status</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ISSUE]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[CRITICAL / HIGH / MEDIUM / LOW]</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[PRODUCT(S)]</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REMEDIATION]</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[OPEN / IN PROGRESS / CLOSED]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ISSUE]</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[CRITICAL / HIGH / MEDIUM / LOW]</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[PRODUCT(S)]</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REMEDIATION]</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[OPEN / IN PROGRESS / CLOSED]</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ISSUE]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[CRITICAL / HIGH / MEDIUM / LOW]</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[PRODUCT(S)]</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[DESCRIBE REMEDIATION]</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[OPEN / IN PROGRESS / CLOSED]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(Add rows as needed)</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r>
    </w:tbl>
    <w:p>
      <w:r>
        <w:br w:type="page"/>
      </w:r>
    </w:p>
    <w:p>
      <w:pPr>
        <w:pStyle w:val="Heading1"/>
        <w:pBdr>
          <w:bottom w:val="single" w:color="1F3864" w:sz="6" w:space="4"/>
        </w:pBdr>
        <w:spacing w:after="200" w:before="360"/>
        <w:jc w:val="left"/>
      </w:pPr>
      <w:r>
        <w:rPr>
          <w:rFonts w:ascii="Calibri" w:cs="Calibri" w:eastAsia="Calibri" w:hAnsi="Calibri"/>
          <w:b/>
          <w:bCs/>
          <w:color w:val="1F3864"/>
          <w:sz w:val="26"/>
          <w:szCs w:val="26"/>
        </w:rPr>
        <w:t xml:space="preserve">EXHIBIT J — TRAINING MATRIX AND CONTROL-EVIDENCE LEDGER</w:t>
      </w:r>
    </w:p>
    <w:p>
      <w:pPr>
        <w:spacing w:after="120" w:before="0" w:line="276"/>
        <w:jc w:val="both"/>
      </w:pPr>
      <w:r>
        <w:rPr>
          <w:rFonts w:ascii="Calibri" w:cs="Calibri" w:eastAsia="Calibri" w:hAnsi="Calibri"/>
          <w:b w:val="false"/>
          <w:bCs w:val="false"/>
          <w:i w:val="false"/>
          <w:iCs w:val="false"/>
          <w:color w:val="333333"/>
          <w:sz w:val="22"/>
          <w:szCs w:val="22"/>
        </w:rPr>
        <w:t xml:space="preserve">This exhibit documents the Company's open-source training program and serves as a ledger for tracking compliance-control evidence.</w:t>
      </w:r>
    </w:p>
    <w:p>
      <w:pPr>
        <w:spacing w:after="6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1: Training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600"/>
        <w:gridCol w:w="1300"/>
        <w:gridCol w:w="1700"/>
        <w:gridCol w:w="1100"/>
        <w:gridCol w:w="1460"/>
      </w:tblGrid>
      <w:tr>
        <w:trPr>
          <w:tblHeader/>
        </w:trPr>
        <w:tc>
          <w:tcPr>
            <w:tcW w:type="dxa" w:w="18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Training Module</w:t>
            </w:r>
          </w:p>
        </w:tc>
        <w:tc>
          <w:tcPr>
            <w:tcW w:type="dxa" w:w="16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Audience</w:t>
            </w:r>
          </w:p>
        </w:tc>
        <w:tc>
          <w:tcPr>
            <w:tcW w:type="dxa" w:w="13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Frequency</w:t>
            </w:r>
          </w:p>
        </w:tc>
        <w:tc>
          <w:tcPr>
            <w:tcW w:type="dxa" w:w="17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Delivery Method</w:t>
            </w:r>
          </w:p>
        </w:tc>
        <w:tc>
          <w:tcPr>
            <w:tcW w:type="dxa" w:w="11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Duration</w:t>
            </w:r>
          </w:p>
        </w:tc>
        <w:tc>
          <w:tcPr>
            <w:tcW w:type="dxa" w:w="14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Owner</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Open Source Fundamentals</w:t>
            </w:r>
          </w:p>
        </w:tc>
        <w:tc>
          <w:tcPr>
            <w:tcW w:type="dxa" w:w="1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engineering Personnel</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Upon hire + annually</w:t>
            </w:r>
          </w:p>
        </w:tc>
        <w:tc>
          <w:tcPr>
            <w:tcW w:type="dxa" w:w="17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[LMS / INSTRUCTOR-LED / VIDEO]</w:t>
            </w:r>
          </w:p>
        </w:tc>
        <w:tc>
          <w:tcPr>
            <w:tcW w:type="dxa" w:w="11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[1-2 HOURS]</w:t>
            </w:r>
          </w:p>
        </w:tc>
        <w:tc>
          <w:tcPr>
            <w:tcW w:type="dxa" w:w="14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 L&amp;D]</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License Classification Deep Dive</w:t>
            </w:r>
          </w:p>
        </w:tc>
        <w:tc>
          <w:tcPr>
            <w:tcW w:type="dxa" w:w="1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Engineering leads, architects</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Annually</w:t>
            </w:r>
          </w:p>
        </w:tc>
        <w:tc>
          <w:tcPr>
            <w:tcW w:type="dxa" w:w="17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[INSTRUCTOR-LED / WORKSHOP]</w:t>
            </w:r>
          </w:p>
        </w:tc>
        <w:tc>
          <w:tcPr>
            <w:tcW w:type="dxa" w:w="11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[2-3 HOURS]</w:t>
            </w:r>
          </w:p>
        </w:tc>
        <w:tc>
          <w:tcPr>
            <w:tcW w:type="dxa" w:w="14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 OSRB]</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Intake and Approval Process</w:t>
            </w:r>
          </w:p>
        </w:tc>
        <w:tc>
          <w:tcPr>
            <w:tcW w:type="dxa" w:w="1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engineering Personnel</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Upon hire + annually</w:t>
            </w:r>
          </w:p>
        </w:tc>
        <w:tc>
          <w:tcPr>
            <w:tcW w:type="dxa" w:w="17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[LMS / VIDEO]</w:t>
            </w:r>
          </w:p>
        </w:tc>
        <w:tc>
          <w:tcPr>
            <w:tcW w:type="dxa" w:w="11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[30-60 MIN]</w:t>
            </w:r>
          </w:p>
        </w:tc>
        <w:tc>
          <w:tcPr>
            <w:tcW w:type="dxa" w:w="14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Copyleft Risk and Architecture</w:t>
            </w:r>
          </w:p>
        </w:tc>
        <w:tc>
          <w:tcPr>
            <w:tcW w:type="dxa" w:w="1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Architects, senior engineers</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Annually</w:t>
            </w:r>
          </w:p>
        </w:tc>
        <w:tc>
          <w:tcPr>
            <w:tcW w:type="dxa" w:w="17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[WORKSHOP / CASE STUDY]</w:t>
            </w:r>
          </w:p>
        </w:tc>
        <w:tc>
          <w:tcPr>
            <w:tcW w:type="dxa" w:w="11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 HOURS]</w:t>
            </w:r>
          </w:p>
        </w:tc>
        <w:tc>
          <w:tcPr>
            <w:tcW w:type="dxa" w:w="14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 ENGINEERING]</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CI/CD Gate and SBOM Tools</w:t>
            </w:r>
          </w:p>
        </w:tc>
        <w:tc>
          <w:tcPr>
            <w:tcW w:type="dxa" w:w="1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DevOps, release engineers</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Upon onboarding + annually</w:t>
            </w:r>
          </w:p>
        </w:tc>
        <w:tc>
          <w:tcPr>
            <w:tcW w:type="dxa" w:w="17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[HANDS-ON LAB]</w:t>
            </w:r>
          </w:p>
        </w:tc>
        <w:tc>
          <w:tcPr>
            <w:tcW w:type="dxa" w:w="11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[1-2 HOURS]</w:t>
            </w:r>
          </w:p>
        </w:tc>
        <w:tc>
          <w:tcPr>
            <w:tcW w:type="dxa" w:w="14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[DEVOPS / OSRB]</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Contribution and Release Process</w:t>
            </w:r>
          </w:p>
        </w:tc>
        <w:tc>
          <w:tcPr>
            <w:tcW w:type="dxa" w:w="1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engineering Personnel</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Annually</w:t>
            </w:r>
          </w:p>
        </w:tc>
        <w:tc>
          <w:tcPr>
            <w:tcW w:type="dxa" w:w="17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[LMS / VIDEO]</w:t>
            </w:r>
          </w:p>
        </w:tc>
        <w:tc>
          <w:tcPr>
            <w:tcW w:type="dxa" w:w="11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[30-60 MIN]</w:t>
            </w:r>
          </w:p>
        </w:tc>
        <w:tc>
          <w:tcPr>
            <w:tcW w:type="dxa" w:w="14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AI-Assisted Coding Compliance</w:t>
            </w:r>
          </w:p>
        </w:tc>
        <w:tc>
          <w:tcPr>
            <w:tcW w:type="dxa" w:w="1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All Personnel using AI tools</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Upon tool adoption + annually</w:t>
            </w:r>
          </w:p>
        </w:tc>
        <w:tc>
          <w:tcPr>
            <w:tcW w:type="dxa" w:w="17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[LMS / WORKSHOP]</w:t>
            </w:r>
          </w:p>
        </w:tc>
        <w:tc>
          <w:tcPr>
            <w:tcW w:type="dxa" w:w="11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[1 HOUR]</w:t>
            </w:r>
          </w:p>
        </w:tc>
        <w:tc>
          <w:tcPr>
            <w:tcW w:type="dxa" w:w="14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 SECURITY]</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Incident Response for OSS</w:t>
            </w:r>
          </w:p>
        </w:tc>
        <w:tc>
          <w:tcPr>
            <w:tcW w:type="dxa" w:w="1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members, leads</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Annually</w:t>
            </w:r>
          </w:p>
        </w:tc>
        <w:tc>
          <w:tcPr>
            <w:tcW w:type="dxa" w:w="17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[TABLETOP EXERCISE]</w:t>
            </w:r>
          </w:p>
        </w:tc>
        <w:tc>
          <w:tcPr>
            <w:tcW w:type="dxa" w:w="11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[2-3 HOURS]</w:t>
            </w:r>
          </w:p>
        </w:tc>
        <w:tc>
          <w:tcPr>
            <w:tcW w:type="dxa" w:w="14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 SECURITY]</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Vendor and Contractor OSS Requirements</w:t>
            </w:r>
          </w:p>
        </w:tc>
        <w:tc>
          <w:tcPr>
            <w:tcW w:type="dxa" w:w="16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Procurement, vendor mgmt</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Annually</w:t>
            </w:r>
          </w:p>
        </w:tc>
        <w:tc>
          <w:tcPr>
            <w:tcW w:type="dxa" w:w="17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[LMS / VIDEO]</w:t>
            </w:r>
          </w:p>
        </w:tc>
        <w:tc>
          <w:tcPr>
            <w:tcW w:type="dxa" w:w="11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[30-60 MIN]</w:t>
            </w:r>
          </w:p>
        </w:tc>
        <w:tc>
          <w:tcPr>
            <w:tcW w:type="dxa" w:w="14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 PROCUREMENT]</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Acquisition OSS Diligence</w:t>
            </w:r>
          </w:p>
        </w:tc>
        <w:tc>
          <w:tcPr>
            <w:tcW w:type="dxa" w:w="16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Corp dev, legal, M&amp;A team</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As needed</w:t>
            </w:r>
          </w:p>
        </w:tc>
        <w:tc>
          <w:tcPr>
            <w:tcW w:type="dxa" w:w="17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[WORKSHOP]</w:t>
            </w:r>
          </w:p>
        </w:tc>
        <w:tc>
          <w:tcPr>
            <w:tcW w:type="dxa" w:w="11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[2 HOURS]</w:t>
            </w:r>
          </w:p>
        </w:tc>
        <w:tc>
          <w:tcPr>
            <w:tcW w:type="dxa" w:w="14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 OSRB]</w:t>
            </w:r>
          </w:p>
        </w:tc>
      </w:tr>
    </w:tbl>
    <w:p>
      <w:pPr>
        <w:spacing w:after="10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2: Training Completion Tracker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400"/>
        <w:gridCol w:w="1560"/>
        <w:gridCol w:w="1400"/>
        <w:gridCol w:w="1400"/>
        <w:gridCol w:w="1400"/>
      </w:tblGrid>
      <w:tr>
        <w:trPr>
          <w:tblHeader/>
        </w:trPr>
        <w:tc>
          <w:tcPr>
            <w:tcW w:type="dxa" w:w="18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Personnel Name</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Department</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Module Completed</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Completion Date</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Next Due Date</w:t>
            </w:r>
          </w:p>
        </w:tc>
        <w:tc>
          <w:tcPr>
            <w:tcW w:type="dxa" w:w="14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Status</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[DEPT]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[MODULE]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[CURRENT / OVERDUE / EXEMPT]</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[DEPT]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[MODULE]</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[CURRENT / OVERDUE / EXEMPT]</w:t>
            </w:r>
          </w:p>
        </w:tc>
      </w:tr>
      <w:tr>
        <w:tc>
          <w:tcPr>
            <w:tcW w:type="dxa" w:w="18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[NAME]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[DEPT]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[MODULE]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4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[CURRENT / OVERDUE / EXEMPT]</w:t>
            </w:r>
          </w:p>
        </w:tc>
      </w:tr>
      <w:tr>
        <w:tc>
          <w:tcPr>
            <w:tcW w:type="dxa" w:w="18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(Add rows as needed)</w:t>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c>
          <w:tcPr>
            <w:tcW w:type="dxa" w:w="14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
            </w:r>
          </w:p>
        </w:tc>
      </w:tr>
    </w:tbl>
    <w:p>
      <w:pPr>
        <w:spacing w:after="100" w:before="0" w:line="276"/>
        <w:jc w:val="both"/>
      </w:pPr>
      <w:r>
        <w:rPr>
          <w:rFonts w:ascii="Calibri" w:cs="Calibri" w:eastAsia="Calibri" w:hAnsi="Calibri"/>
          <w:b w:val="false"/>
          <w:bCs w:val="false"/>
          <w:i w:val="false"/>
          <w:iCs w:val="false"/>
          <w:color w:val="333333"/>
          <w:sz w:val="22"/>
          <w:szCs w:val="22"/>
        </w:rPr>
        <w:t xml:space="preserve"/>
      </w:r>
    </w:p>
    <w:p>
      <w:pPr>
        <w:pStyle w:val="Heading2"/>
        <w:spacing w:after="120" w:before="240"/>
        <w:jc w:val="left"/>
      </w:pPr>
      <w:r>
        <w:rPr>
          <w:rFonts w:ascii="Calibri" w:cs="Calibri" w:eastAsia="Calibri" w:hAnsi="Calibri"/>
          <w:b/>
          <w:bCs/>
          <w:color w:val="1F3864"/>
          <w:sz w:val="24"/>
          <w:szCs w:val="24"/>
        </w:rPr>
        <w:t xml:space="preserve">Part 3: Control-Evidence Ledger</w:t>
      </w:r>
    </w:p>
    <w:p>
      <w:pPr>
        <w:spacing w:after="120" w:before="0" w:line="276"/>
        <w:jc w:val="both"/>
      </w:pPr>
      <w:r>
        <w:rPr>
          <w:rFonts w:ascii="Calibri" w:cs="Calibri" w:eastAsia="Calibri" w:hAnsi="Calibri"/>
          <w:b w:val="false"/>
          <w:bCs w:val="false"/>
          <w:i w:val="false"/>
          <w:iCs w:val="false"/>
          <w:color w:val="333333"/>
          <w:sz w:val="22"/>
          <w:szCs w:val="22"/>
        </w:rPr>
        <w:t xml:space="preserve">Record evidence of control execution for audit and compliance purposes. Retain evidence files in the Company's document-management system with the reference ID noted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300"/>
        <w:gridCol w:w="1300"/>
        <w:gridCol w:w="1680"/>
      </w:tblGrid>
      <w:tr>
        <w:trPr>
          <w:tblHeader/>
        </w:trPr>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Control</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Evidence Type</w:t>
            </w:r>
          </w:p>
        </w:tc>
        <w:tc>
          <w:tcPr>
            <w:tcW w:type="dxa" w:w="156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Responsible Party</w:t>
            </w:r>
          </w:p>
        </w:tc>
        <w:tc>
          <w:tcPr>
            <w:tcW w:type="dxa" w:w="13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Frequency</w:t>
            </w:r>
          </w:p>
        </w:tc>
        <w:tc>
          <w:tcPr>
            <w:tcW w:type="dxa" w:w="130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Last Executed</w:t>
            </w:r>
          </w:p>
        </w:tc>
        <w:tc>
          <w:tcPr>
            <w:tcW w:type="dxa" w:w="1680"/>
            <w:shd w:fill="1F3864" w:val="clear"/>
            <w:tcMar>
              <w:top w:type="dxa" w:w="40"/>
              <w:left w:type="dxa" w:w="80"/>
              <w:bottom w:type="dxa" w:w="40"/>
              <w:right w:type="dxa" w:w="80"/>
            </w:tcMar>
            <w:vAlign w:val="center"/>
          </w:tcPr>
          <w:p>
            <w:pPr>
              <w:spacing w:after="40" w:before="0" w:line="276"/>
              <w:jc w:val="left"/>
            </w:pPr>
            <w:r>
              <w:rPr>
                <w:rFonts w:ascii="Calibri" w:cs="Calibri" w:eastAsia="Calibri" w:hAnsi="Calibri"/>
                <w:b/>
                <w:bCs/>
                <w:i w:val="false"/>
                <w:iCs w:val="false"/>
                <w:color w:val="333333"/>
                <w:sz w:val="20"/>
                <w:szCs w:val="20"/>
              </w:rPr>
              <w:t xml:space="preserve">Evidence Ref</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Component Registry Review</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Registry export + review notes</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CHAIR]</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Quarterly</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Accuracy Audit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SBOM vs. build comparison report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[RELEASE MANAGER]</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Per release</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CI/CD Gate Audit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Gate logs + suppression review</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[DEVOPS LEAD]</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Quarterly</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Exception Register Review</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Exception register snapshot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Monthly/Quarterly</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 File Audit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Notice file review report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[LEGAL / RELEASE MANAGER]</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Per release</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Vulnerability Scan</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SCA scan report</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[SECURITY LEAD]</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Continuous + quarterly</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Training Compliance</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LMS completion report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[L&amp;D / OSRB]</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Quarterly</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Contribution / Release Review</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Approved request forms</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Per request</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Incident Post-Mortem</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Post-mortem report</w:t>
            </w:r>
          </w:p>
        </w:tc>
        <w:tc>
          <w:tcPr>
            <w:tcW w:type="dxa" w:w="156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[OSRB / INCIDENT COMMANDER]</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Per incident</w:t>
            </w:r>
          </w:p>
        </w:tc>
        <w:tc>
          <w:tcPr>
            <w:tcW w:type="dxa" w:w="130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FFFFF"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r>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Policy Annual Review</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Revised policy + approval memo</w:t>
            </w:r>
          </w:p>
        </w:tc>
        <w:tc>
          <w:tcPr>
            <w:tcW w:type="dxa" w:w="156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[POLICY OWNER]</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Annually</w:t>
            </w:r>
          </w:p>
        </w:tc>
        <w:tc>
          <w:tcPr>
            <w:tcW w:type="dxa" w:w="130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[DATE]</w:t>
            </w:r>
          </w:p>
        </w:tc>
        <w:tc>
          <w:tcPr>
            <w:tcW w:type="dxa" w:w="1680"/>
            <w:shd w:fill="F2F2F2" w:val="clear"/>
            <w:tcMar>
              <w:top w:type="dxa" w:w="40"/>
              <w:left w:type="dxa" w:w="80"/>
              <w:bottom w:type="dxa" w:w="40"/>
              <w:right w:type="dxa" w:w="80"/>
            </w:tcMar>
            <w:vAlign w:val="center"/>
          </w:tcPr>
          <w:p>
            <w:pPr>
              <w:spacing w:after="40" w:before="0" w:line="276"/>
              <w:jc w:val="left"/>
            </w:pPr>
            <w:r>
              <w:rPr>
                <w:rFonts w:ascii="Calibri" w:cs="Calibri" w:eastAsia="Calibri" w:hAnsi="Calibri"/>
                <w:b w:val="false"/>
                <w:bCs w:val="false"/>
                <w:i w:val="false"/>
                <w:iCs w:val="false"/>
                <w:color w:val="333333"/>
                <w:sz w:val="20"/>
                <w:szCs w:val="20"/>
              </w:rPr>
              <w:t xml:space="preserve">[REF ID]</w:t>
            </w:r>
          </w:p>
        </w:tc>
      </w:tr>
    </w:tbl>
    <w:p>
      <w:pPr>
        <w:spacing w:after="200" w:before="0" w:line="276"/>
        <w:jc w:val="both"/>
      </w:pPr>
      <w:r>
        <w:rPr>
          <w:rFonts w:ascii="Calibri" w:cs="Calibri" w:eastAsia="Calibri" w:hAnsi="Calibri"/>
          <w:b w:val="false"/>
          <w:bCs w:val="false"/>
          <w:i w:val="false"/>
          <w:iCs w:val="false"/>
          <w:color w:val="333333"/>
          <w:sz w:val="22"/>
          <w:szCs w:val="22"/>
        </w:rPr>
        <w:t xml:space="preserve"/>
      </w:r>
    </w:p>
    <w:p>
      <w:pPr>
        <w:pBdr>
          <w:bottom w:val="single" w:color="1F3864" w:sz="4" w:space="1"/>
        </w:pBdr>
        <w:spacing w:after="200"/>
      </w:pPr>
    </w:p>
    <w:p>
      <w:pPr>
        <w:spacing w:after="200" w:before="0" w:line="276"/>
        <w:jc w:val="center"/>
      </w:pPr>
      <w:r>
        <w:rPr>
          <w:rFonts w:ascii="Calibri" w:cs="Calibri" w:eastAsia="Calibri" w:hAnsi="Calibri"/>
          <w:b/>
          <w:bCs/>
          <w:i w:val="false"/>
          <w:iCs w:val="false"/>
          <w:color w:val="1F3864"/>
          <w:sz w:val="24"/>
          <w:szCs w:val="24"/>
        </w:rPr>
        <w:t xml:space="preserve">END OF POLICY</w:t>
      </w:r>
    </w:p>
    <w:p>
      <w:pPr>
        <w:spacing w:after="100" w:before="0" w:line="276"/>
        <w:jc w:val="center"/>
      </w:pPr>
      <w:r>
        <w:rPr>
          <w:rFonts w:ascii="Calibri" w:cs="Calibri" w:eastAsia="Calibri" w:hAnsi="Calibri"/>
          <w:i/>
          <w:iCs/>
          <w:color w:val="888888"/>
          <w:sz w:val="20"/>
          <w:szCs w:val="20"/>
        </w:rPr>
        <w:t xml:space="preserve">This Open Source Software Policy template (EF-023) is provided by Montague Law for informational purposes only. </w:t>
      </w:r>
      <w:r>
        <w:rPr>
          <w:rFonts w:ascii="Calibri" w:cs="Calibri" w:eastAsia="Calibri" w:hAnsi="Calibri"/>
          <w:i/>
          <w:iCs/>
          <w:color w:val="888888"/>
          <w:sz w:val="20"/>
          <w:szCs w:val="20"/>
        </w:rPr>
        <w:t xml:space="preserve">It does not constitute legal advice and should not be relied upon as such. Organizations should consult qualified legal counsel before adopting, modifying, or implementing any policy based on this template. </w:t>
      </w:r>
      <w:r>
        <w:rPr>
          <w:rFonts w:ascii="Calibri" w:cs="Calibri" w:eastAsia="Calibri" w:hAnsi="Calibri"/>
          <w:i/>
          <w:iCs/>
          <w:color w:val="888888"/>
          <w:sz w:val="20"/>
          <w:szCs w:val="20"/>
        </w:rPr>
        <w:t xml:space="preserve">No attorney-client relationship is formed by the use of this template.</w:t>
      </w:r>
    </w:p>
    <w:sectPr>
      <w:headerReference w:type="default" r:id="rId7"/>
      <w:footerReference w:type="default" r:id="rId8"/>
      <w:pgSz w:w="12240" w:h="15840" w:orient="portrait"/>
      <w:pgMar w:top="1440" w:right="1440" w:bottom="1440" w:left="144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Open Source Software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lvl w:ilvl="2"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1F3864"/>
      <w:sz w:val="26"/>
      <w:szCs w:val="26"/>
    </w:rPr>
  </w:style>
  <w:style w:type="paragraph" w:styleId="Heading2">
    <w:name w:val="Heading 2"/>
    <w:basedOn w:val="Normal"/>
    <w:next w:val="Normal"/>
    <w:qFormat/>
    <w:pPr>
      <w:spacing w:after="120" w:before="240"/>
    </w:pPr>
    <w:rPr>
      <w:rFonts w:ascii="Calibri" w:cs="Calibri" w:eastAsia="Calibri" w:hAnsi="Calibri"/>
      <w:b/>
      <w:bCs/>
      <w:color w:val="1F3864"/>
      <w:sz w:val="24"/>
      <w:szCs w:val="24"/>
    </w:rPr>
  </w:style>
  <w:style w:type="paragraph" w:styleId="Heading3">
    <w:name w:val="Heading 3"/>
    <w:basedOn w:val="Normal"/>
    <w:next w:val="Normal"/>
    <w:qFormat/>
    <w:pPr>
      <w:spacing w:after="100" w:before="200"/>
    </w:pPr>
    <w:rPr>
      <w:rFonts w:ascii="Calibri" w:cs="Calibri" w:eastAsia="Calibri" w:hAnsi="Calibri"/>
      <w:b/>
      <w:bCs/>
      <w:color w:val="1F3864"/>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Source Software Policy</dc:title>
  <dc:creator>Montague Law</dc:creator>
  <dc:description>EF-023 — Montague Law Entrepreneur Forms Library</dc:description>
  <cp:lastModifiedBy>Un-named</cp:lastModifiedBy>
  <cp:revision>1</cp:revision>
  <dcterms:created xsi:type="dcterms:W3CDTF">2026-08-22T22:59:38.254Z</dcterms:created>
  <dcterms:modified xsi:type="dcterms:W3CDTF">2026-08-22T22:59:38.254Z</dcterms:modified>
</cp:coreProperties>
</file>

<file path=docProps/custom.xml><?xml version="1.0" encoding="utf-8"?>
<Properties xmlns="http://schemas.openxmlformats.org/officeDocument/2006/custom-properties" xmlns:vt="http://schemas.openxmlformats.org/officeDocument/2006/docPropsVTypes"/>
</file>