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400"/>
      </w:pPr>
    </w:p>
    <w:p>
      <w:pPr>
        <w:spacing w:after="200" w:before="0"/>
        <w:jc w:val="center"/>
      </w:pPr>
      <w:r>
        <w:rPr>
          <w:rFonts w:ascii="Times New Roman" w:cs="Times New Roman" w:eastAsia="Times New Roman" w:hAnsi="Times New Roman"/>
          <w:b/>
          <w:bCs/>
          <w:sz w:val="36"/>
          <w:szCs w:val="36"/>
        </w:rPr>
        <w:t xml:space="preserve">LOCK-UP AGREEMENT</w:t>
      </w:r>
    </w:p>
    <w:p>
      <w:pPr>
        <w:spacing w:after="400"/>
      </w:pPr>
    </w:p>
    <w:p>
      <w:pPr>
        <w:spacing w:after="200" w:before="0"/>
        <w:jc w:val="center"/>
      </w:pPr>
      <w:r>
        <w:rPr>
          <w:rFonts w:ascii="Times New Roman" w:cs="Times New Roman" w:eastAsia="Times New Roman" w:hAnsi="Times New Roman"/>
          <w:b/>
          <w:bCs/>
          <w:sz w:val="28"/>
          <w:szCs w:val="28"/>
        </w:rPr>
        <w:t xml:space="preserve">[COMPANY NAME]</w:t>
      </w:r>
    </w:p>
    <w:p>
      <w:pPr>
        <w:spacing w:after="200" w:before="0"/>
        <w:jc w:val="center"/>
      </w:pPr>
      <w:r>
        <w:rPr>
          <w:rFonts w:ascii="Times New Roman" w:cs="Times New Roman" w:eastAsia="Times New Roman" w:hAnsi="Times New Roman"/>
          <w:i/>
          <w:iCs/>
          <w:sz w:val="24"/>
          <w:szCs w:val="24"/>
        </w:rPr>
        <w:t xml:space="preserve">a [State] corporation</w:t>
      </w:r>
    </w:p>
    <w:p>
      <w:pPr>
        <w:spacing w:after="400"/>
      </w:pPr>
    </w:p>
    <w:p>
      <w:pPr>
        <w:spacing w:after="200" w:before="0"/>
        <w:jc w:val="center"/>
      </w:pPr>
      <w:r>
        <w:rPr>
          <w:rFonts w:ascii="Times New Roman" w:cs="Times New Roman" w:eastAsia="Times New Roman" w:hAnsi="Times New Roman"/>
          <w:sz w:val="24"/>
          <w:szCs w:val="24"/>
        </w:rPr>
        <w:t xml:space="preserve">Dated as of [Date]</w:t>
      </w:r>
    </w:p>
    <w:p>
      <w:r>
        <w:br w:type="page"/>
      </w:r>
    </w:p>
    <w:p>
      <w:pPr>
        <w:pStyle w:val="Heading1"/>
        <w:spacing w:after="400" w:before="0"/>
        <w:jc w:val="center"/>
      </w:pPr>
      <w:r>
        <w:rPr>
          <w:rFonts w:ascii="Times New Roman" w:cs="Times New Roman" w:eastAsia="Times New Roman" w:hAnsi="Times New Roman"/>
          <w:b/>
          <w:bCs/>
          <w:sz w:val="28"/>
          <w:szCs w:val="28"/>
        </w:rPr>
        <w:t xml:space="preserve">LOCK-UP AGREEMENT</w:t>
      </w:r>
    </w:p>
    <w:p>
      <w:pPr>
        <w:spacing w:after="200" w:before="0"/>
      </w:pPr>
      <w:r>
        <w:rPr>
          <w:rFonts w:ascii="Times New Roman" w:cs="Times New Roman" w:eastAsia="Times New Roman" w:hAnsi="Times New Roman"/>
          <w:sz w:val="24"/>
          <w:szCs w:val="24"/>
        </w:rPr>
        <w:t xml:space="preserve">This Lock-Up Agreement (this "</w:t>
      </w:r>
      <w:r>
        <w:rPr>
          <w:rFonts w:ascii="Times New Roman" w:cs="Times New Roman" w:eastAsia="Times New Roman" w:hAnsi="Times New Roman"/>
          <w:b/>
          <w:bCs/>
          <w:sz w:val="24"/>
          <w:szCs w:val="24"/>
        </w:rPr>
        <w:t xml:space="preserve">Agreement</w:t>
      </w:r>
      <w:r>
        <w:rPr>
          <w:rFonts w:ascii="Times New Roman" w:cs="Times New Roman" w:eastAsia="Times New Roman" w:hAnsi="Times New Roman"/>
          <w:sz w:val="24"/>
          <w:szCs w:val="24"/>
        </w:rPr>
        <w:t xml:space="preserve">") is entered into as of [Date] (the "</w:t>
      </w:r>
      <w:r>
        <w:rPr>
          <w:rFonts w:ascii="Times New Roman" w:cs="Times New Roman" w:eastAsia="Times New Roman" w:hAnsi="Times New Roman"/>
          <w:b/>
          <w:bCs/>
          <w:sz w:val="24"/>
          <w:szCs w:val="24"/>
        </w:rPr>
        <w:t xml:space="preserve">Effective Date</w:t>
      </w:r>
      <w:r>
        <w:rPr>
          <w:rFonts w:ascii="Times New Roman" w:cs="Times New Roman" w:eastAsia="Times New Roman" w:hAnsi="Times New Roman"/>
          <w:sz w:val="24"/>
          <w:szCs w:val="24"/>
        </w:rPr>
        <w:t xml:space="preserve">"), by and between:</w:t>
      </w:r>
    </w:p>
    <w:p>
      <w:pPr>
        <w:spacing w:after="200" w:before="0"/>
        <w:ind w:left="720"/>
      </w:pPr>
      <w:r>
        <w:rPr>
          <w:rFonts w:ascii="Times New Roman" w:cs="Times New Roman" w:eastAsia="Times New Roman" w:hAnsi="Times New Roman"/>
          <w:b/>
          <w:bCs/>
          <w:sz w:val="24"/>
          <w:szCs w:val="24"/>
        </w:rPr>
        <w:t xml:space="preserve">[Company Name]</w:t>
      </w:r>
      <w:r>
        <w:rPr>
          <w:rFonts w:ascii="Times New Roman" w:cs="Times New Roman" w:eastAsia="Times New Roman" w:hAnsi="Times New Roman"/>
          <w:sz w:val="24"/>
          <w:szCs w:val="24"/>
        </w:rPr>
        <w:t xml:space="preserve">, a [State] corporation (the "</w:t>
      </w:r>
      <w:r>
        <w:rPr>
          <w:rFonts w:ascii="Times New Roman" w:cs="Times New Roman" w:eastAsia="Times New Roman" w:hAnsi="Times New Roman"/>
          <w:b/>
          <w:bCs/>
          <w:sz w:val="24"/>
          <w:szCs w:val="24"/>
        </w:rPr>
        <w:t xml:space="preserve">Company</w:t>
      </w:r>
      <w:r>
        <w:rPr>
          <w:rFonts w:ascii="Times New Roman" w:cs="Times New Roman" w:eastAsia="Times New Roman" w:hAnsi="Times New Roman"/>
          <w:sz w:val="24"/>
          <w:szCs w:val="24"/>
        </w:rPr>
        <w:t xml:space="preserve">"), with its principal place of business at [Address]; and</w:t>
      </w:r>
    </w:p>
    <w:p>
      <w:pPr>
        <w:spacing w:after="200" w:before="0"/>
        <w:ind w:left="720"/>
      </w:pPr>
      <w:r>
        <w:rPr>
          <w:rFonts w:ascii="Times New Roman" w:cs="Times New Roman" w:eastAsia="Times New Roman" w:hAnsi="Times New Roman"/>
          <w:sz w:val="24"/>
          <w:szCs w:val="24"/>
        </w:rPr>
        <w:t xml:space="preserve">The undersigned holder of shares of the Company's capital stock or securities convertible into or exercisable for shares of the Company's capital stock (the "</w:t>
      </w:r>
      <w:r>
        <w:rPr>
          <w:rFonts w:ascii="Times New Roman" w:cs="Times New Roman" w:eastAsia="Times New Roman" w:hAnsi="Times New Roman"/>
          <w:b/>
          <w:bCs/>
          <w:sz w:val="24"/>
          <w:szCs w:val="24"/>
        </w:rPr>
        <w:t xml:space="preserve">Stockholder</w:t>
      </w:r>
      <w:r>
        <w:rPr>
          <w:rFonts w:ascii="Times New Roman" w:cs="Times New Roman" w:eastAsia="Times New Roman" w:hAnsi="Times New Roman"/>
          <w:sz w:val="24"/>
          <w:szCs w:val="24"/>
        </w:rPr>
        <w:t xml:space="preserve">").</w:t>
      </w:r>
    </w:p>
    <w:p>
      <w:pPr>
        <w:spacing w:after="200" w:before="0"/>
      </w:pPr>
      <w:r>
        <w:rPr>
          <w:rFonts w:ascii="Times New Roman" w:cs="Times New Roman" w:eastAsia="Times New Roman" w:hAnsi="Times New Roman"/>
          <w:sz w:val="24"/>
          <w:szCs w:val="24"/>
        </w:rPr>
        <w:t xml:space="preserve">The Company proposes to carry out [a firm commitment underwritten initial public offering of its Common Stock (the "</w:t>
      </w:r>
      <w:r>
        <w:rPr>
          <w:rFonts w:ascii="Times New Roman" w:cs="Times New Roman" w:eastAsia="Times New Roman" w:hAnsi="Times New Roman"/>
          <w:b/>
          <w:bCs/>
          <w:sz w:val="24"/>
          <w:szCs w:val="24"/>
        </w:rPr>
        <w:t xml:space="preserve">IPO</w:t>
      </w:r>
      <w:r>
        <w:rPr>
          <w:rFonts w:ascii="Times New Roman" w:cs="Times New Roman" w:eastAsia="Times New Roman" w:hAnsi="Times New Roman"/>
          <w:sz w:val="24"/>
          <w:szCs w:val="24"/>
        </w:rPr>
        <w:t xml:space="preserve">") / an acquisition, merger, or change of control transaction (the "</w:t>
      </w:r>
      <w:r>
        <w:rPr>
          <w:rFonts w:ascii="Times New Roman" w:cs="Times New Roman" w:eastAsia="Times New Roman" w:hAnsi="Times New Roman"/>
          <w:b/>
          <w:bCs/>
          <w:sz w:val="24"/>
          <w:szCs w:val="24"/>
        </w:rPr>
        <w:t xml:space="preserve">Transaction</w:t>
      </w:r>
      <w:r>
        <w:rPr>
          <w:rFonts w:ascii="Times New Roman" w:cs="Times New Roman" w:eastAsia="Times New Roman" w:hAnsi="Times New Roman"/>
          <w:sz w:val="24"/>
          <w:szCs w:val="24"/>
        </w:rPr>
        <w:t xml:space="preserve">")]. In consideration of the mutual covenants contained herein and for other good and valuable consideration, the receipt and sufficiency of which are hereby acknowledged, the parties agree as follows:</w:t>
      </w:r>
    </w:p>
    <w:p>
      <w:pPr>
        <w:pBdr>
          <w:left w:val="single" w:color="0f3460" w:sz="6" w:space="10"/>
        </w:pBdr>
        <w:shd w:fill="F0F4FF" w:val="clear"/>
        <w:spacing w:after="200" w:before="0"/>
        <w:ind w:left="200"/>
      </w:pPr>
      <w:r>
        <w:rPr>
          <w:rFonts w:ascii="Times New Roman" w:cs="Times New Roman" w:eastAsia="Times New Roman" w:hAnsi="Times New Roman"/>
          <w:b/>
          <w:bCs/>
          <w:color w:val="0f3460"/>
          <w:sz w:val="24"/>
          <w:szCs w:val="24"/>
        </w:rPr>
        <w:t xml:space="preserve">Practical Note: </w:t>
      </w:r>
      <w:r>
        <w:rPr>
          <w:rFonts w:ascii="Times New Roman" w:cs="Times New Roman" w:eastAsia="Times New Roman" w:hAnsi="Times New Roman"/>
          <w:i/>
          <w:iCs/>
          <w:color w:val="555555"/>
          <w:sz w:val="24"/>
          <w:szCs w:val="24"/>
        </w:rPr>
        <w:t xml:space="preserve">The lock-up period, exceptions, and early release provisions are heavily negotiated. Founders, early employees, and significant stockholders typically negotiate for shorter lock-up periods, carve-outs for estate planning transfers, or pro rata early release provisions. The underwriters in an IPO will typically require lock-up agreements from all directors, officers, and significant stockholders as a condition to the offering.</w:t>
      </w:r>
    </w:p>
    <w:p>
      <w:pPr>
        <w:pStyle w:val="Heading2"/>
        <w:spacing w:after="200" w:before="300"/>
      </w:pPr>
      <w:r>
        <w:rPr>
          <w:rFonts w:ascii="Times New Roman" w:cs="Times New Roman" w:eastAsia="Times New Roman" w:hAnsi="Times New Roman"/>
          <w:b/>
          <w:bCs/>
          <w:sz w:val="24"/>
          <w:szCs w:val="24"/>
        </w:rPr>
        <w:t xml:space="preserve">Section 1. Lock-Up Period</w:t>
      </w:r>
    </w:p>
    <w:p>
      <w:pPr>
        <w:spacing w:after="200" w:before="0"/>
      </w:pPr>
      <w:r>
        <w:rPr>
          <w:rFonts w:ascii="Times New Roman" w:cs="Times New Roman" w:eastAsia="Times New Roman" w:hAnsi="Times New Roman"/>
          <w:b/>
          <w:bCs/>
          <w:sz w:val="24"/>
          <w:szCs w:val="24"/>
        </w:rPr>
        <w:t xml:space="preserve">(a) Lock-Up Commitment. </w:t>
      </w:r>
      <w:r>
        <w:rPr>
          <w:rFonts w:ascii="Times New Roman" w:cs="Times New Roman" w:eastAsia="Times New Roman" w:hAnsi="Times New Roman"/>
          <w:sz w:val="24"/>
          <w:szCs w:val="24"/>
        </w:rPr>
        <w:t xml:space="preserve">The Stockholder hereby agrees that, without the prior written consent of the Company [and the Representative of the Underwriters], the Stockholder will not, during the period beginning on the Effective Date and ending on the date that is [●] days after the [closing date of the IPO / closing date of the Transaction] (the "</w:t>
      </w:r>
      <w:r>
        <w:rPr>
          <w:rFonts w:ascii="Times New Roman" w:cs="Times New Roman" w:eastAsia="Times New Roman" w:hAnsi="Times New Roman"/>
          <w:b/>
          <w:bCs/>
          <w:sz w:val="24"/>
          <w:szCs w:val="24"/>
        </w:rPr>
        <w:t xml:space="preserve">Lock-Up Period</w:t>
      </w:r>
      <w:r>
        <w:rPr>
          <w:rFonts w:ascii="Times New Roman" w:cs="Times New Roman" w:eastAsia="Times New Roman" w:hAnsi="Times New Roman"/>
          <w:sz w:val="24"/>
          <w:szCs w:val="24"/>
        </w:rPr>
        <w:t xml:space="preserve">"):</w:t>
      </w:r>
    </w:p>
    <w:p>
      <w:pPr>
        <w:spacing w:after="200" w:before="0"/>
        <w:ind w:left="1080"/>
      </w:pPr>
      <w:r>
        <w:rPr>
          <w:rFonts w:ascii="Times New Roman" w:cs="Times New Roman" w:eastAsia="Times New Roman" w:hAnsi="Times New Roman"/>
          <w:sz w:val="24"/>
          <w:szCs w:val="24"/>
        </w:rPr>
        <w:t xml:space="preserve">(i) offer, sell, contract to sell, pledge, grant any option to purchase, make any short sale, or otherwise dispose of, directly or indirectly, any shares of Common Stock of the Company or any securities convertible into, exercisable for, or exchangeable for shares of Common Stock (collectively, "</w:t>
      </w:r>
      <w:r>
        <w:rPr>
          <w:rFonts w:ascii="Times New Roman" w:cs="Times New Roman" w:eastAsia="Times New Roman" w:hAnsi="Times New Roman"/>
          <w:b/>
          <w:bCs/>
          <w:sz w:val="24"/>
          <w:szCs w:val="24"/>
        </w:rPr>
        <w:t xml:space="preserve">Lock-Up Securities</w:t>
      </w:r>
      <w:r>
        <w:rPr>
          <w:rFonts w:ascii="Times New Roman" w:cs="Times New Roman" w:eastAsia="Times New Roman" w:hAnsi="Times New Roman"/>
          <w:sz w:val="24"/>
          <w:szCs w:val="24"/>
        </w:rPr>
        <w:t xml:space="preserve">");</w:t>
      </w:r>
    </w:p>
    <w:p>
      <w:pPr>
        <w:spacing w:after="200" w:before="0"/>
        <w:ind w:left="1080"/>
      </w:pPr>
      <w:r>
        <w:rPr>
          <w:rFonts w:ascii="Times New Roman" w:cs="Times New Roman" w:eastAsia="Times New Roman" w:hAnsi="Times New Roman"/>
          <w:sz w:val="24"/>
          <w:szCs w:val="24"/>
        </w:rPr>
        <w:t xml:space="preserve">(ii) enter into any swap, hedge, or other arrangement that transfers to another, in whole or in part, any of the economic consequences of ownership of Lock-Up Securities, whether any such transaction is to be settled by delivery of shares, in cash, or otherwise;</w:t>
      </w:r>
    </w:p>
    <w:p>
      <w:pPr>
        <w:spacing w:after="200" w:before="0"/>
        <w:ind w:left="1080"/>
      </w:pPr>
      <w:r>
        <w:rPr>
          <w:rFonts w:ascii="Times New Roman" w:cs="Times New Roman" w:eastAsia="Times New Roman" w:hAnsi="Times New Roman"/>
          <w:sz w:val="24"/>
          <w:szCs w:val="24"/>
        </w:rPr>
        <w:t xml:space="preserve">(iii) make any demand for, or exercise any right with respect to, the registration of any Lock-Up Securities under the Securities Act of 1933, as amended (the "</w:t>
      </w:r>
      <w:r>
        <w:rPr>
          <w:rFonts w:ascii="Times New Roman" w:cs="Times New Roman" w:eastAsia="Times New Roman" w:hAnsi="Times New Roman"/>
          <w:b/>
          <w:bCs/>
          <w:sz w:val="24"/>
          <w:szCs w:val="24"/>
        </w:rPr>
        <w:t xml:space="preserve">Securities Act</w:t>
      </w:r>
      <w:r>
        <w:rPr>
          <w:rFonts w:ascii="Times New Roman" w:cs="Times New Roman" w:eastAsia="Times New Roman" w:hAnsi="Times New Roman"/>
          <w:sz w:val="24"/>
          <w:szCs w:val="24"/>
        </w:rPr>
        <w:t xml:space="preserve">"); or</w:t>
      </w:r>
    </w:p>
    <w:p>
      <w:pPr>
        <w:spacing w:after="200" w:before="0"/>
        <w:ind w:left="1080"/>
      </w:pPr>
      <w:r>
        <w:rPr>
          <w:rFonts w:ascii="Times New Roman" w:cs="Times New Roman" w:eastAsia="Times New Roman" w:hAnsi="Times New Roman"/>
          <w:sz w:val="24"/>
          <w:szCs w:val="24"/>
        </w:rPr>
        <w:t xml:space="preserve">(iv) publicly announce an intention to do any of the foregoing.</w:t>
      </w:r>
    </w:p>
    <w:p>
      <w:pPr>
        <w:spacing w:after="200" w:before="0"/>
      </w:pPr>
      <w:r>
        <w:rPr>
          <w:rFonts w:ascii="Times New Roman" w:cs="Times New Roman" w:eastAsia="Times New Roman" w:hAnsi="Times New Roman"/>
          <w:b/>
          <w:bCs/>
          <w:sz w:val="24"/>
          <w:szCs w:val="24"/>
        </w:rPr>
        <w:t xml:space="preserve">(b) Lock-Up Period Duration. </w:t>
      </w:r>
      <w:r>
        <w:rPr>
          <w:rFonts w:ascii="Times New Roman" w:cs="Times New Roman" w:eastAsia="Times New Roman" w:hAnsi="Times New Roman"/>
          <w:sz w:val="24"/>
          <w:szCs w:val="24"/>
        </w:rPr>
        <w:t xml:space="preserve">The Lock-Up Period shall be [●] days from the [date of the final prospectus for the IPO / closing date of the Transaction].</w:t>
      </w:r>
    </w:p>
    <w:p>
      <w:pPr>
        <w:pBdr>
          <w:left w:val="single" w:color="0f3460" w:sz="6" w:space="10"/>
        </w:pBdr>
        <w:shd w:fill="F0F4FF" w:val="clear"/>
        <w:spacing w:after="200" w:before="0"/>
        <w:ind w:left="200"/>
      </w:pPr>
      <w:r>
        <w:rPr>
          <w:rFonts w:ascii="Times New Roman" w:cs="Times New Roman" w:eastAsia="Times New Roman" w:hAnsi="Times New Roman"/>
          <w:b/>
          <w:bCs/>
          <w:color w:val="0f3460"/>
          <w:sz w:val="24"/>
          <w:szCs w:val="24"/>
        </w:rPr>
        <w:t xml:space="preserve">Negotiation Point: </w:t>
      </w:r>
      <w:r>
        <w:rPr>
          <w:rFonts w:ascii="Times New Roman" w:cs="Times New Roman" w:eastAsia="Times New Roman" w:hAnsi="Times New Roman"/>
          <w:i/>
          <w:iCs/>
          <w:color w:val="555555"/>
          <w:sz w:val="24"/>
          <w:szCs w:val="24"/>
        </w:rPr>
        <w:t xml:space="preserve">The standard IPO lock-up period is 180 days, though periods of 90 to 365 days are seen in practice. For M&amp;A transactions, escrow/holdback periods typically range from 12 to 24 months. Some recent IPOs have adopted shorter lock-up periods (90–120 days) or "early release" structures where a portion of shares is released at 90 days if the stock trades above a specified price threshold.</w:t>
      </w:r>
    </w:p>
    <w:p>
      <w:pPr>
        <w:pStyle w:val="Heading2"/>
        <w:spacing w:after="200" w:before="300"/>
      </w:pPr>
      <w:r>
        <w:rPr>
          <w:rFonts w:ascii="Times New Roman" w:cs="Times New Roman" w:eastAsia="Times New Roman" w:hAnsi="Times New Roman"/>
          <w:b/>
          <w:bCs/>
          <w:sz w:val="24"/>
          <w:szCs w:val="24"/>
        </w:rPr>
        <w:t xml:space="preserve">Section 2. Permitted Exceptions</w:t>
      </w:r>
    </w:p>
    <w:p>
      <w:pPr>
        <w:spacing w:after="200" w:before="0"/>
      </w:pPr>
      <w:r>
        <w:rPr>
          <w:rFonts w:ascii="Times New Roman" w:cs="Times New Roman" w:eastAsia="Times New Roman" w:hAnsi="Times New Roman"/>
          <w:sz w:val="24"/>
          <w:szCs w:val="24"/>
        </w:rPr>
        <w:t xml:space="preserve">The restrictions set forth in Section 1 shall not apply to:</w:t>
      </w:r>
    </w:p>
    <w:p>
      <w:pPr>
        <w:spacing w:after="200" w:before="0"/>
        <w:ind w:left="720"/>
      </w:pPr>
      <w:r>
        <w:rPr>
          <w:rFonts w:ascii="Times New Roman" w:cs="Times New Roman" w:eastAsia="Times New Roman" w:hAnsi="Times New Roman"/>
          <w:b/>
          <w:bCs/>
          <w:sz w:val="24"/>
          <w:szCs w:val="24"/>
        </w:rPr>
        <w:t xml:space="preserve">(a) </w:t>
      </w:r>
      <w:r>
        <w:rPr>
          <w:rFonts w:ascii="Times New Roman" w:cs="Times New Roman" w:eastAsia="Times New Roman" w:hAnsi="Times New Roman"/>
          <w:sz w:val="24"/>
          <w:szCs w:val="24"/>
        </w:rPr>
        <w:t xml:space="preserve">transfers of Lock-Up Securities as a </w:t>
      </w:r>
      <w:r>
        <w:rPr>
          <w:rFonts w:ascii="Times New Roman" w:cs="Times New Roman" w:eastAsia="Times New Roman" w:hAnsi="Times New Roman"/>
          <w:b/>
          <w:bCs/>
          <w:sz w:val="24"/>
          <w:szCs w:val="24"/>
        </w:rPr>
        <w:t xml:space="preserve">bona fide</w:t>
      </w:r>
      <w:r>
        <w:rPr>
          <w:rFonts w:ascii="Times New Roman" w:cs="Times New Roman" w:eastAsia="Times New Roman" w:hAnsi="Times New Roman"/>
          <w:sz w:val="24"/>
          <w:szCs w:val="24"/>
        </w:rPr>
        <w:t xml:space="preserve"> gift or gifts, or by will or intestate succession upon the death of the Stockholder;</w:t>
      </w:r>
    </w:p>
    <w:p>
      <w:pPr>
        <w:spacing w:after="200" w:before="0"/>
        <w:ind w:left="720"/>
      </w:pPr>
      <w:r>
        <w:rPr>
          <w:rFonts w:ascii="Times New Roman" w:cs="Times New Roman" w:eastAsia="Times New Roman" w:hAnsi="Times New Roman"/>
          <w:b/>
          <w:bCs/>
          <w:sz w:val="24"/>
          <w:szCs w:val="24"/>
        </w:rPr>
        <w:t xml:space="preserve">(b) </w:t>
      </w:r>
      <w:r>
        <w:rPr>
          <w:rFonts w:ascii="Times New Roman" w:cs="Times New Roman" w:eastAsia="Times New Roman" w:hAnsi="Times New Roman"/>
          <w:sz w:val="24"/>
          <w:szCs w:val="24"/>
        </w:rPr>
        <w:t xml:space="preserve">transfers to any trust, partnership, limited liability company, or other entity for the direct or indirect benefit of the Stockholder or the immediate family of the Stockholder (for purposes of this Agreement, "</w:t>
      </w:r>
      <w:r>
        <w:rPr>
          <w:rFonts w:ascii="Times New Roman" w:cs="Times New Roman" w:eastAsia="Times New Roman" w:hAnsi="Times New Roman"/>
          <w:b/>
          <w:bCs/>
          <w:sz w:val="24"/>
          <w:szCs w:val="24"/>
        </w:rPr>
        <w:t xml:space="preserve">immediate family</w:t>
      </w:r>
      <w:r>
        <w:rPr>
          <w:rFonts w:ascii="Times New Roman" w:cs="Times New Roman" w:eastAsia="Times New Roman" w:hAnsi="Times New Roman"/>
          <w:sz w:val="24"/>
          <w:szCs w:val="24"/>
        </w:rPr>
        <w:t xml:space="preserve">" shall mean any relationship by blood, current or former marriage, domestic partnership, or adoption, not more remote than first cousin);</w:t>
      </w:r>
    </w:p>
    <w:p>
      <w:pPr>
        <w:spacing w:after="200" w:before="0"/>
        <w:ind w:left="720"/>
      </w:pPr>
      <w:r>
        <w:rPr>
          <w:rFonts w:ascii="Times New Roman" w:cs="Times New Roman" w:eastAsia="Times New Roman" w:hAnsi="Times New Roman"/>
          <w:b/>
          <w:bCs/>
          <w:sz w:val="24"/>
          <w:szCs w:val="24"/>
        </w:rPr>
        <w:t xml:space="preserve">(c) </w:t>
      </w:r>
      <w:r>
        <w:rPr>
          <w:rFonts w:ascii="Times New Roman" w:cs="Times New Roman" w:eastAsia="Times New Roman" w:hAnsi="Times New Roman"/>
          <w:sz w:val="24"/>
          <w:szCs w:val="24"/>
        </w:rPr>
        <w:t xml:space="preserve">transfers of Lock-Up Securities acquired in open market transactions after the [closing of the IPO / Effective Date], provided that no filing under Section 16(a) of the Securities Exchange Act of 1934, as amended, shall be required or shall be voluntarily made in connection with such transfer;</w:t>
      </w:r>
    </w:p>
    <w:p>
      <w:pPr>
        <w:spacing w:after="200" w:before="0"/>
        <w:ind w:left="720"/>
      </w:pPr>
      <w:r>
        <w:rPr>
          <w:rFonts w:ascii="Times New Roman" w:cs="Times New Roman" w:eastAsia="Times New Roman" w:hAnsi="Times New Roman"/>
          <w:b/>
          <w:bCs/>
          <w:sz w:val="24"/>
          <w:szCs w:val="24"/>
        </w:rPr>
        <w:t xml:space="preserve">(d) </w:t>
      </w:r>
      <w:r>
        <w:rPr>
          <w:rFonts w:ascii="Times New Roman" w:cs="Times New Roman" w:eastAsia="Times New Roman" w:hAnsi="Times New Roman"/>
          <w:sz w:val="24"/>
          <w:szCs w:val="24"/>
        </w:rPr>
        <w:t xml:space="preserve">the exercise of stock options or warrants or the settlement of restricted stock units ("</w:t>
      </w:r>
      <w:r>
        <w:rPr>
          <w:rFonts w:ascii="Times New Roman" w:cs="Times New Roman" w:eastAsia="Times New Roman" w:hAnsi="Times New Roman"/>
          <w:b/>
          <w:bCs/>
          <w:sz w:val="24"/>
          <w:szCs w:val="24"/>
        </w:rPr>
        <w:t xml:space="preserve">RSUs</w:t>
      </w:r>
      <w:r>
        <w:rPr>
          <w:rFonts w:ascii="Times New Roman" w:cs="Times New Roman" w:eastAsia="Times New Roman" w:hAnsi="Times New Roman"/>
          <w:sz w:val="24"/>
          <w:szCs w:val="24"/>
        </w:rPr>
        <w:t xml:space="preserve">") granted pursuant to the Company's equity incentive plans, provided that the Lock-Up Securities received upon such exercise or settlement shall remain subject to this Agreement;</w:t>
      </w:r>
    </w:p>
    <w:p>
      <w:pPr>
        <w:spacing w:after="200" w:before="0"/>
        <w:ind w:left="720"/>
      </w:pPr>
      <w:r>
        <w:rPr>
          <w:rFonts w:ascii="Times New Roman" w:cs="Times New Roman" w:eastAsia="Times New Roman" w:hAnsi="Times New Roman"/>
          <w:b/>
          <w:bCs/>
          <w:sz w:val="24"/>
          <w:szCs w:val="24"/>
        </w:rPr>
        <w:t xml:space="preserve">(e) </w:t>
      </w:r>
      <w:r>
        <w:rPr>
          <w:rFonts w:ascii="Times New Roman" w:cs="Times New Roman" w:eastAsia="Times New Roman" w:hAnsi="Times New Roman"/>
          <w:sz w:val="24"/>
          <w:szCs w:val="24"/>
        </w:rPr>
        <w:t xml:space="preserve">the establishment of a trading plan pursuant to Rule 10b5-1 under the Securities Exchange Act of 1934, as amended, provided that such plan does not provide for any transfers of Lock-Up Securities during the Lock-Up Period;</w:t>
      </w:r>
    </w:p>
    <w:p>
      <w:pPr>
        <w:spacing w:after="200" w:before="0"/>
        <w:ind w:left="720"/>
      </w:pPr>
      <w:r>
        <w:rPr>
          <w:rFonts w:ascii="Times New Roman" w:cs="Times New Roman" w:eastAsia="Times New Roman" w:hAnsi="Times New Roman"/>
          <w:b/>
          <w:bCs/>
          <w:sz w:val="24"/>
          <w:szCs w:val="24"/>
        </w:rPr>
        <w:t xml:space="preserve">(f) </w:t>
      </w:r>
      <w:r>
        <w:rPr>
          <w:rFonts w:ascii="Times New Roman" w:cs="Times New Roman" w:eastAsia="Times New Roman" w:hAnsi="Times New Roman"/>
          <w:sz w:val="24"/>
          <w:szCs w:val="24"/>
        </w:rPr>
        <w:t xml:space="preserve">transfers to the Company in connection with the "net" or "cashless" exercise of options or warrants, or to satisfy tax withholding obligations in connection with the exercise of options or vesting of restricted stock or RSUs, in each case on a "sell to cover" basis;</w:t>
      </w:r>
    </w:p>
    <w:p>
      <w:pPr>
        <w:spacing w:after="200" w:before="0"/>
        <w:ind w:left="720"/>
      </w:pPr>
      <w:r>
        <w:rPr>
          <w:rFonts w:ascii="Times New Roman" w:cs="Times New Roman" w:eastAsia="Times New Roman" w:hAnsi="Times New Roman"/>
          <w:b/>
          <w:bCs/>
          <w:sz w:val="24"/>
          <w:szCs w:val="24"/>
        </w:rPr>
        <w:t xml:space="preserve">(g) </w:t>
      </w:r>
      <w:r>
        <w:rPr>
          <w:rFonts w:ascii="Times New Roman" w:cs="Times New Roman" w:eastAsia="Times New Roman" w:hAnsi="Times New Roman"/>
          <w:sz w:val="24"/>
          <w:szCs w:val="24"/>
        </w:rPr>
        <w:t xml:space="preserve">transfers pursuant to an order of a court or regulatory agency; and</w:t>
      </w:r>
    </w:p>
    <w:p>
      <w:pPr>
        <w:spacing w:after="200" w:before="0"/>
        <w:ind w:left="720"/>
      </w:pPr>
      <w:r>
        <w:rPr>
          <w:rFonts w:ascii="Times New Roman" w:cs="Times New Roman" w:eastAsia="Times New Roman" w:hAnsi="Times New Roman"/>
          <w:b/>
          <w:bCs/>
          <w:sz w:val="24"/>
          <w:szCs w:val="24"/>
        </w:rPr>
        <w:t xml:space="preserve">(h) </w:t>
      </w:r>
      <w:r>
        <w:rPr>
          <w:rFonts w:ascii="Times New Roman" w:cs="Times New Roman" w:eastAsia="Times New Roman" w:hAnsi="Times New Roman"/>
          <w:sz w:val="24"/>
          <w:szCs w:val="24"/>
        </w:rPr>
        <w:t xml:space="preserve">transfers made with the prior written consent of the Company [and the Representative of the Underwriters].</w:t>
      </w:r>
    </w:p>
    <w:p>
      <w:pPr>
        <w:spacing w:after="200" w:before="200"/>
      </w:pPr>
      <w:r>
        <w:rPr>
          <w:rFonts w:ascii="Times New Roman" w:cs="Times New Roman" w:eastAsia="Times New Roman" w:hAnsi="Times New Roman"/>
          <w:sz w:val="24"/>
          <w:szCs w:val="24"/>
        </w:rPr>
        <w:t xml:space="preserve">provided, however, that in the case of clauses (a) and (b), (i) any such transfer shall not involve a disposition for value, (ii) the transferee shall sign and deliver to the Company a lock-up agreement in substantially the form of this Agreement, and (iii) no filing under the Securities Exchange Act of 1934 shall be required or shall be voluntarily made during the Lock-Up Period (other than any required Form 5).</w:t>
      </w:r>
    </w:p>
    <w:p>
      <w:r>
        <w:br w:type="page"/>
      </w:r>
    </w:p>
    <w:p>
      <w:pPr>
        <w:pStyle w:val="Heading2"/>
        <w:spacing w:after="200" w:before="300"/>
      </w:pPr>
      <w:r>
        <w:rPr>
          <w:rFonts w:ascii="Times New Roman" w:cs="Times New Roman" w:eastAsia="Times New Roman" w:hAnsi="Times New Roman"/>
          <w:b/>
          <w:bCs/>
          <w:sz w:val="24"/>
          <w:szCs w:val="24"/>
        </w:rPr>
        <w:t xml:space="preserve">Section 3. Market Standoff / MNPI</w:t>
      </w:r>
    </w:p>
    <w:p>
      <w:pPr>
        <w:spacing w:after="200" w:before="0"/>
      </w:pPr>
      <w:r>
        <w:rPr>
          <w:rFonts w:ascii="Times New Roman" w:cs="Times New Roman" w:eastAsia="Times New Roman" w:hAnsi="Times New Roman"/>
          <w:b/>
          <w:bCs/>
          <w:sz w:val="24"/>
          <w:szCs w:val="24"/>
        </w:rPr>
        <w:t xml:space="preserve">(a) Market Standoff. </w:t>
      </w:r>
      <w:r>
        <w:rPr>
          <w:rFonts w:ascii="Times New Roman" w:cs="Times New Roman" w:eastAsia="Times New Roman" w:hAnsi="Times New Roman"/>
          <w:sz w:val="24"/>
          <w:szCs w:val="24"/>
        </w:rPr>
        <w:t xml:space="preserve">The Stockholder acknowledges that the Company and the [Underwriters / Acquiring Company] are relying on this Agreement in proceeding with the [IPO / Transaction]. The Stockholder further acknowledges that this Agreement is irrevocable and shall be binding upon the Stockholder's heirs, legal representatives, successors, and assigns.</w:t>
      </w:r>
    </w:p>
    <w:p>
      <w:pPr>
        <w:spacing w:after="200" w:before="0"/>
      </w:pPr>
      <w:r>
        <w:rPr>
          <w:rFonts w:ascii="Times New Roman" w:cs="Times New Roman" w:eastAsia="Times New Roman" w:hAnsi="Times New Roman"/>
          <w:b/>
          <w:bCs/>
          <w:sz w:val="24"/>
          <w:szCs w:val="24"/>
        </w:rPr>
        <w:t xml:space="preserve">(b) Stop Transfer Instructions. </w:t>
      </w:r>
      <w:r>
        <w:rPr>
          <w:rFonts w:ascii="Times New Roman" w:cs="Times New Roman" w:eastAsia="Times New Roman" w:hAnsi="Times New Roman"/>
          <w:sz w:val="24"/>
          <w:szCs w:val="24"/>
        </w:rPr>
        <w:t xml:space="preserve">The Stockholder agrees and consents to the entry of stop transfer instructions with the Company's transfer agent and registrar against the transfer of the Stockholder's Lock-Up Securities except in compliance with this Agreement. The Company may, in its sole discretion, cause a legend to be placed on any certificates representing Lock-Up Securities referencing the restrictions contained in this Agreement.</w:t>
      </w:r>
    </w:p>
    <w:p>
      <w:pPr>
        <w:spacing w:after="200" w:before="0"/>
      </w:pPr>
      <w:r>
        <w:rPr>
          <w:rFonts w:ascii="Times New Roman" w:cs="Times New Roman" w:eastAsia="Times New Roman" w:hAnsi="Times New Roman"/>
          <w:b/>
          <w:bCs/>
          <w:sz w:val="24"/>
          <w:szCs w:val="24"/>
        </w:rPr>
        <w:t xml:space="preserve">(c) Material Non-Public Information. </w:t>
      </w:r>
      <w:r>
        <w:rPr>
          <w:rFonts w:ascii="Times New Roman" w:cs="Times New Roman" w:eastAsia="Times New Roman" w:hAnsi="Times New Roman"/>
          <w:sz w:val="24"/>
          <w:szCs w:val="24"/>
        </w:rPr>
        <w:t xml:space="preserve">The Stockholder acknowledges that, by virtue of the Stockholder's relationship with the Company, the Stockholder may be in possession of material non-public information ("</w:t>
      </w:r>
      <w:r>
        <w:rPr>
          <w:rFonts w:ascii="Times New Roman" w:cs="Times New Roman" w:eastAsia="Times New Roman" w:hAnsi="Times New Roman"/>
          <w:b/>
          <w:bCs/>
          <w:sz w:val="24"/>
          <w:szCs w:val="24"/>
        </w:rPr>
        <w:t xml:space="preserve">MNPI</w:t>
      </w:r>
      <w:r>
        <w:rPr>
          <w:rFonts w:ascii="Times New Roman" w:cs="Times New Roman" w:eastAsia="Times New Roman" w:hAnsi="Times New Roman"/>
          <w:sz w:val="24"/>
          <w:szCs w:val="24"/>
        </w:rPr>
        <w:t xml:space="preserve">") concerning the Company. The Stockholder agrees that, in addition to the restrictions in this Agreement, the Stockholder will comply with all applicable securities laws regarding the trading of securities while in possession of MNPI, including Section 10(b) of the Securities Exchange Act of 1934 and Rule 10b-5 thereunder.</w:t>
      </w:r>
    </w:p>
    <w:p>
      <w:pPr>
        <w:pStyle w:val="Heading2"/>
        <w:spacing w:after="200" w:before="300"/>
      </w:pPr>
      <w:r>
        <w:rPr>
          <w:rFonts w:ascii="Times New Roman" w:cs="Times New Roman" w:eastAsia="Times New Roman" w:hAnsi="Times New Roman"/>
          <w:b/>
          <w:bCs/>
          <w:sz w:val="24"/>
          <w:szCs w:val="24"/>
        </w:rPr>
        <w:t xml:space="preserve">Section 4. Early Release and Pro Rata Provisions</w:t>
      </w:r>
    </w:p>
    <w:p>
      <w:pPr>
        <w:pBdr>
          <w:left w:val="single" w:color="E67E22" w:sz="6" w:space="10"/>
        </w:pBdr>
        <w:shd w:fill="FFF8F0" w:val="clear"/>
        <w:spacing w:after="200" w:before="0"/>
        <w:ind w:left="200"/>
      </w:pPr>
      <w:r>
        <w:rPr>
          <w:rFonts w:ascii="Times New Roman" w:cs="Times New Roman" w:eastAsia="Times New Roman" w:hAnsi="Times New Roman"/>
          <w:b/>
          <w:bCs/>
          <w:color w:val="E67E22"/>
          <w:sz w:val="22"/>
          <w:szCs w:val="22"/>
        </w:rPr>
        <w:t xml:space="preserve">Emerging Provision — Structured Lock-Up Release: </w:t>
      </w:r>
      <w:r>
        <w:rPr>
          <w:rFonts w:ascii="Times New Roman" w:cs="Times New Roman" w:eastAsia="Times New Roman" w:hAnsi="Times New Roman"/>
          <w:sz w:val="22"/>
          <w:szCs w:val="22"/>
        </w:rPr>
        <w:t xml:space="preserve">Recent IPO lock-up agreements have increasingly adopted structured or "early release" provisions, where a portion of locked-up shares become tradeable before the end of the full lock-up period, typically tied to the stock's trading price exceeding a specified threshold above the IPO price. This approach balances investor liquidity needs with market stability.</w:t>
      </w:r>
    </w:p>
    <w:p>
      <w:pPr>
        <w:spacing w:after="200" w:before="0"/>
      </w:pPr>
      <w:r>
        <w:rPr>
          <w:rFonts w:ascii="Times New Roman" w:cs="Times New Roman" w:eastAsia="Times New Roman" w:hAnsi="Times New Roman"/>
          <w:b/>
          <w:bCs/>
          <w:sz w:val="24"/>
          <w:szCs w:val="24"/>
        </w:rPr>
        <w:t xml:space="preserve">(a) Early Release. </w:t>
      </w:r>
      <w:r>
        <w:rPr>
          <w:rFonts w:ascii="Times New Roman" w:cs="Times New Roman" w:eastAsia="Times New Roman" w:hAnsi="Times New Roman"/>
          <w:sz w:val="24"/>
          <w:szCs w:val="24"/>
        </w:rPr>
        <w:t xml:space="preserve">[Optional — check one:]</w:t>
      </w:r>
    </w:p>
    <w:p>
      <w:pPr>
        <w:spacing w:after="200" w:before="0"/>
        <w:ind w:left="720"/>
      </w:pPr>
      <w:r>
        <w:rPr>
          <w:rFonts w:ascii="Times New Roman" w:cs="Times New Roman" w:eastAsia="Times New Roman" w:hAnsi="Times New Roman"/>
          <w:sz w:val="24"/>
          <w:szCs w:val="24"/>
        </w:rPr>
        <w:t xml:space="preserve">☐  </w:t>
      </w:r>
      <w:r>
        <w:rPr>
          <w:rFonts w:ascii="Times New Roman" w:cs="Times New Roman" w:eastAsia="Times New Roman" w:hAnsi="Times New Roman"/>
          <w:b/>
          <w:bCs/>
          <w:sz w:val="24"/>
          <w:szCs w:val="24"/>
        </w:rPr>
        <w:t xml:space="preserve">No Early Release</w:t>
      </w:r>
      <w:r>
        <w:rPr>
          <w:rFonts w:ascii="Times New Roman" w:cs="Times New Roman" w:eastAsia="Times New Roman" w:hAnsi="Times New Roman"/>
          <w:sz w:val="24"/>
          <w:szCs w:val="24"/>
        </w:rPr>
        <w:t xml:space="preserve">. The Lock-Up Period shall not be subject to early termination.</w:t>
      </w:r>
    </w:p>
    <w:p>
      <w:pPr>
        <w:spacing w:after="200" w:before="0"/>
        <w:ind w:left="720"/>
      </w:pPr>
      <w:r>
        <w:rPr>
          <w:rFonts w:ascii="Times New Roman" w:cs="Times New Roman" w:eastAsia="Times New Roman" w:hAnsi="Times New Roman"/>
          <w:sz w:val="24"/>
          <w:szCs w:val="24"/>
        </w:rPr>
        <w:t xml:space="preserve">☐  </w:t>
      </w:r>
      <w:r>
        <w:rPr>
          <w:rFonts w:ascii="Times New Roman" w:cs="Times New Roman" w:eastAsia="Times New Roman" w:hAnsi="Times New Roman"/>
          <w:b/>
          <w:bCs/>
          <w:sz w:val="24"/>
          <w:szCs w:val="24"/>
        </w:rPr>
        <w:t xml:space="preserve">Price-Based Early Release</w:t>
      </w:r>
      <w:r>
        <w:rPr>
          <w:rFonts w:ascii="Times New Roman" w:cs="Times New Roman" w:eastAsia="Times New Roman" w:hAnsi="Times New Roman"/>
          <w:sz w:val="24"/>
          <w:szCs w:val="24"/>
        </w:rPr>
        <w:t xml:space="preserve">. Notwithstanding the provisions of Section 1, [●]% of the Stockholder's Lock-Up Securities shall be released from the restrictions of this Agreement on the date that is [●] days after the [closing date of the IPO], provided that the closing price of the Common Stock on [the exchange on which the Common Stock is listed] has been at least [●]% above the IPO price per share for at least [●] out of [●] consecutive trading days ending on or after the [●]th day following the closing date of the IPO.</w:t>
      </w:r>
    </w:p>
    <w:p>
      <w:pPr>
        <w:spacing w:after="200" w:before="0"/>
        <w:ind w:left="720"/>
      </w:pPr>
      <w:r>
        <w:rPr>
          <w:rFonts w:ascii="Times New Roman" w:cs="Times New Roman" w:eastAsia="Times New Roman" w:hAnsi="Times New Roman"/>
          <w:sz w:val="24"/>
          <w:szCs w:val="24"/>
        </w:rPr>
        <w:t xml:space="preserve">☐  </w:t>
      </w:r>
      <w:r>
        <w:rPr>
          <w:rFonts w:ascii="Times New Roman" w:cs="Times New Roman" w:eastAsia="Times New Roman" w:hAnsi="Times New Roman"/>
          <w:b/>
          <w:bCs/>
          <w:sz w:val="24"/>
          <w:szCs w:val="24"/>
        </w:rPr>
        <w:t xml:space="preserve">Pro Rata Release</w:t>
      </w:r>
      <w:r>
        <w:rPr>
          <w:rFonts w:ascii="Times New Roman" w:cs="Times New Roman" w:eastAsia="Times New Roman" w:hAnsi="Times New Roman"/>
          <w:sz w:val="24"/>
          <w:szCs w:val="24"/>
        </w:rPr>
        <w:t xml:space="preserve">. The Lock-Up Securities shall be released from the restrictions of this Agreement in equal installments on each of the following dates: (i) [●]% on the date that is [●] days after the [closing date of the IPO]; and (ii) [●]% on the date that is [●] days after the [closing date of the IPO].</w:t>
      </w:r>
    </w:p>
    <w:p>
      <w:pPr>
        <w:spacing w:after="200" w:before="0"/>
      </w:pPr>
      <w:r>
        <w:rPr>
          <w:rFonts w:ascii="Times New Roman" w:cs="Times New Roman" w:eastAsia="Times New Roman" w:hAnsi="Times New Roman"/>
          <w:b/>
          <w:bCs/>
          <w:sz w:val="24"/>
          <w:szCs w:val="24"/>
        </w:rPr>
        <w:t xml:space="preserve">(b) Discretionary Early Release. </w:t>
      </w:r>
      <w:r>
        <w:rPr>
          <w:rFonts w:ascii="Times New Roman" w:cs="Times New Roman" w:eastAsia="Times New Roman" w:hAnsi="Times New Roman"/>
          <w:sz w:val="24"/>
          <w:szCs w:val="24"/>
        </w:rPr>
        <w:t xml:space="preserve">If the Company [or the Representative of the Underwriters] agrees to release any other stockholder who is subject to a substantially similar lock-up agreement from any or all of the restrictions of such agreement, then the Stockholder shall be released from the same restrictions on a pro rata basis (based on the percentage of Lock-Up Securities released).</w:t>
      </w:r>
    </w:p>
    <w:p>
      <w:pPr>
        <w:pStyle w:val="Heading2"/>
        <w:spacing w:after="200" w:before="300"/>
      </w:pPr>
      <w:r>
        <w:rPr>
          <w:rFonts w:ascii="Times New Roman" w:cs="Times New Roman" w:eastAsia="Times New Roman" w:hAnsi="Times New Roman"/>
          <w:b/>
          <w:bCs/>
          <w:sz w:val="24"/>
          <w:szCs w:val="24"/>
        </w:rPr>
        <w:t xml:space="preserve">Section 5. Representations and Warranties</w:t>
      </w:r>
    </w:p>
    <w:p>
      <w:pPr>
        <w:spacing w:after="200" w:before="0"/>
      </w:pPr>
      <w:r>
        <w:rPr>
          <w:rFonts w:ascii="Times New Roman" w:cs="Times New Roman" w:eastAsia="Times New Roman" w:hAnsi="Times New Roman"/>
          <w:sz w:val="24"/>
          <w:szCs w:val="24"/>
        </w:rPr>
        <w:t xml:space="preserve">The Stockholder represents and warrants to the Company as follows:</w:t>
      </w:r>
    </w:p>
    <w:p>
      <w:pPr>
        <w:spacing w:after="200" w:before="0"/>
        <w:ind w:left="720"/>
      </w:pPr>
      <w:r>
        <w:rPr>
          <w:rFonts w:ascii="Times New Roman" w:cs="Times New Roman" w:eastAsia="Times New Roman" w:hAnsi="Times New Roman"/>
          <w:b/>
          <w:bCs/>
          <w:sz w:val="24"/>
          <w:szCs w:val="24"/>
        </w:rPr>
        <w:t xml:space="preserve">(a) </w:t>
      </w:r>
      <w:r>
        <w:rPr>
          <w:rFonts w:ascii="Times New Roman" w:cs="Times New Roman" w:eastAsia="Times New Roman" w:hAnsi="Times New Roman"/>
          <w:sz w:val="24"/>
          <w:szCs w:val="24"/>
        </w:rPr>
        <w:t xml:space="preserve">The Stockholder has full power and authority to enter into this Agreement and to perform the Stockholder's obligations hereunder.</w:t>
      </w:r>
    </w:p>
    <w:p>
      <w:pPr>
        <w:spacing w:after="200" w:before="0"/>
        <w:ind w:left="720"/>
      </w:pPr>
      <w:r>
        <w:rPr>
          <w:rFonts w:ascii="Times New Roman" w:cs="Times New Roman" w:eastAsia="Times New Roman" w:hAnsi="Times New Roman"/>
          <w:b/>
          <w:bCs/>
          <w:sz w:val="24"/>
          <w:szCs w:val="24"/>
        </w:rPr>
        <w:t xml:space="preserve">(b) </w:t>
      </w:r>
      <w:r>
        <w:rPr>
          <w:rFonts w:ascii="Times New Roman" w:cs="Times New Roman" w:eastAsia="Times New Roman" w:hAnsi="Times New Roman"/>
          <w:sz w:val="24"/>
          <w:szCs w:val="24"/>
        </w:rPr>
        <w:t xml:space="preserve">This Agreement has been duly executed and delivered by the Stockholder and constitutes a valid and binding obligation of the Stockholder, enforceable against the Stockholder in accordance with its terms, subject to applicable bankruptcy, insolvency, and similar laws.</w:t>
      </w:r>
    </w:p>
    <w:p>
      <w:pPr>
        <w:spacing w:after="200" w:before="0"/>
        <w:ind w:left="720"/>
      </w:pPr>
      <w:r>
        <w:rPr>
          <w:rFonts w:ascii="Times New Roman" w:cs="Times New Roman" w:eastAsia="Times New Roman" w:hAnsi="Times New Roman"/>
          <w:b/>
          <w:bCs/>
          <w:sz w:val="24"/>
          <w:szCs w:val="24"/>
        </w:rPr>
        <w:t xml:space="preserve">(c) </w:t>
      </w:r>
      <w:r>
        <w:rPr>
          <w:rFonts w:ascii="Times New Roman" w:cs="Times New Roman" w:eastAsia="Times New Roman" w:hAnsi="Times New Roman"/>
          <w:sz w:val="24"/>
          <w:szCs w:val="24"/>
        </w:rPr>
        <w:t xml:space="preserve">The execution, delivery, and performance of this Agreement by the Stockholder does not conflict with, violate, or result in a breach of any agreement, instrument, order, judgment, or decree to which the Stockholder is a party or by which the Stockholder is bound.</w:t>
      </w:r>
    </w:p>
    <w:p>
      <w:pPr>
        <w:spacing w:after="200" w:before="0"/>
        <w:ind w:left="720"/>
      </w:pPr>
      <w:r>
        <w:rPr>
          <w:rFonts w:ascii="Times New Roman" w:cs="Times New Roman" w:eastAsia="Times New Roman" w:hAnsi="Times New Roman"/>
          <w:b/>
          <w:bCs/>
          <w:sz w:val="24"/>
          <w:szCs w:val="24"/>
        </w:rPr>
        <w:t xml:space="preserve">(d) </w:t>
      </w:r>
      <w:r>
        <w:rPr>
          <w:rFonts w:ascii="Times New Roman" w:cs="Times New Roman" w:eastAsia="Times New Roman" w:hAnsi="Times New Roman"/>
          <w:sz w:val="24"/>
          <w:szCs w:val="24"/>
        </w:rPr>
        <w:t xml:space="preserve">The Stockholder is the record and beneficial owner of [●] shares of [Common Stock / Series [●] Preferred Stock] of the Company, and [●] shares issuable upon exercise of outstanding options or warrants (collectively, the "</w:t>
      </w:r>
      <w:r>
        <w:rPr>
          <w:rFonts w:ascii="Times New Roman" w:cs="Times New Roman" w:eastAsia="Times New Roman" w:hAnsi="Times New Roman"/>
          <w:b/>
          <w:bCs/>
          <w:sz w:val="24"/>
          <w:szCs w:val="24"/>
        </w:rPr>
        <w:t xml:space="preserve">Covered Securities</w:t>
      </w:r>
      <w:r>
        <w:rPr>
          <w:rFonts w:ascii="Times New Roman" w:cs="Times New Roman" w:eastAsia="Times New Roman" w:hAnsi="Times New Roman"/>
          <w:sz w:val="24"/>
          <w:szCs w:val="24"/>
        </w:rPr>
        <w:t xml:space="preserve">"). The Stockholder does not own any other securities of the Company.</w:t>
      </w:r>
    </w:p>
    <w:p>
      <w:r>
        <w:br w:type="page"/>
      </w:r>
    </w:p>
    <w:p>
      <w:pPr>
        <w:pStyle w:val="Heading2"/>
        <w:spacing w:after="200" w:before="300"/>
      </w:pPr>
      <w:r>
        <w:rPr>
          <w:rFonts w:ascii="Times New Roman" w:cs="Times New Roman" w:eastAsia="Times New Roman" w:hAnsi="Times New Roman"/>
          <w:b/>
          <w:bCs/>
          <w:sz w:val="24"/>
          <w:szCs w:val="24"/>
        </w:rPr>
        <w:t xml:space="preserve">Section 6. Miscellaneous</w:t>
      </w:r>
    </w:p>
    <w:p>
      <w:pPr>
        <w:spacing w:after="200" w:before="0"/>
      </w:pPr>
      <w:r>
        <w:rPr>
          <w:rFonts w:ascii="Times New Roman" w:cs="Times New Roman" w:eastAsia="Times New Roman" w:hAnsi="Times New Roman"/>
          <w:b/>
          <w:bCs/>
          <w:sz w:val="24"/>
          <w:szCs w:val="24"/>
        </w:rPr>
        <w:t xml:space="preserve">(a) Amendments. </w:t>
      </w:r>
      <w:r>
        <w:rPr>
          <w:rFonts w:ascii="Times New Roman" w:cs="Times New Roman" w:eastAsia="Times New Roman" w:hAnsi="Times New Roman"/>
          <w:sz w:val="24"/>
          <w:szCs w:val="24"/>
        </w:rPr>
        <w:t xml:space="preserve">This Agreement may not be amended or modified except by a written instrument signed by both the Company and the Stockholder [and consented to by the Representative of the Underwriters].</w:t>
      </w:r>
    </w:p>
    <w:p>
      <w:pPr>
        <w:spacing w:after="200" w:before="0"/>
      </w:pPr>
      <w:r>
        <w:rPr>
          <w:rFonts w:ascii="Times New Roman" w:cs="Times New Roman" w:eastAsia="Times New Roman" w:hAnsi="Times New Roman"/>
          <w:b/>
          <w:bCs/>
          <w:sz w:val="24"/>
          <w:szCs w:val="24"/>
        </w:rPr>
        <w:t xml:space="preserve">(b) Severability. </w:t>
      </w:r>
      <w:r>
        <w:rPr>
          <w:rFonts w:ascii="Times New Roman" w:cs="Times New Roman" w:eastAsia="Times New Roman" w:hAnsi="Times New Roman"/>
          <w:sz w:val="24"/>
          <w:szCs w:val="24"/>
        </w:rPr>
        <w:t xml:space="preserve">If any provision of this Agreement is held to be invalid or unenforceable, the remaining provisions shall continue in full force and effect. The invalid or unenforceable provision shall be modified to the minimum extent necessary to make it valid and enforceable.</w:t>
      </w:r>
    </w:p>
    <w:p>
      <w:pPr>
        <w:spacing w:after="200" w:before="0"/>
      </w:pPr>
      <w:r>
        <w:rPr>
          <w:rFonts w:ascii="Times New Roman" w:cs="Times New Roman" w:eastAsia="Times New Roman" w:hAnsi="Times New Roman"/>
          <w:b/>
          <w:bCs/>
          <w:sz w:val="24"/>
          <w:szCs w:val="24"/>
        </w:rPr>
        <w:t xml:space="preserve">(c) Governing Law. </w:t>
      </w:r>
      <w:r>
        <w:rPr>
          <w:rFonts w:ascii="Times New Roman" w:cs="Times New Roman" w:eastAsia="Times New Roman" w:hAnsi="Times New Roman"/>
          <w:sz w:val="24"/>
          <w:szCs w:val="24"/>
        </w:rPr>
        <w:t xml:space="preserve">This Agreement shall be governed by and construed in accordance with the laws of the State of [State], without regard to its conflicts of laws principles.</w:t>
      </w:r>
    </w:p>
    <w:p>
      <w:pPr>
        <w:spacing w:after="200" w:before="0"/>
      </w:pPr>
      <w:r>
        <w:rPr>
          <w:rFonts w:ascii="Times New Roman" w:cs="Times New Roman" w:eastAsia="Times New Roman" w:hAnsi="Times New Roman"/>
          <w:b/>
          <w:bCs/>
          <w:sz w:val="24"/>
          <w:szCs w:val="24"/>
        </w:rPr>
        <w:t xml:space="preserve">(d) Entire Agreement. </w:t>
      </w:r>
      <w:r>
        <w:rPr>
          <w:rFonts w:ascii="Times New Roman" w:cs="Times New Roman" w:eastAsia="Times New Roman" w:hAnsi="Times New Roman"/>
          <w:sz w:val="24"/>
          <w:szCs w:val="24"/>
        </w:rPr>
        <w:t xml:space="preserve">This Agreement constitutes the entire agreement between the parties with respect to the subject matter hereof and supersedes all prior agreements and understandings, whether written or oral, relating to such subject matter.</w:t>
      </w:r>
    </w:p>
    <w:p>
      <w:pPr>
        <w:spacing w:after="200" w:before="0"/>
      </w:pPr>
      <w:r>
        <w:rPr>
          <w:rFonts w:ascii="Times New Roman" w:cs="Times New Roman" w:eastAsia="Times New Roman" w:hAnsi="Times New Roman"/>
          <w:b/>
          <w:bCs/>
          <w:sz w:val="24"/>
          <w:szCs w:val="24"/>
        </w:rPr>
        <w:t xml:space="preserve">(e) Notices. </w:t>
      </w:r>
      <w:r>
        <w:rPr>
          <w:rFonts w:ascii="Times New Roman" w:cs="Times New Roman" w:eastAsia="Times New Roman" w:hAnsi="Times New Roman"/>
          <w:sz w:val="24"/>
          <w:szCs w:val="24"/>
        </w:rPr>
        <w:t xml:space="preserve">All notices required or permitted under this Agreement shall be in writing and shall be deemed given: (i) when delivered personally; (ii) when sent by confirmed email; (iii) one (1) business day after being sent by nationally recognized overnight courier; or (iv) three (3) business days after being mailed by certified or registered mail, return receipt requested, postage prepaid, to the addresses set forth below or to such other address as a party may designate by notice.</w:t>
      </w:r>
    </w:p>
    <w:p>
      <w:pPr>
        <w:spacing w:after="200" w:before="0"/>
      </w:pPr>
      <w:r>
        <w:rPr>
          <w:rFonts w:ascii="Times New Roman" w:cs="Times New Roman" w:eastAsia="Times New Roman" w:hAnsi="Times New Roman"/>
          <w:b/>
          <w:bCs/>
          <w:sz w:val="24"/>
          <w:szCs w:val="24"/>
        </w:rPr>
        <w:t xml:space="preserve">(f) Counterparts. </w:t>
      </w:r>
      <w:r>
        <w:rPr>
          <w:rFonts w:ascii="Times New Roman" w:cs="Times New Roman" w:eastAsia="Times New Roman" w:hAnsi="Times New Roman"/>
          <w:sz w:val="24"/>
          <w:szCs w:val="24"/>
        </w:rPr>
        <w:t xml:space="preserve">This Agreement may be executed in one or more counterparts, each of which shall be deemed an original, and all of which together shall constitute one and the same instrument. Execution and delivery of this Agreement by electronic signature or portable document format (.pdf) shall be deemed to be, and shall have the same legal effect as, execution by original signature.</w:t>
      </w:r>
    </w:p>
    <w:p>
      <w:pPr>
        <w:spacing w:after="200" w:before="0"/>
      </w:pPr>
      <w:r>
        <w:rPr>
          <w:rFonts w:ascii="Times New Roman" w:cs="Times New Roman" w:eastAsia="Times New Roman" w:hAnsi="Times New Roman"/>
          <w:b/>
          <w:bCs/>
          <w:sz w:val="24"/>
          <w:szCs w:val="24"/>
        </w:rPr>
        <w:t xml:space="preserve">(g) Successors and Assigns. </w:t>
      </w:r>
      <w:r>
        <w:rPr>
          <w:rFonts w:ascii="Times New Roman" w:cs="Times New Roman" w:eastAsia="Times New Roman" w:hAnsi="Times New Roman"/>
          <w:sz w:val="24"/>
          <w:szCs w:val="24"/>
        </w:rPr>
        <w:t xml:space="preserve">This Agreement shall be binding upon and inure to the benefit of the parties and their respective heirs, executors, administrators, legal representatives, successors, and assigns. The Stockholder may not assign this Agreement or any rights or obligations hereunder without the prior written consent of the Company.</w:t>
      </w:r>
    </w:p>
    <w:p>
      <w:pPr>
        <w:spacing w:after="200" w:before="0"/>
      </w:pPr>
      <w:r>
        <w:rPr>
          <w:rFonts w:ascii="Times New Roman" w:cs="Times New Roman" w:eastAsia="Times New Roman" w:hAnsi="Times New Roman"/>
          <w:b/>
          <w:bCs/>
          <w:sz w:val="24"/>
          <w:szCs w:val="24"/>
        </w:rPr>
        <w:t xml:space="preserve">(h) Specific Performance. </w:t>
      </w:r>
      <w:r>
        <w:rPr>
          <w:rFonts w:ascii="Times New Roman" w:cs="Times New Roman" w:eastAsia="Times New Roman" w:hAnsi="Times New Roman"/>
          <w:sz w:val="24"/>
          <w:szCs w:val="24"/>
        </w:rPr>
        <w:t xml:space="preserve">The Stockholder acknowledges that the Company and the [Underwriters / Acquiring Company] would be irreparably harmed by any breach of this Agreement and that money damages would be an inadequate remedy. Accordingly, the Company shall be entitled to specific performance and injunctive or other equitable relief as a remedy for any breach, in addition to all other remedies available at law or in equity.</w:t>
      </w:r>
    </w:p>
    <w:p>
      <w:pPr>
        <w:spacing w:after="200" w:before="0"/>
      </w:pPr>
      <w:r>
        <w:rPr>
          <w:rFonts w:ascii="Times New Roman" w:cs="Times New Roman" w:eastAsia="Times New Roman" w:hAnsi="Times New Roman"/>
          <w:b/>
          <w:bCs/>
          <w:sz w:val="24"/>
          <w:szCs w:val="24"/>
        </w:rPr>
        <w:t xml:space="preserve">(i) No Strict Construction. </w:t>
      </w:r>
      <w:r>
        <w:rPr>
          <w:rFonts w:ascii="Times New Roman" w:cs="Times New Roman" w:eastAsia="Times New Roman" w:hAnsi="Times New Roman"/>
          <w:sz w:val="24"/>
          <w:szCs w:val="24"/>
        </w:rPr>
        <w:t xml:space="preserve">The parties have participated jointly in the negotiation and drafting of this Agreement. In the event an ambiguity or question of intent arises, this Agreement shall be construed as if drafted jointly by the parties, and no presumption or burden of proof shall arise favoring or disfavoring any party by virtue of the authorship of any provision.</w:t>
      </w:r>
    </w:p>
    <w:p>
      <w:r>
        <w:br w:type="page"/>
      </w:r>
    </w:p>
    <w:p>
      <w:pPr>
        <w:pStyle w:val="Heading1"/>
        <w:spacing w:after="200" w:before="0"/>
      </w:pPr>
      <w:r>
        <w:rPr>
          <w:rFonts w:ascii="Times New Roman" w:cs="Times New Roman" w:eastAsia="Times New Roman" w:hAnsi="Times New Roman"/>
          <w:b/>
          <w:bCs/>
          <w:sz w:val="26"/>
          <w:szCs w:val="26"/>
        </w:rPr>
        <w:t xml:space="preserve">SIGNATURE PAGE</w:t>
      </w:r>
    </w:p>
    <w:p>
      <w:pPr>
        <w:spacing w:after="200" w:before="0"/>
      </w:pPr>
      <w:r>
        <w:rPr>
          <w:rFonts w:ascii="Times New Roman" w:cs="Times New Roman" w:eastAsia="Times New Roman" w:hAnsi="Times New Roman"/>
          <w:sz w:val="24"/>
          <w:szCs w:val="24"/>
        </w:rPr>
        <w:t xml:space="preserve">IN WITNESS WHEREOF, the parties have executed this Lock-Up Agreement as of the date first written above.</w:t>
      </w:r>
    </w:p>
    <w:p>
      <w:pPr>
        <w:spacing w:after="200" w:before="400"/>
      </w:pPr>
      <w:r>
        <w:rPr>
          <w:rFonts w:ascii="Times New Roman" w:cs="Times New Roman" w:eastAsia="Times New Roman" w:hAnsi="Times New Roman"/>
          <w:b/>
          <w:bCs/>
          <w:sz w:val="24"/>
          <w:szCs w:val="24"/>
        </w:rPr>
        <w:t xml:space="preserve">COMPANY:</w:t>
      </w:r>
    </w:p>
    <w:p>
      <w:pPr>
        <w:spacing w:after="200" w:before="0"/>
      </w:pPr>
      <w:r>
        <w:rPr>
          <w:rFonts w:ascii="Times New Roman" w:cs="Times New Roman" w:eastAsia="Times New Roman" w:hAnsi="Times New Roman"/>
          <w:b/>
          <w:bCs/>
          <w:sz w:val="24"/>
          <w:szCs w:val="24"/>
        </w:rPr>
        <w:t xml:space="preserve">[COMPANY NAME]</w:t>
      </w:r>
    </w:p>
    <w:p>
      <w:pPr>
        <w:pBdr>
          <w:bottom w:val="single" w:color="000000" w:sz="1"/>
        </w:pBdr>
        <w:spacing w:after="0" w:before="300"/>
      </w:pPr>
      <w:r>
        <w:rPr>
          <w:rFonts w:ascii="Times New Roman" w:cs="Times New Roman" w:eastAsia="Times New Roman" w:hAnsi="Times New Roman"/>
          <w:sz w:val="24"/>
          <w:szCs w:val="24"/>
        </w:rPr>
        <w:t xml:space="preserve">                                                                                    </w:t>
      </w:r>
    </w:p>
    <w:p>
      <w:pPr>
        <w:spacing w:after="200" w:before="0"/>
      </w:pPr>
      <w:r>
        <w:rPr>
          <w:rFonts w:ascii="Times New Roman" w:cs="Times New Roman" w:eastAsia="Times New Roman" w:hAnsi="Times New Roman"/>
          <w:sz w:val="24"/>
          <w:szCs w:val="24"/>
        </w:rPr>
        <w:t xml:space="preserve">By: _______________________________________________</w:t>
      </w:r>
    </w:p>
    <w:p>
      <w:pPr>
        <w:spacing w:after="200" w:before="0"/>
      </w:pPr>
      <w:r>
        <w:rPr>
          <w:rFonts w:ascii="Times New Roman" w:cs="Times New Roman" w:eastAsia="Times New Roman" w:hAnsi="Times New Roman"/>
          <w:sz w:val="24"/>
          <w:szCs w:val="24"/>
        </w:rPr>
        <w:t xml:space="preserve">Name: _______________________________________________</w:t>
      </w:r>
    </w:p>
    <w:p>
      <w:pPr>
        <w:spacing w:after="200" w:before="0"/>
      </w:pPr>
      <w:r>
        <w:rPr>
          <w:rFonts w:ascii="Times New Roman" w:cs="Times New Roman" w:eastAsia="Times New Roman" w:hAnsi="Times New Roman"/>
          <w:sz w:val="24"/>
          <w:szCs w:val="24"/>
        </w:rPr>
        <w:t xml:space="preserve">Title: _______________________________________________</w:t>
      </w:r>
    </w:p>
    <w:p>
      <w:pPr>
        <w:spacing w:after="200" w:before="500"/>
      </w:pPr>
      <w:r>
        <w:rPr>
          <w:rFonts w:ascii="Times New Roman" w:cs="Times New Roman" w:eastAsia="Times New Roman" w:hAnsi="Times New Roman"/>
          <w:b/>
          <w:bCs/>
          <w:sz w:val="24"/>
          <w:szCs w:val="24"/>
        </w:rPr>
        <w:t xml:space="preserve">STOCKHOLDER:</w:t>
      </w:r>
    </w:p>
    <w:p>
      <w:pPr>
        <w:pBdr>
          <w:bottom w:val="single" w:color="000000" w:sz="1"/>
        </w:pBdr>
        <w:spacing w:after="0" w:before="300"/>
      </w:pPr>
      <w:r>
        <w:rPr>
          <w:rFonts w:ascii="Times New Roman" w:cs="Times New Roman" w:eastAsia="Times New Roman" w:hAnsi="Times New Roman"/>
          <w:sz w:val="24"/>
          <w:szCs w:val="24"/>
        </w:rPr>
        <w:t xml:space="preserve">                                                                                    </w:t>
      </w:r>
    </w:p>
    <w:p>
      <w:pPr>
        <w:spacing w:after="200" w:before="0"/>
      </w:pPr>
      <w:r>
        <w:rPr>
          <w:rFonts w:ascii="Times New Roman" w:cs="Times New Roman" w:eastAsia="Times New Roman" w:hAnsi="Times New Roman"/>
          <w:sz w:val="24"/>
          <w:szCs w:val="24"/>
        </w:rPr>
        <w:t xml:space="preserve">Signature</w:t>
      </w:r>
    </w:p>
    <w:p>
      <w:pPr>
        <w:spacing w:after="200" w:before="0"/>
      </w:pPr>
      <w:r>
        <w:rPr>
          <w:rFonts w:ascii="Times New Roman" w:cs="Times New Roman" w:eastAsia="Times New Roman" w:hAnsi="Times New Roman"/>
          <w:sz w:val="24"/>
          <w:szCs w:val="24"/>
        </w:rPr>
        <w:t xml:space="preserve">Print Name: _______________________________________________</w:t>
      </w:r>
    </w:p>
    <w:p>
      <w:pPr>
        <w:spacing w:after="200" w:before="0"/>
      </w:pPr>
      <w:r>
        <w:rPr>
          <w:rFonts w:ascii="Times New Roman" w:cs="Times New Roman" w:eastAsia="Times New Roman" w:hAnsi="Times New Roman"/>
          <w:sz w:val="24"/>
          <w:szCs w:val="24"/>
        </w:rPr>
        <w:t xml:space="preserve">Address: _______________________________________________</w:t>
      </w:r>
    </w:p>
    <w:p>
      <w:pPr>
        <w:spacing w:after="200" w:before="0"/>
      </w:pPr>
      <w:r>
        <w:rPr>
          <w:rFonts w:ascii="Times New Roman" w:cs="Times New Roman" w:eastAsia="Times New Roman" w:hAnsi="Times New Roman"/>
          <w:sz w:val="24"/>
          <w:szCs w:val="24"/>
        </w:rPr>
        <w:t xml:space="preserve">_______________________________________________</w:t>
      </w:r>
    </w:p>
    <w:p>
      <w:pPr>
        <w:spacing w:after="200" w:before="0"/>
      </w:pPr>
      <w:r>
        <w:rPr>
          <w:rFonts w:ascii="Times New Roman" w:cs="Times New Roman" w:eastAsia="Times New Roman" w:hAnsi="Times New Roman"/>
          <w:sz w:val="24"/>
          <w:szCs w:val="24"/>
        </w:rPr>
        <w:t xml:space="preserve">Email: _______________________________________________</w:t>
      </w:r>
    </w:p>
    <w:p>
      <w:pPr>
        <w:spacing w:after="200" w:before="300"/>
      </w:pPr>
      <w:r>
        <w:rPr>
          <w:rFonts w:ascii="Times New Roman" w:cs="Times New Roman" w:eastAsia="Times New Roman" w:hAnsi="Times New Roman"/>
          <w:b/>
          <w:bCs/>
          <w:sz w:val="24"/>
          <w:szCs w:val="24"/>
        </w:rPr>
        <w:t xml:space="preserve">Number of Covered Securities:</w:t>
      </w:r>
    </w:p>
    <w:p>
      <w:pPr>
        <w:spacing w:after="200" w:before="0"/>
        <w:ind w:left="720"/>
      </w:pPr>
      <w:r>
        <w:rPr>
          <w:rFonts w:ascii="Times New Roman" w:cs="Times New Roman" w:eastAsia="Times New Roman" w:hAnsi="Times New Roman"/>
          <w:sz w:val="24"/>
          <w:szCs w:val="24"/>
        </w:rPr>
        <w:t xml:space="preserve">[●] shares of Common Stock</w:t>
      </w:r>
    </w:p>
    <w:p>
      <w:pPr>
        <w:spacing w:after="200" w:before="0"/>
        <w:ind w:left="720"/>
      </w:pPr>
      <w:r>
        <w:rPr>
          <w:rFonts w:ascii="Times New Roman" w:cs="Times New Roman" w:eastAsia="Times New Roman" w:hAnsi="Times New Roman"/>
          <w:sz w:val="24"/>
          <w:szCs w:val="24"/>
        </w:rPr>
        <w:t xml:space="preserve">[●] shares of Series [●] Preferred Stock</w:t>
      </w:r>
    </w:p>
    <w:p>
      <w:pPr>
        <w:spacing w:after="200" w:before="0"/>
        <w:ind w:left="720"/>
      </w:pPr>
      <w:r>
        <w:rPr>
          <w:rFonts w:ascii="Times New Roman" w:cs="Times New Roman" w:eastAsia="Times New Roman" w:hAnsi="Times New Roman"/>
          <w:sz w:val="24"/>
          <w:szCs w:val="24"/>
        </w:rPr>
        <w:t xml:space="preserve">[●] shares issuable upon exercise of options/warrants</w:t>
      </w:r>
    </w:p>
    <w:p>
      <w:r>
        <w:br w:type="page"/>
      </w:r>
    </w:p>
    <w:p>
      <w:pPr>
        <w:spacing w:after="300" w:before="0"/>
        <w:jc w:val="center"/>
      </w:pPr>
      <w:r>
        <w:rPr>
          <w:rFonts w:ascii="Times New Roman" w:cs="Times New Roman" w:eastAsia="Times New Roman" w:hAnsi="Times New Roman"/>
          <w:b/>
          <w:bCs/>
          <w:color w:val="888888"/>
          <w:sz w:val="24"/>
          <w:szCs w:val="24"/>
        </w:rPr>
        <w:t xml:space="preserve">DISCLAIMER</w:t>
      </w:r>
    </w:p>
    <w:p>
      <w:pPr>
        <w:shd w:fill="F5F5F5" w:val="clear"/>
        <w:spacing w:after="200" w:before="0"/>
      </w:pPr>
      <w:r>
        <w:rPr>
          <w:rFonts w:ascii="Times New Roman" w:cs="Times New Roman" w:eastAsia="Times New Roman" w:hAnsi="Times New Roman"/>
          <w:i/>
          <w:iCs/>
          <w:color w:val="666666"/>
          <w:sz w:val="20"/>
          <w:szCs w:val="20"/>
        </w:rPr>
        <w:t xml:space="preserve">This template is provided by Montague Law for informational and educational purposes only and does not constitute legal advice. This Lock-Up Agreement template is based on common market terms for IPO and M&amp;A lock-up agreements as of 2026. Lock-up terms are highly negotiated and vary significantly based on the type of transaction, the parties involved, and prevailing market conditions. Use of this template does not create an attorney-client relationship between you and Montague Law. Companies and stockholders should consult with qualified legal counsel before entering into any lock-up arrangement. Montague Law expressly disclaims all liability for actions taken or not taken based on this template.</w:t>
      </w:r>
    </w:p>
    <w:p>
      <w:pPr>
        <w:spacing w:after="200" w:before="0"/>
        <w:jc w:val="center"/>
      </w:pPr>
      <w:r>
        <w:rPr>
          <w:rFonts w:ascii="Times New Roman" w:cs="Times New Roman" w:eastAsia="Times New Roman" w:hAnsi="Times New Roman"/>
          <w:color w:val="999999"/>
          <w:sz w:val="18"/>
          <w:szCs w:val="18"/>
        </w:rPr>
        <w:t xml:space="preserve">© 2026 Montague Law. All rights reserved.</w:t>
      </w:r>
    </w:p>
    <w:p>
      <w:pPr>
        <w:spacing w:after="200" w:before="0"/>
        <w:jc w:val="center"/>
      </w:pPr>
      <w:r>
        <w:rPr>
          <w:rFonts w:ascii="Times New Roman" w:cs="Times New Roman" w:eastAsia="Times New Roman" w:hAnsi="Times New Roman"/>
          <w:color w:val="999999"/>
          <w:sz w:val="18"/>
          <w:szCs w:val="18"/>
        </w:rPr>
        <w:t xml:space="preserve">montague.law</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16"/>
        <w:szCs w:val="16"/>
      </w:rPr>
      <w:t xml:space="preserve">Page </w:t>
    </w:r>
    <w:r>
      <w:rPr>
        <w:rFonts w:ascii="Times New Roman" w:cs="Times New Roman" w:eastAsia="Times New Roman" w:hAnsi="Times New Roman"/>
        <w:sz w:val="16"/>
        <w:szCs w:val="16"/>
      </w:rPr>
      <w:fldChar w:fldCharType="begin"/>
      <w:instrText xml:space="preserve">PAGE</w:instrText>
      <w:fldChar w:fldCharType="separate"/>
      <w:fldChar w:fldCharType="end"/>
    </w:r>
    <w:r>
      <w:rPr>
        <w:rFonts w:ascii="Times New Roman" w:cs="Times New Roman" w:eastAsia="Times New Roman" w:hAnsi="Times New Roman"/>
        <w:sz w:val="16"/>
        <w:szCs w:val="16"/>
      </w:rPr>
      <w:t xml:space="preserve"> of </w:t>
    </w:r>
    <w:r>
      <w:rPr>
        <w:rFonts w:ascii="Times New Roman" w:cs="Times New Roman" w:eastAsia="Times New Roman" w:hAnsi="Times New Roman"/>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200" w:before="0"/>
      <w:jc w:val="center"/>
    </w:pPr>
    <w:r>
      <w:rPr>
        <w:rFonts w:ascii="Times New Roman" w:cs="Times New Roman" w:eastAsia="Times New Roman" w:hAnsi="Times New Roman"/>
        <w:color w:val="888888"/>
        <w:sz w:val="16"/>
        <w:szCs w:val="16"/>
      </w:rPr>
      <w:t xml:space="preserve">LOCK-UP AGREEMENT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2026-08-18T17:43:13.808Z</dcterms:created>
  <dcterms:modified xsi:type="dcterms:W3CDTF">2026-08-18T17:43:13.808Z</dcterms:modified>
</cp:coreProperties>
</file>

<file path=docProps/custom.xml><?xml version="1.0" encoding="utf-8"?>
<Properties xmlns="http://schemas.openxmlformats.org/officeDocument/2006/custom-properties" xmlns:vt="http://schemas.openxmlformats.org/officeDocument/2006/docPropsVTypes"/>
</file>