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p>
    <w:p>
      <w:pPr>
        <w:spacing w:after="0"/>
      </w:pPr>
    </w:p>
    <w:p>
      <w:pPr>
        <w:spacing w:after="0"/>
      </w:pPr>
    </w:p>
    <w:p>
      <w:pPr>
        <w:spacing w:after="0"/>
      </w:pPr>
    </w:p>
    <w:p>
      <w:pPr>
        <w:spacing w:after="0"/>
        <w:jc w:val="center"/>
      </w:pPr>
      <w:r>
        <w:rPr>
          <w:rFonts w:ascii="Calibri" w:cs="Calibri" w:eastAsia="Calibri" w:hAnsi="Calibri"/>
          <w:i/>
          <w:iCs/>
          <w:color w:val="888888"/>
          <w:sz w:val="20"/>
          <w:szCs w:val="20"/>
        </w:rPr>
        <w:t xml:space="preserve">[COMPANY LOGO]</w:t>
      </w:r>
    </w:p>
    <w:p>
      <w:pPr>
        <w:spacing w:after="0"/>
      </w:pPr>
    </w:p>
    <w:p>
      <w:pPr>
        <w:spacing w:after="0"/>
      </w:pPr>
    </w:p>
    <w:p>
      <w:pPr>
        <w:spacing w:after="60"/>
        <w:jc w:val="center"/>
      </w:pPr>
      <w:r>
        <w:rPr>
          <w:rFonts w:ascii="Calibri" w:cs="Calibri" w:eastAsia="Calibri" w:hAnsi="Calibri"/>
          <w:b/>
          <w:bCs/>
          <w:color w:val="1B2A4A"/>
          <w:sz w:val="40"/>
          <w:szCs w:val="40"/>
        </w:rPr>
        <w:t xml:space="preserve">[COMPANY]</w:t>
      </w:r>
    </w:p>
    <w:p>
      <w:pPr>
        <w:spacing w:after="120"/>
        <w:jc w:val="center"/>
      </w:pPr>
      <w:r>
        <w:rPr>
          <w:rFonts w:ascii="Calibri" w:cs="Calibri" w:eastAsia="Calibri" w:hAnsi="Calibri"/>
          <w:b/>
          <w:bCs/>
          <w:color w:val="1B2A4A"/>
          <w:sz w:val="52"/>
          <w:szCs w:val="52"/>
        </w:rPr>
        <w:t xml:space="preserve">Information Security Policy</w:t>
      </w:r>
    </w:p>
    <w:p>
      <w:pPr>
        <w:spacing w:after="200"/>
        <w:jc w:val="center"/>
      </w:pPr>
      <w:r>
        <w:rPr>
          <w:rFonts w:ascii="Calibri" w:cs="Calibri" w:eastAsia="Calibri" w:hAnsi="Calibri"/>
          <w:i/>
          <w:iCs/>
          <w:color w:val="888888"/>
          <w:sz w:val="24"/>
          <w:szCs w:val="24"/>
        </w:rPr>
        <w:t xml:space="preserve">For Informational Purposes Only</w:t>
      </w:r>
    </w:p>
    <w:tbl>
      <w:tblPr>
        <w:tblW w:type="dxa" w:w="5400"/>
        <w:jc w:val="center"/>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Document ID</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EF-018</w:t>
            </w:r>
          </w:p>
        </w:tc>
      </w:tr>
      <w:tr>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Version</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[VERSION]</w:t>
            </w:r>
          </w:p>
        </w:tc>
      </w:tr>
      <w:tr>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Effective Date</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[EFFECTIVE DATE]</w:t>
            </w:r>
          </w:p>
        </w:tc>
      </w:tr>
      <w:tr>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Last Reviewed</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[REVIEW DATE]</w:t>
            </w:r>
          </w:p>
        </w:tc>
      </w:tr>
      <w:tr>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Next Review</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[NEXT REVIEW DATE]</w:t>
            </w:r>
          </w:p>
        </w:tc>
      </w:tr>
      <w:tr>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Classification</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Confidential</w:t>
            </w:r>
          </w:p>
        </w:tc>
      </w:tr>
      <w:tr>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Owner</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[CISO / SECURITY COORDINATOR]</w:t>
            </w:r>
          </w:p>
        </w:tc>
      </w:tr>
      <w:tr>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Approved By</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[EXECUTIVE SPONSOR]</w:t>
            </w:r>
          </w:p>
        </w:tc>
      </w:tr>
      <w:tr>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Status</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[DRAFT / APPROVED / SUPERSEDED]</w:t>
            </w:r>
          </w:p>
        </w:tc>
      </w:tr>
    </w:tbl>
    <w:p>
      <w:pPr>
        <w:spacing w:after="0"/>
      </w:pPr>
    </w:p>
    <w:p>
      <w:pPr>
        <w:spacing w:after="60" w:before="200"/>
        <w:jc w:val="center"/>
      </w:pPr>
      <w:r>
        <w:rPr>
          <w:rFonts w:ascii="Calibri" w:cs="Calibri" w:eastAsia="Calibri" w:hAnsi="Calibri"/>
          <w:b/>
          <w:bCs/>
          <w:color w:val="1B2A4A"/>
          <w:sz w:val="22"/>
          <w:szCs w:val="22"/>
        </w:rPr>
        <w:t xml:space="preserve">Framework Alignment: </w:t>
      </w:r>
      <w:r>
        <w:rPr>
          <w:rFonts w:ascii="Calibri" w:cs="Calibri" w:eastAsia="Calibri" w:hAnsi="Calibri"/>
          <w:color w:val="2E5090"/>
          <w:sz w:val="22"/>
          <w:szCs w:val="22"/>
        </w:rPr>
        <w:t xml:space="preserve">NIST CSF 2.0 • ISO 27001 • SOC 2 TSC • CIS Controls v8</w:t>
      </w:r>
    </w:p>
    <w:p>
      <w:pPr>
        <w:spacing w:after="60"/>
        <w:jc w:val="center"/>
      </w:pPr>
      <w:r>
        <w:rPr>
          <w:rFonts w:ascii="Calibri" w:cs="Calibri" w:eastAsia="Calibri" w:hAnsi="Calibri"/>
          <w:i/>
          <w:iCs/>
          <w:color w:val="888888"/>
          <w:sz w:val="20"/>
          <w:szCs w:val="20"/>
        </w:rPr>
        <w:t xml:space="preserve">This policy does not by itself establish compliance with any framework or certification.</w:t>
      </w:r>
    </w:p>
    <w:p>
      <w:r>
        <w:br w:type="page"/>
      </w:r>
    </w:p>
    <w:p>
      <w:pPr>
        <w:pStyle w:val="Heading1"/>
        <w:spacing w:after="120" w:before="360"/>
      </w:pPr>
      <w:r>
        <w:rPr>
          <w:rFonts w:ascii="Calibri" w:cs="Calibri" w:eastAsia="Calibri" w:hAnsi="Calibri"/>
          <w:b/>
          <w:bCs/>
          <w:color w:val="1B2A4A"/>
          <w:sz w:val="28"/>
          <w:szCs w:val="28"/>
        </w:rPr>
        <w:t xml:space="preserve">Table of Contents</w:t>
      </w:r>
    </w:p>
    <w:sdt>
      <w:sdtPr>
        <w:alias w:val="Table of Contents"/>
      </w:sdtPr>
      <w:sdtContent>
        <w:p>
          <w:r>
            <w:fldChar w:fldCharType="begin" w:dirty="true"/>
            <w:instrText xml:space="preserve">TOC \h \o "1-3"</w:instrText>
            <w:fldChar w:fldCharType="separate"/>
          </w:r>
        </w:p>
        <w:p>
          <w:r>
            <w:fldChar w:fldCharType="end"/>
          </w:r>
        </w:p>
      </w:sdtContent>
    </w:sdt>
    <w:p>
      <w:pPr>
        <w:spacing w:after="0"/>
      </w:pPr>
    </w:p>
    <w:p>
      <w:pPr>
        <w:spacing w:after="80"/>
      </w:pPr>
      <w:r>
        <w:rPr>
          <w:rFonts w:ascii="Calibri" w:cs="Calibri" w:eastAsia="Calibri" w:hAnsi="Calibri"/>
          <w:i/>
          <w:iCs/>
          <w:color w:val="333333"/>
          <w:sz w:val="24"/>
          <w:szCs w:val="24"/>
        </w:rPr>
        <w:t xml:space="preserve">Note: Update this table of contents after completing all bracket placeholders. In Microsoft Word, right-click the table above and select “Update Field.”</w:t>
      </w:r>
    </w:p>
    <w:p>
      <w:r>
        <w:br w:type="page"/>
      </w:r>
    </w:p>
    <w:p>
      <w:pPr>
        <w:pStyle w:val="Heading1"/>
        <w:spacing w:after="120" w:before="360"/>
      </w:pPr>
      <w:r>
        <w:rPr>
          <w:rFonts w:ascii="Calibri" w:cs="Calibri" w:eastAsia="Calibri" w:hAnsi="Calibri"/>
          <w:b/>
          <w:bCs/>
          <w:color w:val="1B2A4A"/>
          <w:sz w:val="28"/>
          <w:szCs w:val="28"/>
        </w:rPr>
        <w:t xml:space="preserve">1. Purpose and Scope</w:t>
      </w:r>
    </w:p>
    <w:p>
      <w:pPr>
        <w:pStyle w:val="Heading2"/>
        <w:spacing w:after="80" w:before="280"/>
      </w:pPr>
      <w:r>
        <w:rPr>
          <w:rFonts w:ascii="Calibri" w:cs="Calibri" w:eastAsia="Calibri" w:hAnsi="Calibri"/>
          <w:b/>
          <w:bCs/>
          <w:color w:val="2E5090"/>
          <w:sz w:val="24"/>
          <w:szCs w:val="24"/>
        </w:rPr>
        <w:t xml:space="preserve">1.1 Purpose</w:t>
      </w:r>
    </w:p>
    <w:p>
      <w:pPr>
        <w:spacing w:after="120" w:line="276"/>
      </w:pPr>
      <w:r>
        <w:rPr>
          <w:rFonts w:ascii="Calibri" w:cs="Calibri" w:eastAsia="Calibri" w:hAnsi="Calibri"/>
          <w:color w:val="333333"/>
          <w:sz w:val="24"/>
          <w:szCs w:val="24"/>
        </w:rPr>
        <w:t xml:space="preserve">This Information Security Policy (“Policy”) establishes the governance framework, standards, and requirements to protect the confidentiality, integrity, availability, and resilience of [COMPANY] (“Company”) information assets, systems, and services. The Policy is designed to:</w:t>
      </w:r>
    </w:p>
    <w:p>
      <w:pPr>
        <w:pStyle w:val="ListParagraph"/>
        <w:numPr>
          <w:ilvl w:val="0"/>
          <w:numId w:val="1"/>
        </w:numPr>
        <w:spacing w:after="60" w:line="276"/>
      </w:pPr>
      <w:r>
        <w:rPr>
          <w:rFonts w:ascii="Calibri" w:cs="Calibri" w:eastAsia="Calibri" w:hAnsi="Calibri"/>
          <w:color w:val="333333"/>
          <w:sz w:val="24"/>
          <w:szCs w:val="24"/>
        </w:rPr>
        <w:t xml:space="preserve">Protect Company information against unauthorized access, disclosure, modification, destruction, or disruption;</w:t>
      </w:r>
    </w:p>
    <w:p>
      <w:pPr>
        <w:pStyle w:val="ListParagraph"/>
        <w:numPr>
          <w:ilvl w:val="0"/>
          <w:numId w:val="1"/>
        </w:numPr>
        <w:spacing w:after="60" w:line="276"/>
      </w:pPr>
      <w:r>
        <w:rPr>
          <w:rFonts w:ascii="Calibri" w:cs="Calibri" w:eastAsia="Calibri" w:hAnsi="Calibri"/>
          <w:color w:val="333333"/>
          <w:sz w:val="24"/>
          <w:szCs w:val="24"/>
        </w:rPr>
        <w:t xml:space="preserve">Support the Company’s business objectives while managing information security risk to acceptable levels;</w:t>
      </w:r>
    </w:p>
    <w:p>
      <w:pPr>
        <w:pStyle w:val="ListParagraph"/>
        <w:numPr>
          <w:ilvl w:val="0"/>
          <w:numId w:val="1"/>
        </w:numPr>
        <w:spacing w:after="60" w:line="276"/>
      </w:pPr>
      <w:r>
        <w:rPr>
          <w:rFonts w:ascii="Calibri" w:cs="Calibri" w:eastAsia="Calibri" w:hAnsi="Calibri"/>
          <w:color w:val="333333"/>
          <w:sz w:val="24"/>
          <w:szCs w:val="24"/>
        </w:rPr>
        <w:t xml:space="preserve">Establish clear accountability for information security across all organizational levels;</w:t>
      </w:r>
    </w:p>
    <w:p>
      <w:pPr>
        <w:pStyle w:val="ListParagraph"/>
        <w:numPr>
          <w:ilvl w:val="0"/>
          <w:numId w:val="1"/>
        </w:numPr>
        <w:spacing w:after="60" w:line="276"/>
      </w:pPr>
      <w:r>
        <w:rPr>
          <w:rFonts w:ascii="Calibri" w:cs="Calibri" w:eastAsia="Calibri" w:hAnsi="Calibri"/>
          <w:color w:val="333333"/>
          <w:sz w:val="24"/>
          <w:szCs w:val="24"/>
        </w:rPr>
        <w:t xml:space="preserve">Provide a foundation for subordinate security standards, procedures, and guidelines; and</w:t>
      </w:r>
    </w:p>
    <w:p>
      <w:pPr>
        <w:pStyle w:val="ListParagraph"/>
        <w:numPr>
          <w:ilvl w:val="0"/>
          <w:numId w:val="1"/>
        </w:numPr>
        <w:spacing w:after="60" w:line="276"/>
      </w:pPr>
      <w:r>
        <w:rPr>
          <w:rFonts w:ascii="Calibri" w:cs="Calibri" w:eastAsia="Calibri" w:hAnsi="Calibri"/>
          <w:color w:val="333333"/>
          <w:sz w:val="24"/>
          <w:szCs w:val="24"/>
        </w:rPr>
        <w:t xml:space="preserve">Support—but not by itself establish—compliance with applicable legal, regulatory, contractual, and framework obligations identified in the Obligations Register (Exhibit A).</w:t>
      </w:r>
    </w:p>
    <w:p>
      <w:pPr>
        <w:pStyle w:val="Heading2"/>
        <w:spacing w:after="80" w:before="280"/>
      </w:pPr>
      <w:r>
        <w:rPr>
          <w:rFonts w:ascii="Calibri" w:cs="Calibri" w:eastAsia="Calibri" w:hAnsi="Calibri"/>
          <w:b/>
          <w:bCs/>
          <w:color w:val="2E5090"/>
          <w:sz w:val="24"/>
          <w:szCs w:val="24"/>
        </w:rPr>
        <w:t xml:space="preserve">1.2 Scope</w:t>
      </w:r>
    </w:p>
    <w:p>
      <w:pPr>
        <w:spacing w:after="120" w:line="276"/>
      </w:pPr>
      <w:r>
        <w:rPr>
          <w:rFonts w:ascii="Calibri" w:cs="Calibri" w:eastAsia="Calibri" w:hAnsi="Calibri"/>
          <w:color w:val="333333"/>
          <w:sz w:val="24"/>
          <w:szCs w:val="24"/>
        </w:rPr>
        <w:t xml:space="preserve">This Policy applies to:</w:t>
      </w:r>
    </w:p>
    <w:p>
      <w:pPr>
        <w:pStyle w:val="ListParagraph"/>
        <w:numPr>
          <w:ilvl w:val="0"/>
          <w:numId w:val="1"/>
        </w:numPr>
        <w:spacing w:after="60" w:line="276"/>
      </w:pPr>
      <w:r>
        <w:rPr>
          <w:rFonts w:ascii="Calibri" w:cs="Calibri" w:eastAsia="Calibri" w:hAnsi="Calibri"/>
          <w:color w:val="333333"/>
          <w:sz w:val="24"/>
          <w:szCs w:val="24"/>
        </w:rPr>
        <w:t xml:space="preserve">All workforce members, including employees, contractors, temporary staff, interns, and agents acting on behalf of the Company;</w:t>
      </w:r>
    </w:p>
    <w:p>
      <w:pPr>
        <w:pStyle w:val="ListParagraph"/>
        <w:numPr>
          <w:ilvl w:val="0"/>
          <w:numId w:val="1"/>
        </w:numPr>
        <w:spacing w:after="60" w:line="276"/>
      </w:pPr>
      <w:r>
        <w:rPr>
          <w:rFonts w:ascii="Calibri" w:cs="Calibri" w:eastAsia="Calibri" w:hAnsi="Calibri"/>
          <w:color w:val="333333"/>
          <w:sz w:val="24"/>
          <w:szCs w:val="24"/>
        </w:rPr>
        <w:t xml:space="preserve">All Company facilities, offices, co-working spaces, and remote work locations;</w:t>
      </w:r>
    </w:p>
    <w:p>
      <w:pPr>
        <w:pStyle w:val="ListParagraph"/>
        <w:numPr>
          <w:ilvl w:val="0"/>
          <w:numId w:val="1"/>
        </w:numPr>
        <w:spacing w:after="60" w:line="276"/>
      </w:pPr>
      <w:r>
        <w:rPr>
          <w:rFonts w:ascii="Calibri" w:cs="Calibri" w:eastAsia="Calibri" w:hAnsi="Calibri"/>
          <w:color w:val="333333"/>
          <w:sz w:val="24"/>
          <w:szCs w:val="24"/>
        </w:rPr>
        <w:t xml:space="preserve">All information systems, networks, applications, cloud services, endpoints, mobile devices, and removable media owned, leased, or managed by the Company;</w:t>
      </w:r>
    </w:p>
    <w:p>
      <w:pPr>
        <w:pStyle w:val="ListParagraph"/>
        <w:numPr>
          <w:ilvl w:val="0"/>
          <w:numId w:val="1"/>
        </w:numPr>
        <w:spacing w:after="60" w:line="276"/>
      </w:pPr>
      <w:r>
        <w:rPr>
          <w:rFonts w:ascii="Calibri" w:cs="Calibri" w:eastAsia="Calibri" w:hAnsi="Calibri"/>
          <w:color w:val="333333"/>
          <w:sz w:val="24"/>
          <w:szCs w:val="24"/>
        </w:rPr>
        <w:t xml:space="preserve">All information created, received, maintained, processed, stored, or transmitted by or on behalf of the Company, regardless of format;</w:t>
      </w:r>
    </w:p>
    <w:p>
      <w:pPr>
        <w:pStyle w:val="ListParagraph"/>
        <w:numPr>
          <w:ilvl w:val="0"/>
          <w:numId w:val="1"/>
        </w:numPr>
        <w:spacing w:after="60" w:line="276"/>
      </w:pPr>
      <w:r>
        <w:rPr>
          <w:rFonts w:ascii="Calibri" w:cs="Calibri" w:eastAsia="Calibri" w:hAnsi="Calibri"/>
          <w:color w:val="333333"/>
          <w:sz w:val="24"/>
          <w:szCs w:val="24"/>
        </w:rPr>
        <w:t xml:space="preserve">Third parties, vendors, and service providers that access, process, store, or transmit Company information or connect to Company systems; and</w:t>
      </w:r>
    </w:p>
    <w:p>
      <w:pPr>
        <w:pStyle w:val="ListParagraph"/>
        <w:numPr>
          <w:ilvl w:val="0"/>
          <w:numId w:val="1"/>
        </w:numPr>
        <w:spacing w:after="60" w:line="276"/>
      </w:pPr>
      <w:r>
        <w:rPr>
          <w:rFonts w:ascii="Calibri" w:cs="Calibri" w:eastAsia="Calibri" w:hAnsi="Calibri"/>
          <w:color w:val="333333"/>
          <w:sz w:val="24"/>
          <w:szCs w:val="24"/>
        </w:rPr>
        <w:t xml:space="preserve">All Company entities, subsidiaries, and business units as identified in the organizational scope register.</w:t>
      </w:r>
    </w:p>
    <w:p>
      <w:pPr>
        <w:pStyle w:val="Heading2"/>
        <w:spacing w:after="80" w:before="280"/>
      </w:pPr>
      <w:r>
        <w:rPr>
          <w:rFonts w:ascii="Calibri" w:cs="Calibri" w:eastAsia="Calibri" w:hAnsi="Calibri"/>
          <w:b/>
          <w:bCs/>
          <w:color w:val="2E5090"/>
          <w:sz w:val="24"/>
          <w:szCs w:val="24"/>
        </w:rPr>
        <w:t xml:space="preserve">1.3 Authority and Policy Hierarchy</w:t>
      </w:r>
    </w:p>
    <w:p>
      <w:pPr>
        <w:spacing w:after="120" w:line="276"/>
      </w:pPr>
      <w:r>
        <w:rPr>
          <w:rFonts w:ascii="Calibri" w:cs="Calibri" w:eastAsia="Calibri" w:hAnsi="Calibri"/>
          <w:color w:val="333333"/>
          <w:sz w:val="24"/>
          <w:szCs w:val="24"/>
        </w:rPr>
        <w:t xml:space="preserve">This Policy is approved by [EXECUTIVE SPONSOR / BOARD] and takes precedence over conflicting departmental procedures. The [CISO / SECURITY COORDINATOR] is authorized to issue subordinate Security Standards that provide measurable, enforceable requirements implementing this Policy. The hierarchy is:</w:t>
      </w:r>
    </w:p>
    <w:p>
      <w:pPr>
        <w:pStyle w:val="ListParagraph"/>
        <w:numPr>
          <w:ilvl w:val="0"/>
          <w:numId w:val="1"/>
        </w:numPr>
        <w:spacing w:after="60" w:line="276"/>
      </w:pPr>
      <w:r>
        <w:rPr>
          <w:rFonts w:ascii="Calibri" w:cs="Calibri" w:eastAsia="Calibri" w:hAnsi="Calibri"/>
          <w:b/>
          <w:bCs/>
          <w:color w:val="333333"/>
          <w:sz w:val="24"/>
          <w:szCs w:val="24"/>
        </w:rPr>
        <w:t xml:space="preserve">Policy</w:t>
      </w:r>
      <w:r>
        <w:rPr>
          <w:rFonts w:ascii="Calibri" w:cs="Calibri" w:eastAsia="Calibri" w:hAnsi="Calibri"/>
          <w:color w:val="333333"/>
          <w:sz w:val="24"/>
          <w:szCs w:val="24"/>
        </w:rPr>
        <w:t xml:space="preserve"> — This document; states intent, scope, accountability, and mandatory requirements.</w:t>
      </w:r>
    </w:p>
    <w:p>
      <w:pPr>
        <w:pStyle w:val="ListParagraph"/>
        <w:numPr>
          <w:ilvl w:val="0"/>
          <w:numId w:val="1"/>
        </w:numPr>
        <w:spacing w:after="60" w:line="276"/>
      </w:pPr>
      <w:r>
        <w:rPr>
          <w:rFonts w:ascii="Calibri" w:cs="Calibri" w:eastAsia="Calibri" w:hAnsi="Calibri"/>
          <w:b/>
          <w:bCs/>
          <w:color w:val="333333"/>
          <w:sz w:val="24"/>
          <w:szCs w:val="24"/>
        </w:rPr>
        <w:t xml:space="preserve">Standards</w:t>
      </w:r>
      <w:r>
        <w:rPr>
          <w:rFonts w:ascii="Calibri" w:cs="Calibri" w:eastAsia="Calibri" w:hAnsi="Calibri"/>
          <w:color w:val="333333"/>
          <w:sz w:val="24"/>
          <w:szCs w:val="24"/>
        </w:rPr>
        <w:t xml:space="preserve"> — Mandatory, measurable requirements (e.g., MFA configurations, patch timelines, encryption specifications).</w:t>
      </w:r>
    </w:p>
    <w:p>
      <w:pPr>
        <w:pStyle w:val="ListParagraph"/>
        <w:numPr>
          <w:ilvl w:val="0"/>
          <w:numId w:val="1"/>
        </w:numPr>
        <w:spacing w:after="60" w:line="276"/>
      </w:pPr>
      <w:r>
        <w:rPr>
          <w:rFonts w:ascii="Calibri" w:cs="Calibri" w:eastAsia="Calibri" w:hAnsi="Calibri"/>
          <w:b/>
          <w:bCs/>
          <w:color w:val="333333"/>
          <w:sz w:val="24"/>
          <w:szCs w:val="24"/>
        </w:rPr>
        <w:t xml:space="preserve">Procedures</w:t>
      </w:r>
      <w:r>
        <w:rPr>
          <w:rFonts w:ascii="Calibri" w:cs="Calibri" w:eastAsia="Calibri" w:hAnsi="Calibri"/>
          <w:color w:val="333333"/>
          <w:sz w:val="24"/>
          <w:szCs w:val="24"/>
        </w:rPr>
        <w:t xml:space="preserve"> — Step-by-step operational instructions implementing Standards.</w:t>
      </w:r>
    </w:p>
    <w:p>
      <w:pPr>
        <w:pStyle w:val="ListParagraph"/>
        <w:numPr>
          <w:ilvl w:val="0"/>
          <w:numId w:val="1"/>
        </w:numPr>
        <w:spacing w:after="60" w:line="276"/>
      </w:pPr>
      <w:r>
        <w:rPr>
          <w:rFonts w:ascii="Calibri" w:cs="Calibri" w:eastAsia="Calibri" w:hAnsi="Calibri"/>
          <w:b/>
          <w:bCs/>
          <w:color w:val="333333"/>
          <w:sz w:val="24"/>
          <w:szCs w:val="24"/>
        </w:rPr>
        <w:t xml:space="preserve">Guidelines</w:t>
      </w:r>
      <w:r>
        <w:rPr>
          <w:rFonts w:ascii="Calibri" w:cs="Calibri" w:eastAsia="Calibri" w:hAnsi="Calibri"/>
          <w:color w:val="333333"/>
          <w:sz w:val="24"/>
          <w:szCs w:val="24"/>
        </w:rPr>
        <w:t xml:space="preserve"> — Recommended practices; advisory, not mandatory.</w:t>
      </w:r>
    </w:p>
    <w:p>
      <w:pPr>
        <w:spacing w:after="120" w:line="276"/>
      </w:pPr>
      <w:r>
        <w:rPr>
          <w:rFonts w:ascii="Calibri" w:cs="Calibri" w:eastAsia="Calibri" w:hAnsi="Calibri"/>
          <w:color w:val="333333"/>
          <w:sz w:val="24"/>
          <w:szCs w:val="24"/>
        </w:rPr>
        <w:t xml:space="preserve">Conflicts between subsidiary documents and this Policy are resolved in favor of this Policy. Subsidiary documents require version control, designated owner, approval authority, review schedule, and change notification.</w:t>
      </w:r>
    </w:p>
    <w:p>
      <w:r>
        <w:br w:type="page"/>
      </w:r>
    </w:p>
    <w:p>
      <w:pPr>
        <w:pStyle w:val="Heading1"/>
        <w:spacing w:after="120" w:before="360"/>
      </w:pPr>
      <w:r>
        <w:rPr>
          <w:rFonts w:ascii="Calibri" w:cs="Calibri" w:eastAsia="Calibri" w:hAnsi="Calibri"/>
          <w:b/>
          <w:bCs/>
          <w:color w:val="1B2A4A"/>
          <w:sz w:val="28"/>
          <w:szCs w:val="28"/>
        </w:rPr>
        <w:t xml:space="preserve">2. Definitions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W w:type="dxa" w:w="2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Term</w:t>
            </w:r>
          </w:p>
        </w:tc>
        <w:tc>
          <w:tcPr>
            <w:tcW w:type="dxa" w:w="65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Definition</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Asset Owner</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The individual or role accountable for classification, access authorization, protection, and lifecycle management of a specific information asset or system.</w:t>
            </w:r>
          </w:p>
        </w:tc>
      </w:tr>
      <w:tr>
        <w:tc>
          <w:tcPr>
            <w:tcW w:type="dxa" w:w="2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Confidential Information</w:t>
            </w:r>
          </w:p>
        </w:tc>
        <w:tc>
          <w:tcPr>
            <w:tcW w:type="dxa" w:w="6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Information classified under Section 4 as requiring protection against unauthorized disclosure, including but not limited to trade secrets, personally identifiable information (PII), financial records, and customer data.</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Control Owner</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The individual or role accountable for implementing, monitoring, and evidencing a specific security control.</w:t>
            </w:r>
          </w:p>
        </w:tc>
      </w:tr>
      <w:tr>
        <w:tc>
          <w:tcPr>
            <w:tcW w:type="dxa" w:w="2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Critical Service</w:t>
            </w:r>
          </w:p>
        </w:tc>
        <w:tc>
          <w:tcPr>
            <w:tcW w:type="dxa" w:w="6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 business function, application, or system whose unavailability beyond the Maximum Tolerable Downtime causes material harm to operations, customers, legal compliance, or reputation.</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Exception</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 time-limited, approved deviation from a Policy or Standard requirement, subject to compensating controls, risk acceptance, and documented expiration.</w:t>
            </w:r>
          </w:p>
        </w:tc>
      </w:tr>
      <w:tr>
        <w:tc>
          <w:tcPr>
            <w:tcW w:type="dxa" w:w="2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Highly Restricted Information</w:t>
            </w:r>
          </w:p>
        </w:tc>
        <w:tc>
          <w:tcPr>
            <w:tcW w:type="dxa" w:w="6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The highest classification tier under Section 4, reserved for information whose unauthorized disclosure could cause severe harm, including regulated data subject to specific legal protections.</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Information Asset</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Any data, record, document, system, application, network component, or intellectual property that has value to the Company, regardless of format or storage location.</w:t>
            </w:r>
          </w:p>
        </w:tc>
      </w:tr>
      <w:tr>
        <w:tc>
          <w:tcPr>
            <w:tcW w:type="dxa" w:w="2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Information System</w:t>
            </w:r>
          </w:p>
        </w:tc>
        <w:tc>
          <w:tcPr>
            <w:tcW w:type="dxa" w:w="6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An interconnected set of information resources, including hardware, software, networks, data, and personnel, organized for the collection, processing, maintenance, use, sharing, or disposition of information.</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Least Privilege</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The principle of granting users, processes, and systems only the minimum access rights necessary to perform authorized functions.</w:t>
            </w:r>
          </w:p>
        </w:tc>
      </w:tr>
      <w:tr>
        <w:tc>
          <w:tcPr>
            <w:tcW w:type="dxa" w:w="2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Multifactor Authentication (MFA)</w:t>
            </w:r>
          </w:p>
        </w:tc>
        <w:tc>
          <w:tcPr>
            <w:tcW w:type="dxa" w:w="6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Authentication requiring two or more independent factors: something you know, something you have, or something you are.</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Risk Acceptance</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 formal, documented decision by an authorized individual to accept residual risk that exceeds the risk appetite, including compensating controls, owner, justification, and expiration.</w:t>
            </w:r>
          </w:p>
        </w:tc>
      </w:tr>
      <w:tr>
        <w:tc>
          <w:tcPr>
            <w:tcW w:type="dxa" w:w="2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Security Incident</w:t>
            </w:r>
          </w:p>
        </w:tc>
        <w:tc>
          <w:tcPr>
            <w:tcW w:type="dxa" w:w="6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An event or series of events that constitutes an actual or reasonably suspected violation of this Policy, unauthorized access, disclosure, modification, or destruction of information, or disruption to information systems.</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Security Standard</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 mandatory, measurable document issued under Section 1.3 that specifies enforceable requirements implementing this Policy.</w:t>
            </w:r>
          </w:p>
        </w:tc>
      </w:tr>
      <w:tr>
        <w:tc>
          <w:tcPr>
            <w:tcW w:type="dxa" w:w="2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Vendor Risk Tier</w:t>
            </w:r>
          </w:p>
        </w:tc>
        <w:tc>
          <w:tcPr>
            <w:tcW w:type="dxa" w:w="6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 classification assigned to vendors and third parties based on assessed risk, considering data access, system connectivity, criticality, and regulatory implications.</w:t>
            </w:r>
          </w:p>
        </w:tc>
      </w:tr>
      <w:tr>
        <w:tc>
          <w:tcPr>
            <w:tcW w:type="dxa" w:w="2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Zero Trust</w:t>
            </w:r>
          </w:p>
        </w:tc>
        <w:tc>
          <w:tcPr>
            <w:tcW w:type="dxa" w:w="6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 security model that eliminates implicit trust, requiring continuous verification of every user, device, and network flow regardless of location.</w:t>
            </w:r>
          </w:p>
        </w:tc>
      </w:tr>
    </w:tbl>
    <w:p>
      <w:r>
        <w:br w:type="page"/>
      </w:r>
    </w:p>
    <w:p>
      <w:pPr>
        <w:pStyle w:val="Heading1"/>
        <w:spacing w:after="120" w:before="360"/>
      </w:pPr>
      <w:r>
        <w:rPr>
          <w:rFonts w:ascii="Calibri" w:cs="Calibri" w:eastAsia="Calibri" w:hAnsi="Calibri"/>
          <w:b/>
          <w:bCs/>
          <w:color w:val="1B2A4A"/>
          <w:sz w:val="28"/>
          <w:szCs w:val="28"/>
        </w:rPr>
        <w:t xml:space="preserve">3. Governance and Organizational Roles</w:t>
      </w:r>
    </w:p>
    <w:p>
      <w:pPr>
        <w:pStyle w:val="Heading2"/>
        <w:spacing w:after="80" w:before="280"/>
      </w:pPr>
      <w:r>
        <w:rPr>
          <w:rFonts w:ascii="Calibri" w:cs="Calibri" w:eastAsia="Calibri" w:hAnsi="Calibri"/>
          <w:b/>
          <w:bCs/>
          <w:color w:val="2E5090"/>
          <w:sz w:val="24"/>
          <w:szCs w:val="24"/>
        </w:rPr>
        <w:t xml:space="preserve">3.1 Security Leadership</w:t>
      </w:r>
    </w:p>
    <w:p>
      <w:pPr>
        <w:spacing w:after="120" w:line="276"/>
      </w:pPr>
      <w:r>
        <w:rPr>
          <w:rFonts w:ascii="Calibri" w:cs="Calibri" w:eastAsia="Calibri" w:hAnsi="Calibri"/>
          <w:color w:val="333333"/>
          <w:sz w:val="24"/>
          <w:szCs w:val="24"/>
        </w:rPr>
        <w:t xml:space="preserve">[CISO / SECURITY COORDINATOR] (“Security Leader”) is accountable for administering the information security program, including:</w:t>
      </w:r>
    </w:p>
    <w:p>
      <w:pPr>
        <w:pStyle w:val="ListParagraph"/>
        <w:numPr>
          <w:ilvl w:val="0"/>
          <w:numId w:val="1"/>
        </w:numPr>
        <w:spacing w:after="60" w:line="276"/>
      </w:pPr>
      <w:r>
        <w:rPr>
          <w:rFonts w:ascii="Calibri" w:cs="Calibri" w:eastAsia="Calibri" w:hAnsi="Calibri"/>
          <w:color w:val="333333"/>
          <w:sz w:val="24"/>
          <w:szCs w:val="24"/>
        </w:rPr>
        <w:t xml:space="preserve">Developing, maintaining, and communicating security policies, standards, and procedures;</w:t>
      </w:r>
    </w:p>
    <w:p>
      <w:pPr>
        <w:pStyle w:val="ListParagraph"/>
        <w:numPr>
          <w:ilvl w:val="0"/>
          <w:numId w:val="1"/>
        </w:numPr>
        <w:spacing w:after="60" w:line="276"/>
      </w:pPr>
      <w:r>
        <w:rPr>
          <w:rFonts w:ascii="Calibri" w:cs="Calibri" w:eastAsia="Calibri" w:hAnsi="Calibri"/>
          <w:color w:val="333333"/>
          <w:sz w:val="24"/>
          <w:szCs w:val="24"/>
        </w:rPr>
        <w:t xml:space="preserve">Reporting material security risks, incidents, metrics, and program status to [EXECUTIVE COMMITTEE / BOARD] at least [QUARTERLY];</w:t>
      </w:r>
    </w:p>
    <w:p>
      <w:pPr>
        <w:pStyle w:val="ListParagraph"/>
        <w:numPr>
          <w:ilvl w:val="0"/>
          <w:numId w:val="1"/>
        </w:numPr>
        <w:spacing w:after="60" w:line="276"/>
      </w:pPr>
      <w:r>
        <w:rPr>
          <w:rFonts w:ascii="Calibri" w:cs="Calibri" w:eastAsia="Calibri" w:hAnsi="Calibri"/>
          <w:color w:val="333333"/>
          <w:sz w:val="24"/>
          <w:szCs w:val="24"/>
        </w:rPr>
        <w:t xml:space="preserve">Coordinating incident response and maintaining the incident response plan (EF-025);</w:t>
      </w:r>
    </w:p>
    <w:p>
      <w:pPr>
        <w:pStyle w:val="ListParagraph"/>
        <w:numPr>
          <w:ilvl w:val="0"/>
          <w:numId w:val="1"/>
        </w:numPr>
        <w:spacing w:after="60" w:line="276"/>
      </w:pPr>
      <w:r>
        <w:rPr>
          <w:rFonts w:ascii="Calibri" w:cs="Calibri" w:eastAsia="Calibri" w:hAnsi="Calibri"/>
          <w:color w:val="333333"/>
          <w:sz w:val="24"/>
          <w:szCs w:val="24"/>
        </w:rPr>
        <w:t xml:space="preserve">Overseeing security awareness, training, and compliance programs;</w:t>
      </w:r>
    </w:p>
    <w:p>
      <w:pPr>
        <w:pStyle w:val="ListParagraph"/>
        <w:numPr>
          <w:ilvl w:val="0"/>
          <w:numId w:val="1"/>
        </w:numPr>
        <w:spacing w:after="60" w:line="276"/>
      </w:pPr>
      <w:r>
        <w:rPr>
          <w:rFonts w:ascii="Calibri" w:cs="Calibri" w:eastAsia="Calibri" w:hAnsi="Calibri"/>
          <w:color w:val="333333"/>
          <w:sz w:val="24"/>
          <w:szCs w:val="24"/>
        </w:rPr>
        <w:t xml:space="preserve">Managing the security risk register, vulnerability management, and remediation tracking; and</w:t>
      </w:r>
    </w:p>
    <w:p>
      <w:pPr>
        <w:pStyle w:val="ListParagraph"/>
        <w:numPr>
          <w:ilvl w:val="0"/>
          <w:numId w:val="1"/>
        </w:numPr>
        <w:spacing w:after="60" w:line="276"/>
      </w:pPr>
      <w:r>
        <w:rPr>
          <w:rFonts w:ascii="Calibri" w:cs="Calibri" w:eastAsia="Calibri" w:hAnsi="Calibri"/>
          <w:color w:val="333333"/>
          <w:sz w:val="24"/>
          <w:szCs w:val="24"/>
        </w:rPr>
        <w:t xml:space="preserve">Maintaining relationships with external security resources, law enforcement, and regulatory bodies as appropriate.</w:t>
      </w:r>
    </w:p>
    <w:p>
      <w:pPr>
        <w:pStyle w:val="Heading2"/>
        <w:spacing w:after="80" w:before="280"/>
      </w:pPr>
      <w:r>
        <w:rPr>
          <w:rFonts w:ascii="Calibri" w:cs="Calibri" w:eastAsia="Calibri" w:hAnsi="Calibri"/>
          <w:b/>
          <w:bCs/>
          <w:color w:val="2E5090"/>
          <w:sz w:val="24"/>
          <w:szCs w:val="24"/>
        </w:rPr>
        <w:t xml:space="preserve">3.2 Roles and Responsibilities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W w:type="dxa" w:w="26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Role</w:t>
            </w:r>
          </w:p>
        </w:tc>
        <w:tc>
          <w:tcPr>
            <w:tcW w:type="dxa" w:w="67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Responsibilities</w:t>
            </w:r>
          </w:p>
        </w:tc>
      </w:tr>
      <w:tr>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Executive Leadership / Board</w:t>
            </w:r>
          </w:p>
        </w:tc>
        <w:tc>
          <w:tcPr>
            <w:tcW w:type="dxa" w:w="67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Approve risk appetite; allocate resources and budget; receive material risk reporting; approve critical risk acceptances per Section 17.3.</w:t>
            </w:r>
          </w:p>
        </w:tc>
      </w:tr>
      <w:tr>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Asset / Data Owners</w:t>
            </w:r>
          </w:p>
        </w:tc>
        <w:tc>
          <w:tcPr>
            <w:tcW w:type="dxa" w:w="67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Classify information assets per Section 4; authorize access; approve handling procedures; ensure compliance with retention and destruction requirements.</w:t>
            </w:r>
          </w:p>
        </w:tc>
      </w:tr>
      <w:tr>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Control Owners</w:t>
            </w:r>
          </w:p>
        </w:tc>
        <w:tc>
          <w:tcPr>
            <w:tcW w:type="dxa" w:w="67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Implement, operate, monitor, and evidence assigned controls; report control failures and remediation; maintain documentation.</w:t>
            </w:r>
          </w:p>
        </w:tc>
      </w:tr>
      <w:tr>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IT / Engineering</w:t>
            </w:r>
          </w:p>
        </w:tc>
        <w:tc>
          <w:tcPr>
            <w:tcW w:type="dxa" w:w="67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Operate security infrastructure; implement technical controls; manage configurations, patches, and monitoring; support incident response.</w:t>
            </w:r>
          </w:p>
        </w:tc>
      </w:tr>
      <w:tr>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Legal / Privacy</w:t>
            </w:r>
          </w:p>
        </w:tc>
        <w:tc>
          <w:tcPr>
            <w:tcW w:type="dxa" w:w="67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Interpret legal and regulatory obligations; maintain the Obligations Register; advise on breach notification; review vendor contracts; manage privilege.</w:t>
            </w:r>
          </w:p>
        </w:tc>
      </w:tr>
      <w:tr>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Human Resources</w:t>
            </w:r>
          </w:p>
        </w:tc>
        <w:tc>
          <w:tcPr>
            <w:tcW w:type="dxa" w:w="67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Integrate security into hiring, onboarding, role changes, and separation; support awareness training; coordinate disciplinary actions.</w:t>
            </w:r>
          </w:p>
        </w:tc>
      </w:tr>
      <w:tr>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People Managers</w:t>
            </w:r>
          </w:p>
        </w:tc>
        <w:tc>
          <w:tcPr>
            <w:tcW w:type="dxa" w:w="67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Enforce Policy compliance within their teams; ensure training completion; communicate security requirements; report concerns.</w:t>
            </w:r>
          </w:p>
        </w:tc>
      </w:tr>
      <w:tr>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All Workforce Members</w:t>
            </w:r>
          </w:p>
        </w:tc>
        <w:tc>
          <w:tcPr>
            <w:tcW w:type="dxa" w:w="67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Comply with this Policy and subsidiary standards; complete required training; protect credentials and assets; report suspected incidents immediately.</w:t>
            </w:r>
          </w:p>
        </w:tc>
      </w:tr>
    </w:tbl>
    <w:p>
      <w:pPr>
        <w:pStyle w:val="Heading2"/>
        <w:spacing w:after="80" w:before="280"/>
      </w:pPr>
      <w:r>
        <w:rPr>
          <w:rFonts w:ascii="Calibri" w:cs="Calibri" w:eastAsia="Calibri" w:hAnsi="Calibri"/>
          <w:b/>
          <w:bCs/>
          <w:color w:val="2E5090"/>
          <w:sz w:val="24"/>
          <w:szCs w:val="24"/>
        </w:rPr>
        <w:t xml:space="preserve">3.3 Policy Review and Maintenance</w:t>
      </w:r>
    </w:p>
    <w:p>
      <w:pPr>
        <w:spacing w:after="120" w:line="276"/>
      </w:pPr>
      <w:r>
        <w:rPr>
          <w:rFonts w:ascii="Calibri" w:cs="Calibri" w:eastAsia="Calibri" w:hAnsi="Calibri"/>
          <w:color w:val="333333"/>
          <w:sz w:val="24"/>
          <w:szCs w:val="24"/>
        </w:rPr>
        <w:t xml:space="preserve">This Policy shall be reviewed at least annually and following:</w:t>
      </w:r>
    </w:p>
    <w:p>
      <w:pPr>
        <w:pStyle w:val="ListParagraph"/>
        <w:numPr>
          <w:ilvl w:val="0"/>
          <w:numId w:val="1"/>
        </w:numPr>
        <w:spacing w:after="60" w:line="276"/>
      </w:pPr>
      <w:r>
        <w:rPr>
          <w:rFonts w:ascii="Calibri" w:cs="Calibri" w:eastAsia="Calibri" w:hAnsi="Calibri"/>
          <w:color w:val="333333"/>
          <w:sz w:val="24"/>
          <w:szCs w:val="24"/>
        </w:rPr>
        <w:t xml:space="preserve">Material security incidents or near-misses;</w:t>
      </w:r>
    </w:p>
    <w:p>
      <w:pPr>
        <w:pStyle w:val="ListParagraph"/>
        <w:numPr>
          <w:ilvl w:val="0"/>
          <w:numId w:val="1"/>
        </w:numPr>
        <w:spacing w:after="60" w:line="276"/>
      </w:pPr>
      <w:r>
        <w:rPr>
          <w:rFonts w:ascii="Calibri" w:cs="Calibri" w:eastAsia="Calibri" w:hAnsi="Calibri"/>
          <w:color w:val="333333"/>
          <w:sz w:val="24"/>
          <w:szCs w:val="24"/>
        </w:rPr>
        <w:t xml:space="preserve">Significant changes to legal, regulatory, or contractual obligations;</w:t>
      </w:r>
    </w:p>
    <w:p>
      <w:pPr>
        <w:pStyle w:val="ListParagraph"/>
        <w:numPr>
          <w:ilvl w:val="0"/>
          <w:numId w:val="1"/>
        </w:numPr>
        <w:spacing w:after="60" w:line="276"/>
      </w:pPr>
      <w:r>
        <w:rPr>
          <w:rFonts w:ascii="Calibri" w:cs="Calibri" w:eastAsia="Calibri" w:hAnsi="Calibri"/>
          <w:color w:val="333333"/>
          <w:sz w:val="24"/>
          <w:szCs w:val="24"/>
        </w:rPr>
        <w:t xml:space="preserve">Material changes to information systems, infrastructure, or business operations;</w:t>
      </w:r>
    </w:p>
    <w:p>
      <w:pPr>
        <w:pStyle w:val="ListParagraph"/>
        <w:numPr>
          <w:ilvl w:val="0"/>
          <w:numId w:val="1"/>
        </w:numPr>
        <w:spacing w:after="60" w:line="276"/>
      </w:pPr>
      <w:r>
        <w:rPr>
          <w:rFonts w:ascii="Calibri" w:cs="Calibri" w:eastAsia="Calibri" w:hAnsi="Calibri"/>
          <w:color w:val="333333"/>
          <w:sz w:val="24"/>
          <w:szCs w:val="24"/>
        </w:rPr>
        <w:t xml:space="preserve">Organizational changes including mergers, acquisitions, or divestitures; and</w:t>
      </w:r>
    </w:p>
    <w:p>
      <w:pPr>
        <w:pStyle w:val="ListParagraph"/>
        <w:numPr>
          <w:ilvl w:val="0"/>
          <w:numId w:val="1"/>
        </w:numPr>
        <w:spacing w:after="60" w:line="276"/>
      </w:pPr>
      <w:r>
        <w:rPr>
          <w:rFonts w:ascii="Calibri" w:cs="Calibri" w:eastAsia="Calibri" w:hAnsi="Calibri"/>
          <w:color w:val="333333"/>
          <w:sz w:val="24"/>
          <w:szCs w:val="24"/>
        </w:rPr>
        <w:t xml:space="preserve">Results of audits, assessments, or management reviews that identify policy gaps.</w:t>
      </w:r>
    </w:p>
    <w:p>
      <w:pPr>
        <w:spacing w:after="120" w:line="276"/>
      </w:pPr>
      <w:r>
        <w:rPr>
          <w:rFonts w:ascii="Calibri" w:cs="Calibri" w:eastAsia="Calibri" w:hAnsi="Calibri"/>
          <w:color w:val="333333"/>
          <w:sz w:val="24"/>
          <w:szCs w:val="24"/>
        </w:rPr>
        <w:t xml:space="preserve">Revisions require approval by [EXECUTIVE SPONSOR] and version-controlled documentation in the revision history (Exhibit G).</w:t>
      </w:r>
    </w:p>
    <w:p>
      <w:pPr>
        <w:pStyle w:val="Heading2"/>
        <w:spacing w:after="80" w:before="280"/>
      </w:pPr>
      <w:r>
        <w:rPr>
          <w:rFonts w:ascii="Calibri" w:cs="Calibri" w:eastAsia="Calibri" w:hAnsi="Calibri"/>
          <w:b/>
          <w:bCs/>
          <w:color w:val="2E5090"/>
          <w:sz w:val="24"/>
          <w:szCs w:val="24"/>
        </w:rPr>
        <w:t xml:space="preserve">3.4 Metrics Governance</w:t>
      </w:r>
    </w:p>
    <w:p>
      <w:pPr>
        <w:spacing w:after="120" w:line="276"/>
      </w:pPr>
      <w:r>
        <w:rPr>
          <w:rFonts w:ascii="Calibri" w:cs="Calibri" w:eastAsia="Calibri" w:hAnsi="Calibri"/>
          <w:color w:val="333333"/>
          <w:sz w:val="24"/>
          <w:szCs w:val="24"/>
        </w:rPr>
        <w:t xml:space="preserve">Security metrics shall have a defined source, measurement period, completeness criteria, owner, threshold, and escalation path. Metrics shall not be aggregated or presented in a manner that obscures material risks. Management review shall address trends, anomalies, and corrective actions.</w:t>
      </w:r>
    </w:p>
    <w:p>
      <w:r>
        <w:br w:type="page"/>
      </w:r>
    </w:p>
    <w:p>
      <w:pPr>
        <w:pStyle w:val="Heading1"/>
        <w:spacing w:after="120" w:before="360"/>
      </w:pPr>
      <w:r>
        <w:rPr>
          <w:rFonts w:ascii="Calibri" w:cs="Calibri" w:eastAsia="Calibri" w:hAnsi="Calibri"/>
          <w:b/>
          <w:bCs/>
          <w:color w:val="1B2A4A"/>
          <w:sz w:val="28"/>
          <w:szCs w:val="28"/>
        </w:rPr>
        <w:t xml:space="preserve">4. Information Classification and Handling</w:t>
      </w:r>
    </w:p>
    <w:p>
      <w:pPr>
        <w:pStyle w:val="Heading2"/>
        <w:spacing w:after="80" w:before="280"/>
      </w:pPr>
      <w:r>
        <w:rPr>
          <w:rFonts w:ascii="Calibri" w:cs="Calibri" w:eastAsia="Calibri" w:hAnsi="Calibri"/>
          <w:b/>
          <w:bCs/>
          <w:color w:val="2E5090"/>
          <w:sz w:val="24"/>
          <w:szCs w:val="24"/>
        </w:rPr>
        <w:t xml:space="preserve">4.1 Classification Levels</w:t>
      </w:r>
    </w:p>
    <w:p>
      <w:pPr>
        <w:spacing w:after="120" w:line="276"/>
      </w:pPr>
      <w:r>
        <w:rPr>
          <w:rFonts w:ascii="Calibri" w:cs="Calibri" w:eastAsia="Calibri" w:hAnsi="Calibri"/>
          <w:color w:val="333333"/>
          <w:sz w:val="24"/>
          <w:szCs w:val="24"/>
        </w:rPr>
        <w:t xml:space="preserve">All Company information shall be classified by the Asset Owner into one of the following tiers. When uncertain, treat information as Confidential and consult the Asset Owner.</w:t>
      </w:r>
    </w:p>
    <w:p>
      <w:pPr>
        <w:pStyle w:val="Heading3"/>
        <w:spacing w:after="60" w:before="200"/>
      </w:pPr>
      <w:r>
        <w:rPr>
          <w:rFonts w:ascii="Calibri" w:cs="Calibri" w:eastAsia="Calibri" w:hAnsi="Calibri"/>
          <w:b/>
          <w:bCs/>
          <w:color w:val="1B2A4A"/>
          <w:sz w:val="22"/>
          <w:szCs w:val="22"/>
        </w:rPr>
        <w:t xml:space="preserve">Table 1: Data Classification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c>
          <w:tcPr>
            <w:tcW w:type="dxa" w:w="15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Attribute</w:t>
            </w:r>
          </w:p>
        </w:tc>
        <w:tc>
          <w:tcPr>
            <w:tcW w:type="dxa" w:w="195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Public</w:t>
            </w:r>
          </w:p>
        </w:tc>
        <w:tc>
          <w:tcPr>
            <w:tcW w:type="dxa" w:w="195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Internal</w:t>
            </w:r>
          </w:p>
        </w:tc>
        <w:tc>
          <w:tcPr>
            <w:tcW w:type="dxa" w:w="195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Confidential</w:t>
            </w:r>
          </w:p>
        </w:tc>
        <w:tc>
          <w:tcPr>
            <w:tcW w:type="dxa" w:w="195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Restricted</w:t>
            </w:r>
          </w:p>
        </w:tc>
      </w:tr>
      <w:tr>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Description</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Approved for unrestricted public release</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General business information not intended for public disclosure</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Sensitive business, personal, or customer data requiring protection</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Highly sensitive data subject to legal, regulatory, or contractual safeguards</w:t>
            </w:r>
          </w:p>
        </w:tc>
      </w:tr>
      <w:tr>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Examples</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Marketing materials, press releases, public website content</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Internal memos, project plans, org charts, meeting notes</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PII, financial records, customer data, trade secrets, HR records</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SSN, payment card data, protected health information, encryption keys, credentials</w:t>
            </w:r>
          </w:p>
        </w:tc>
      </w:tr>
      <w:tr>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Labeling</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None required</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Mark “Internal” on cover or header where practical</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Mark “Confidential” on all pages/screens</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Mark “Restricted” prominently; apply DLP tags</w:t>
            </w:r>
          </w:p>
        </w:tc>
      </w:tr>
      <w:tr>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Access</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Unrestricted</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Company workforce; need-to-know not required</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Need-to-know basis; owner-approved access list</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Strictly need-to-know; named individuals; owner and Security Leader approval</w:t>
            </w:r>
          </w:p>
        </w:tc>
      </w:tr>
      <w:tr>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Storage</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 restrictions</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Company-approved systems</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Encrypted approved systems; no personal devices without approval</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Encrypted approved systems only; access logging required; no personal devices</w:t>
            </w:r>
          </w:p>
        </w:tc>
      </w:tr>
      <w:tr>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Transmission</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No restrictions</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Company email or approved channels</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Encrypted in transit (TLS 1.2+); no unencrypted email</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End-to-end encryption required; approved channels only; no email</w:t>
            </w:r>
          </w:p>
        </w:tc>
      </w:tr>
      <w:tr>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Sharing</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Unrestricted</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Internal only; NDA for external</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NDA and owner approval required; DLP monitored</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Executive and owner approval; legal review; logged and audited</w:t>
            </w:r>
          </w:p>
        </w:tc>
      </w:tr>
      <w:tr>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Printing</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Unrestricted</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Standard printers</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Secure print only; collect immediately</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Printing prohibited without Security Leader approval</w:t>
            </w:r>
          </w:p>
        </w:tc>
      </w:tr>
      <w:tr>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Retention</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Per records schedule</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Per records schedule</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Per records schedule; minimum retention periods apply</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Per records schedule; legal hold and regulatory minimums apply</w:t>
            </w:r>
          </w:p>
        </w:tc>
      </w:tr>
      <w:tr>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Destruction</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Standard disposal</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Cross-cut shred or secure delete</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Cross-cut shred; cryptographic erasure; certificate of destruction</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Cross-cut shred; cryptographic erasure; witnessed destruction; certificate retained</w:t>
            </w:r>
          </w:p>
        </w:tc>
      </w:tr>
      <w:tr>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Backup</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Standard</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Standard encrypted backup</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Encrypted backup; tested restoration; offsite copy</w:t>
            </w:r>
          </w:p>
        </w:tc>
        <w:tc>
          <w:tcPr>
            <w:tcW w:type="dxa" w:w="195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Encrypted backup; immutable/offline copy; tested restoration; access-controlled</w:t>
            </w:r>
          </w:p>
        </w:tc>
      </w:tr>
      <w:tr>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Incident Impact</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Low</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Moderate</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High</w:t>
            </w:r>
          </w:p>
        </w:tc>
        <w:tc>
          <w:tcPr>
            <w:tcW w:type="dxa" w:w="195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Critical / Regulatory reportable</w:t>
            </w:r>
          </w:p>
        </w:tc>
      </w:tr>
    </w:tbl>
    <w:p>
      <w:pPr>
        <w:pStyle w:val="Heading2"/>
        <w:spacing w:after="80" w:before="280"/>
      </w:pPr>
      <w:r>
        <w:rPr>
          <w:rFonts w:ascii="Calibri" w:cs="Calibri" w:eastAsia="Calibri" w:hAnsi="Calibri"/>
          <w:b/>
          <w:bCs/>
          <w:color w:val="2E5090"/>
          <w:sz w:val="24"/>
          <w:szCs w:val="24"/>
        </w:rPr>
        <w:t xml:space="preserve">4.2 Handling Requirements</w:t>
      </w:r>
    </w:p>
    <w:p>
      <w:pPr>
        <w:spacing w:after="120" w:line="276"/>
      </w:pPr>
      <w:r>
        <w:rPr>
          <w:rFonts w:ascii="Calibri" w:cs="Calibri" w:eastAsia="Calibri" w:hAnsi="Calibri"/>
          <w:color w:val="333333"/>
          <w:sz w:val="24"/>
          <w:szCs w:val="24"/>
        </w:rPr>
        <w:t xml:space="preserve">Asset Owners shall apply classification labels at creation or receipt. Information composed of multiple classification levels inherits the highest applicable classification. Reclassification requires Asset Owner approval and updated handling. Detailed handling procedures for each classification level are maintained in the Classification and Handling Standard.</w:t>
      </w:r>
    </w:p>
    <w:p>
      <w:r>
        <w:br w:type="page"/>
      </w:r>
    </w:p>
    <w:p>
      <w:pPr>
        <w:pStyle w:val="Heading1"/>
        <w:spacing w:after="120" w:before="360"/>
      </w:pPr>
      <w:r>
        <w:rPr>
          <w:rFonts w:ascii="Calibri" w:cs="Calibri" w:eastAsia="Calibri" w:hAnsi="Calibri"/>
          <w:b/>
          <w:bCs/>
          <w:color w:val="1B2A4A"/>
          <w:sz w:val="28"/>
          <w:szCs w:val="28"/>
        </w:rPr>
        <w:t xml:space="preserve">5. Identity and Access Control</w:t>
      </w:r>
    </w:p>
    <w:p>
      <w:pPr>
        <w:pStyle w:val="Heading2"/>
        <w:spacing w:after="80" w:before="280"/>
      </w:pPr>
      <w:r>
        <w:rPr>
          <w:rFonts w:ascii="Calibri" w:cs="Calibri" w:eastAsia="Calibri" w:hAnsi="Calibri"/>
          <w:b/>
          <w:bCs/>
          <w:color w:val="2E5090"/>
          <w:sz w:val="24"/>
          <w:szCs w:val="24"/>
        </w:rPr>
        <w:t xml:space="preserve">5.1 Principles</w:t>
      </w:r>
    </w:p>
    <w:p>
      <w:pPr>
        <w:spacing w:after="120" w:line="276"/>
      </w:pPr>
      <w:r>
        <w:rPr>
          <w:rFonts w:ascii="Calibri" w:cs="Calibri" w:eastAsia="Calibri" w:hAnsi="Calibri"/>
          <w:color w:val="333333"/>
          <w:sz w:val="24"/>
          <w:szCs w:val="24"/>
        </w:rPr>
        <w:t xml:space="preserve">Access control is founded on zero-trust principles: no implicit trust is granted based on network location, device, or prior authentication. All access decisions shall enforce:</w:t>
      </w:r>
    </w:p>
    <w:p>
      <w:pPr>
        <w:pStyle w:val="ListParagraph"/>
        <w:numPr>
          <w:ilvl w:val="0"/>
          <w:numId w:val="1"/>
        </w:numPr>
        <w:spacing w:after="60" w:line="276"/>
      </w:pPr>
      <w:r>
        <w:rPr>
          <w:rFonts w:ascii="Calibri" w:cs="Calibri" w:eastAsia="Calibri" w:hAnsi="Calibri"/>
          <w:b/>
          <w:bCs/>
          <w:color w:val="333333"/>
          <w:sz w:val="24"/>
          <w:szCs w:val="24"/>
        </w:rPr>
        <w:t xml:space="preserve">Least Privilege</w:t>
      </w:r>
      <w:r>
        <w:rPr>
          <w:rFonts w:ascii="Calibri" w:cs="Calibri" w:eastAsia="Calibri" w:hAnsi="Calibri"/>
          <w:color w:val="333333"/>
          <w:sz w:val="24"/>
          <w:szCs w:val="24"/>
        </w:rPr>
        <w:t xml:space="preserve"> — Grant only the minimum access necessary for the authorized function.</w:t>
      </w:r>
    </w:p>
    <w:p>
      <w:pPr>
        <w:pStyle w:val="ListParagraph"/>
        <w:numPr>
          <w:ilvl w:val="0"/>
          <w:numId w:val="1"/>
        </w:numPr>
        <w:spacing w:after="60" w:line="276"/>
      </w:pPr>
      <w:r>
        <w:rPr>
          <w:rFonts w:ascii="Calibri" w:cs="Calibri" w:eastAsia="Calibri" w:hAnsi="Calibri"/>
          <w:b/>
          <w:bCs/>
          <w:color w:val="333333"/>
          <w:sz w:val="24"/>
          <w:szCs w:val="24"/>
        </w:rPr>
        <w:t xml:space="preserve">Need to Know</w:t>
      </w:r>
      <w:r>
        <w:rPr>
          <w:rFonts w:ascii="Calibri" w:cs="Calibri" w:eastAsia="Calibri" w:hAnsi="Calibri"/>
          <w:color w:val="333333"/>
          <w:sz w:val="24"/>
          <w:szCs w:val="24"/>
        </w:rPr>
        <w:t xml:space="preserve"> — Restrict access to information required for the individual’s role.</w:t>
      </w:r>
    </w:p>
    <w:p>
      <w:pPr>
        <w:pStyle w:val="ListParagraph"/>
        <w:numPr>
          <w:ilvl w:val="0"/>
          <w:numId w:val="1"/>
        </w:numPr>
        <w:spacing w:after="60" w:line="276"/>
      </w:pPr>
      <w:r>
        <w:rPr>
          <w:rFonts w:ascii="Calibri" w:cs="Calibri" w:eastAsia="Calibri" w:hAnsi="Calibri"/>
          <w:b/>
          <w:bCs/>
          <w:color w:val="333333"/>
          <w:sz w:val="24"/>
          <w:szCs w:val="24"/>
        </w:rPr>
        <w:t xml:space="preserve">Separation of Duties</w:t>
      </w:r>
      <w:r>
        <w:rPr>
          <w:rFonts w:ascii="Calibri" w:cs="Calibri" w:eastAsia="Calibri" w:hAnsi="Calibri"/>
          <w:color w:val="333333"/>
          <w:sz w:val="24"/>
          <w:szCs w:val="24"/>
        </w:rPr>
        <w:t xml:space="preserve"> — Divide critical functions to prevent single-point compromise or fraud.</w:t>
      </w:r>
    </w:p>
    <w:p>
      <w:pPr>
        <w:pStyle w:val="ListParagraph"/>
        <w:numPr>
          <w:ilvl w:val="0"/>
          <w:numId w:val="1"/>
        </w:numPr>
        <w:spacing w:after="60" w:line="276"/>
      </w:pPr>
      <w:r>
        <w:rPr>
          <w:rFonts w:ascii="Calibri" w:cs="Calibri" w:eastAsia="Calibri" w:hAnsi="Calibri"/>
          <w:b/>
          <w:bCs/>
          <w:color w:val="333333"/>
          <w:sz w:val="24"/>
          <w:szCs w:val="24"/>
        </w:rPr>
        <w:t xml:space="preserve">Continuous Verification</w:t>
      </w:r>
      <w:r>
        <w:rPr>
          <w:rFonts w:ascii="Calibri" w:cs="Calibri" w:eastAsia="Calibri" w:hAnsi="Calibri"/>
          <w:color w:val="333333"/>
          <w:sz w:val="24"/>
          <w:szCs w:val="24"/>
        </w:rPr>
        <w:t xml:space="preserve"> — Re-evaluate trust based on context, device posture, and behavior.</w:t>
      </w:r>
    </w:p>
    <w:p>
      <w:pPr>
        <w:pStyle w:val="Heading2"/>
        <w:spacing w:after="80" w:before="280"/>
      </w:pPr>
      <w:r>
        <w:rPr>
          <w:rFonts w:ascii="Calibri" w:cs="Calibri" w:eastAsia="Calibri" w:hAnsi="Calibri"/>
          <w:b/>
          <w:bCs/>
          <w:color w:val="2E5090"/>
          <w:sz w:val="24"/>
          <w:szCs w:val="24"/>
        </w:rPr>
        <w:t xml:space="preserve">5.2 Authentication Requirements</w:t>
      </w:r>
    </w:p>
    <w:p>
      <w:pPr>
        <w:pStyle w:val="ListParagraph"/>
        <w:numPr>
          <w:ilvl w:val="0"/>
          <w:numId w:val="1"/>
        </w:numPr>
        <w:spacing w:after="60" w:line="276"/>
      </w:pPr>
      <w:r>
        <w:rPr>
          <w:rFonts w:ascii="Calibri" w:cs="Calibri" w:eastAsia="Calibri" w:hAnsi="Calibri"/>
          <w:color w:val="333333"/>
          <w:sz w:val="24"/>
          <w:szCs w:val="24"/>
        </w:rPr>
        <w:t xml:space="preserve">All users shall have unique, individual accounts. Shared or generic accounts are prohibited except where documented, approved, and monitored.</w:t>
      </w:r>
    </w:p>
    <w:p>
      <w:pPr>
        <w:pStyle w:val="ListParagraph"/>
        <w:numPr>
          <w:ilvl w:val="0"/>
          <w:numId w:val="1"/>
        </w:numPr>
        <w:spacing w:after="60" w:line="276"/>
      </w:pPr>
      <w:r>
        <w:rPr>
          <w:rFonts w:ascii="Calibri" w:cs="Calibri" w:eastAsia="Calibri" w:hAnsi="Calibri"/>
          <w:color w:val="333333"/>
          <w:sz w:val="24"/>
          <w:szCs w:val="24"/>
        </w:rPr>
        <w:t xml:space="preserve">Multifactor authentication (MFA) is required for all systems identified in the MFA System Inventory, including at minimum: [VPN, EMAIL, CLOUD ADMIN CONSOLES, SOURCE CODE REPOSITORIES, PRODUCTION SYSTEMS, PRIVILEGED ACCESS].</w:t>
      </w:r>
    </w:p>
    <w:p>
      <w:pPr>
        <w:pStyle w:val="ListParagraph"/>
        <w:numPr>
          <w:ilvl w:val="0"/>
          <w:numId w:val="1"/>
        </w:numPr>
        <w:spacing w:after="60" w:line="276"/>
      </w:pPr>
      <w:r>
        <w:rPr>
          <w:rFonts w:ascii="Calibri" w:cs="Calibri" w:eastAsia="Calibri" w:hAnsi="Calibri"/>
          <w:color w:val="333333"/>
          <w:sz w:val="24"/>
          <w:szCs w:val="24"/>
        </w:rPr>
        <w:t xml:space="preserve">Passwords shall comply with the Password Standard: minimum [14] characters, complexity requirements, no reuse of last [12] passwords, and lockout after [5] failed attempts.</w:t>
      </w:r>
    </w:p>
    <w:p>
      <w:pPr>
        <w:pStyle w:val="ListParagraph"/>
        <w:numPr>
          <w:ilvl w:val="0"/>
          <w:numId w:val="1"/>
        </w:numPr>
        <w:spacing w:after="60" w:line="276"/>
      </w:pPr>
      <w:r>
        <w:rPr>
          <w:rFonts w:ascii="Calibri" w:cs="Calibri" w:eastAsia="Calibri" w:hAnsi="Calibri"/>
          <w:color w:val="333333"/>
          <w:sz w:val="24"/>
          <w:szCs w:val="24"/>
        </w:rPr>
        <w:t xml:space="preserve">Only Company-approved credential managers shall be used. Storing credentials in plaintext, code, or unapproved locations is prohibited.</w:t>
      </w:r>
    </w:p>
    <w:p>
      <w:pPr>
        <w:pStyle w:val="Heading2"/>
        <w:spacing w:after="80" w:before="280"/>
      </w:pPr>
      <w:r>
        <w:rPr>
          <w:rFonts w:ascii="Calibri" w:cs="Calibri" w:eastAsia="Calibri" w:hAnsi="Calibri"/>
          <w:b/>
          <w:bCs/>
          <w:color w:val="2E5090"/>
          <w:sz w:val="24"/>
          <w:szCs w:val="24"/>
        </w:rPr>
        <w:t xml:space="preserve">5.3 Authorization and Provisioning</w:t>
      </w:r>
    </w:p>
    <w:p>
      <w:pPr>
        <w:pStyle w:val="ListParagraph"/>
        <w:numPr>
          <w:ilvl w:val="0"/>
          <w:numId w:val="1"/>
        </w:numPr>
        <w:spacing w:after="60" w:line="276"/>
      </w:pPr>
      <w:r>
        <w:rPr>
          <w:rFonts w:ascii="Calibri" w:cs="Calibri" w:eastAsia="Calibri" w:hAnsi="Calibri"/>
          <w:color w:val="333333"/>
          <w:sz w:val="24"/>
          <w:szCs w:val="24"/>
        </w:rPr>
        <w:t xml:space="preserve">Access provisioning requires documented approval by the Asset Owner or delegate.</w:t>
      </w:r>
    </w:p>
    <w:p>
      <w:pPr>
        <w:pStyle w:val="ListParagraph"/>
        <w:numPr>
          <w:ilvl w:val="0"/>
          <w:numId w:val="1"/>
        </w:numPr>
        <w:spacing w:after="60" w:line="276"/>
      </w:pPr>
      <w:r>
        <w:rPr>
          <w:rFonts w:ascii="Calibri" w:cs="Calibri" w:eastAsia="Calibri" w:hAnsi="Calibri"/>
          <w:color w:val="333333"/>
          <w:sz w:val="24"/>
          <w:szCs w:val="24"/>
        </w:rPr>
        <w:t xml:space="preserve">Role-Based Access Control (RBAC) shall be implemented for all systems supporting role definitions.</w:t>
      </w:r>
    </w:p>
    <w:p>
      <w:pPr>
        <w:pStyle w:val="ListParagraph"/>
        <w:numPr>
          <w:ilvl w:val="0"/>
          <w:numId w:val="1"/>
        </w:numPr>
        <w:spacing w:after="60" w:line="276"/>
      </w:pPr>
      <w:r>
        <w:rPr>
          <w:rFonts w:ascii="Calibri" w:cs="Calibri" w:eastAsia="Calibri" w:hAnsi="Calibri"/>
          <w:color w:val="333333"/>
          <w:sz w:val="24"/>
          <w:szCs w:val="24"/>
        </w:rPr>
        <w:t xml:space="preserve">Access rights shall be reviewed at least [QUARTERLY] by Asset Owners using the access review procedure.</w:t>
      </w:r>
    </w:p>
    <w:p>
      <w:pPr>
        <w:pStyle w:val="ListParagraph"/>
        <w:numPr>
          <w:ilvl w:val="0"/>
          <w:numId w:val="1"/>
        </w:numPr>
        <w:spacing w:after="60" w:line="276"/>
      </w:pPr>
      <w:r>
        <w:rPr>
          <w:rFonts w:ascii="Calibri" w:cs="Calibri" w:eastAsia="Calibri" w:hAnsi="Calibri"/>
          <w:color w:val="333333"/>
          <w:sz w:val="24"/>
          <w:szCs w:val="24"/>
        </w:rPr>
        <w:t xml:space="preserve">Access shall be modified or revoked within [24 HOURS] of role change, transfer, or separation. High-risk access (administrative, financial, data export) shall be revoked within [4 HOURS] of separation.</w:t>
      </w:r>
    </w:p>
    <w:p>
      <w:pPr>
        <w:pStyle w:val="Heading2"/>
        <w:spacing w:after="80" w:before="280"/>
      </w:pPr>
      <w:r>
        <w:rPr>
          <w:rFonts w:ascii="Calibri" w:cs="Calibri" w:eastAsia="Calibri" w:hAnsi="Calibri"/>
          <w:b/>
          <w:bCs/>
          <w:color w:val="2E5090"/>
          <w:sz w:val="24"/>
          <w:szCs w:val="24"/>
        </w:rPr>
        <w:t xml:space="preserve">5.4 Privileged Access Management</w:t>
      </w:r>
    </w:p>
    <w:p>
      <w:pPr>
        <w:pStyle w:val="ListParagraph"/>
        <w:numPr>
          <w:ilvl w:val="0"/>
          <w:numId w:val="1"/>
        </w:numPr>
        <w:spacing w:after="60" w:line="276"/>
      </w:pPr>
      <w:r>
        <w:rPr>
          <w:rFonts w:ascii="Calibri" w:cs="Calibri" w:eastAsia="Calibri" w:hAnsi="Calibri"/>
          <w:color w:val="333333"/>
          <w:sz w:val="24"/>
          <w:szCs w:val="24"/>
        </w:rPr>
        <w:t xml:space="preserve">Privileged accounts (administrative, root, service accounts with elevated rights) shall be inventoried, assigned individual owners, and subject to enhanced controls.</w:t>
      </w:r>
    </w:p>
    <w:p>
      <w:pPr>
        <w:pStyle w:val="ListParagraph"/>
        <w:numPr>
          <w:ilvl w:val="0"/>
          <w:numId w:val="1"/>
        </w:numPr>
        <w:spacing w:after="60" w:line="276"/>
      </w:pPr>
      <w:r>
        <w:rPr>
          <w:rFonts w:ascii="Calibri" w:cs="Calibri" w:eastAsia="Calibri" w:hAnsi="Calibri"/>
          <w:color w:val="333333"/>
          <w:sz w:val="24"/>
          <w:szCs w:val="24"/>
        </w:rPr>
        <w:t xml:space="preserve">Privileged access requires separate credentials from standard accounts, MFA, session logging, and just-in-time provisioning where technically feasible.</w:t>
      </w:r>
    </w:p>
    <w:p>
      <w:pPr>
        <w:pStyle w:val="ListParagraph"/>
        <w:numPr>
          <w:ilvl w:val="0"/>
          <w:numId w:val="1"/>
        </w:numPr>
        <w:spacing w:after="60" w:line="276"/>
      </w:pPr>
      <w:r>
        <w:rPr>
          <w:rFonts w:ascii="Calibri" w:cs="Calibri" w:eastAsia="Calibri" w:hAnsi="Calibri"/>
          <w:color w:val="333333"/>
          <w:sz w:val="24"/>
          <w:szCs w:val="24"/>
        </w:rPr>
        <w:t xml:space="preserve">Standing privileged access shall be minimized. Time-bound, approval-based elevation is preferred.</w:t>
      </w:r>
    </w:p>
    <w:p>
      <w:pPr>
        <w:pStyle w:val="ListParagraph"/>
        <w:numPr>
          <w:ilvl w:val="0"/>
          <w:numId w:val="1"/>
        </w:numPr>
        <w:spacing w:after="60" w:line="276"/>
      </w:pPr>
      <w:r>
        <w:rPr>
          <w:rFonts w:ascii="Calibri" w:cs="Calibri" w:eastAsia="Calibri" w:hAnsi="Calibri"/>
          <w:color w:val="333333"/>
          <w:sz w:val="24"/>
          <w:szCs w:val="24"/>
        </w:rPr>
        <w:t xml:space="preserve">Privileged access shall be reviewed at least [QUARTERLY] with documented sign-off by the Asset Owner and Security Leader.</w:t>
      </w:r>
    </w:p>
    <w:p>
      <w:pPr>
        <w:pStyle w:val="Heading3"/>
        <w:spacing w:after="60" w:before="200"/>
      </w:pPr>
      <w:r>
        <w:rPr>
          <w:rFonts w:ascii="Calibri" w:cs="Calibri" w:eastAsia="Calibri" w:hAnsi="Calibri"/>
          <w:b/>
          <w:bCs/>
          <w:color w:val="1B2A4A"/>
          <w:sz w:val="22"/>
          <w:szCs w:val="22"/>
        </w:rPr>
        <w:t xml:space="preserve">Table 2: Access Control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tblGrid>
      <w:tr>
        <w:tc>
          <w:tcPr>
            <w:tcW w:type="dxa" w:w="13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Access Tier</w:t>
            </w:r>
          </w:p>
        </w:tc>
        <w:tc>
          <w:tcPr>
            <w:tcW w:type="dxa" w:w="15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Authentication</w:t>
            </w:r>
          </w:p>
        </w:tc>
        <w:tc>
          <w:tcPr>
            <w:tcW w:type="dxa" w:w="1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Authorization</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Review Frequency</w:t>
            </w:r>
          </w:p>
        </w:tc>
        <w:tc>
          <w:tcPr>
            <w:tcW w:type="dxa" w:w="15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Logging</w:t>
            </w:r>
          </w:p>
        </w:tc>
        <w:tc>
          <w:tcPr>
            <w:tcW w:type="dxa" w:w="2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Examples</w:t>
            </w:r>
          </w:p>
        </w:tc>
      </w:tr>
      <w:tr>
        <w:tc>
          <w:tcPr>
            <w:tcW w:type="dxa" w:w="13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Standard User</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MFA per inventory</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RBAC; owner approval</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Quarterly</w:t>
            </w:r>
          </w:p>
        </w:tc>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Authentication events</w:t>
            </w:r>
          </w:p>
        </w:tc>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Email, collaboration tools, file shares</w:t>
            </w:r>
          </w:p>
        </w:tc>
      </w:tr>
      <w:tr>
        <w:tc>
          <w:tcPr>
            <w:tcW w:type="dxa" w:w="13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Elevated User</w:t>
            </w:r>
          </w:p>
        </w:tc>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MFA required</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RBAC + owner approval; business justification</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Quarterly</w:t>
            </w:r>
          </w:p>
        </w:tc>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Authentication + access events</w:t>
            </w:r>
          </w:p>
        </w:tc>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Financial systems, HR systems, CRM admin</w:t>
            </w:r>
          </w:p>
        </w:tc>
      </w:tr>
      <w:tr>
        <w:tc>
          <w:tcPr>
            <w:tcW w:type="dxa" w:w="13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Privileged / Admin</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Separate credential + MFA</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Named individual; Security Leader + owner approval</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Monthly</w:t>
            </w:r>
          </w:p>
        </w:tc>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Full session logging; command capture</w:t>
            </w:r>
          </w:p>
        </w:tc>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Domain admin, cloud admin, database admin</w:t>
            </w:r>
          </w:p>
        </w:tc>
      </w:tr>
      <w:tr>
        <w:tc>
          <w:tcPr>
            <w:tcW w:type="dxa" w:w="13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Service Account</w:t>
            </w:r>
          </w:p>
        </w:tc>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Certificate or managed secret</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Dedicated; least privilege; no interactive login</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Quarterly</w:t>
            </w:r>
          </w:p>
        </w:tc>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API and transaction logging</w:t>
            </w:r>
          </w:p>
        </w:tc>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Application integrations, automated processes</w:t>
            </w:r>
          </w:p>
        </w:tc>
      </w:tr>
      <w:tr>
        <w:tc>
          <w:tcPr>
            <w:tcW w:type="dxa" w:w="13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Emergency / Break-Glass</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Sealed credentials + MFA</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Dual approval; Security Leader + Executive</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After each use</w:t>
            </w:r>
          </w:p>
        </w:tc>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Full session recording; post-use audit</w:t>
            </w:r>
          </w:p>
        </w:tc>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Disaster recovery, critical incident response</w:t>
            </w:r>
          </w:p>
        </w:tc>
      </w:tr>
    </w:tbl>
    <w:p>
      <w:r>
        <w:br w:type="page"/>
      </w:r>
    </w:p>
    <w:p>
      <w:pPr>
        <w:pStyle w:val="Heading1"/>
        <w:spacing w:after="120" w:before="360"/>
      </w:pPr>
      <w:r>
        <w:rPr>
          <w:rFonts w:ascii="Calibri" w:cs="Calibri" w:eastAsia="Calibri" w:hAnsi="Calibri"/>
          <w:b/>
          <w:bCs/>
          <w:color w:val="1B2A4A"/>
          <w:sz w:val="28"/>
          <w:szCs w:val="28"/>
        </w:rPr>
        <w:t xml:space="preserve">6. Network and Infrastructure Security</w:t>
      </w:r>
    </w:p>
    <w:p>
      <w:pPr>
        <w:pStyle w:val="Heading2"/>
        <w:spacing w:after="80" w:before="280"/>
      </w:pPr>
      <w:r>
        <w:rPr>
          <w:rFonts w:ascii="Calibri" w:cs="Calibri" w:eastAsia="Calibri" w:hAnsi="Calibri"/>
          <w:b/>
          <w:bCs/>
          <w:color w:val="2E5090"/>
          <w:sz w:val="24"/>
          <w:szCs w:val="24"/>
        </w:rPr>
        <w:t xml:space="preserve">6.1 Network Architecture</w:t>
      </w:r>
    </w:p>
    <w:p>
      <w:pPr>
        <w:spacing w:after="120" w:line="276"/>
      </w:pPr>
      <w:r>
        <w:rPr>
          <w:rFonts w:ascii="Calibri" w:cs="Calibri" w:eastAsia="Calibri" w:hAnsi="Calibri"/>
          <w:color w:val="333333"/>
          <w:sz w:val="24"/>
          <w:szCs w:val="24"/>
        </w:rPr>
        <w:t xml:space="preserve">Network architecture shall follow zero-trust and defense-in-depth principles:</w:t>
      </w:r>
    </w:p>
    <w:p>
      <w:pPr>
        <w:pStyle w:val="ListParagraph"/>
        <w:numPr>
          <w:ilvl w:val="0"/>
          <w:numId w:val="1"/>
        </w:numPr>
        <w:spacing w:after="60" w:line="276"/>
      </w:pPr>
      <w:r>
        <w:rPr>
          <w:rFonts w:ascii="Calibri" w:cs="Calibri" w:eastAsia="Calibri" w:hAnsi="Calibri"/>
          <w:color w:val="333333"/>
          <w:sz w:val="24"/>
          <w:szCs w:val="24"/>
        </w:rPr>
        <w:t xml:space="preserve">Network segmentation shall separate environments by trust level (e.g., production, development, staging, DMZ, guest, IoT/OT) with firewall rules enforcing least-privilege communication between segments.</w:t>
      </w:r>
    </w:p>
    <w:p>
      <w:pPr>
        <w:pStyle w:val="ListParagraph"/>
        <w:numPr>
          <w:ilvl w:val="0"/>
          <w:numId w:val="1"/>
        </w:numPr>
        <w:spacing w:after="60" w:line="276"/>
      </w:pPr>
      <w:r>
        <w:rPr>
          <w:rFonts w:ascii="Calibri" w:cs="Calibri" w:eastAsia="Calibri" w:hAnsi="Calibri"/>
          <w:color w:val="333333"/>
          <w:sz w:val="24"/>
          <w:szCs w:val="24"/>
        </w:rPr>
        <w:t xml:space="preserve">All remote access shall traverse encrypted tunnels (VPN or zero-trust network access) with MFA and device posture verification.</w:t>
      </w:r>
    </w:p>
    <w:p>
      <w:pPr>
        <w:pStyle w:val="ListParagraph"/>
        <w:numPr>
          <w:ilvl w:val="0"/>
          <w:numId w:val="1"/>
        </w:numPr>
        <w:spacing w:after="60" w:line="276"/>
      </w:pPr>
      <w:r>
        <w:rPr>
          <w:rFonts w:ascii="Calibri" w:cs="Calibri" w:eastAsia="Calibri" w:hAnsi="Calibri"/>
          <w:color w:val="333333"/>
          <w:sz w:val="24"/>
          <w:szCs w:val="24"/>
        </w:rPr>
        <w:t xml:space="preserve">Wireless networks shall use WPA3 or WPA2-Enterprise with certificate-based or RADIUS authentication. Guest wireless shall be isolated from internal networks.</w:t>
      </w:r>
    </w:p>
    <w:p>
      <w:pPr>
        <w:pStyle w:val="ListParagraph"/>
        <w:numPr>
          <w:ilvl w:val="0"/>
          <w:numId w:val="1"/>
        </w:numPr>
        <w:spacing w:after="60" w:line="276"/>
      </w:pPr>
      <w:r>
        <w:rPr>
          <w:rFonts w:ascii="Calibri" w:cs="Calibri" w:eastAsia="Calibri" w:hAnsi="Calibri"/>
          <w:color w:val="333333"/>
          <w:sz w:val="24"/>
          <w:szCs w:val="24"/>
        </w:rPr>
        <w:t xml:space="preserve">Network diagrams shall be maintained, reviewed at least [ANNUALLY], and updated following material changes.</w:t>
      </w:r>
    </w:p>
    <w:p>
      <w:pPr>
        <w:pStyle w:val="Heading2"/>
        <w:spacing w:after="80" w:before="280"/>
      </w:pPr>
      <w:r>
        <w:rPr>
          <w:rFonts w:ascii="Calibri" w:cs="Calibri" w:eastAsia="Calibri" w:hAnsi="Calibri"/>
          <w:b/>
          <w:bCs/>
          <w:color w:val="2E5090"/>
          <w:sz w:val="24"/>
          <w:szCs w:val="24"/>
        </w:rPr>
        <w:t xml:space="preserve">6.2 Perimeter and Internal Controls</w:t>
      </w:r>
    </w:p>
    <w:p>
      <w:pPr>
        <w:pStyle w:val="ListParagraph"/>
        <w:numPr>
          <w:ilvl w:val="0"/>
          <w:numId w:val="1"/>
        </w:numPr>
        <w:spacing w:after="60" w:line="276"/>
      </w:pPr>
      <w:r>
        <w:rPr>
          <w:rFonts w:ascii="Calibri" w:cs="Calibri" w:eastAsia="Calibri" w:hAnsi="Calibri"/>
          <w:color w:val="333333"/>
          <w:sz w:val="24"/>
          <w:szCs w:val="24"/>
        </w:rPr>
        <w:t xml:space="preserve">Firewalls shall enforce default-deny ingress and egress rules with documented exceptions.</w:t>
      </w:r>
    </w:p>
    <w:p>
      <w:pPr>
        <w:pStyle w:val="ListParagraph"/>
        <w:numPr>
          <w:ilvl w:val="0"/>
          <w:numId w:val="1"/>
        </w:numPr>
        <w:spacing w:after="60" w:line="276"/>
      </w:pPr>
      <w:r>
        <w:rPr>
          <w:rFonts w:ascii="Calibri" w:cs="Calibri" w:eastAsia="Calibri" w:hAnsi="Calibri"/>
          <w:color w:val="333333"/>
          <w:sz w:val="24"/>
          <w:szCs w:val="24"/>
        </w:rPr>
        <w:t xml:space="preserve">Intrusion detection and prevention systems (IDS/IPS) shall monitor network traffic for anomalous or malicious activity.</w:t>
      </w:r>
    </w:p>
    <w:p>
      <w:pPr>
        <w:pStyle w:val="ListParagraph"/>
        <w:numPr>
          <w:ilvl w:val="0"/>
          <w:numId w:val="1"/>
        </w:numPr>
        <w:spacing w:after="60" w:line="276"/>
      </w:pPr>
      <w:r>
        <w:rPr>
          <w:rFonts w:ascii="Calibri" w:cs="Calibri" w:eastAsia="Calibri" w:hAnsi="Calibri"/>
          <w:color w:val="333333"/>
          <w:sz w:val="24"/>
          <w:szCs w:val="24"/>
        </w:rPr>
        <w:t xml:space="preserve">DNS filtering and web proxies shall block access to known malicious domains and enforce acceptable-use categories.</w:t>
      </w:r>
    </w:p>
    <w:p>
      <w:pPr>
        <w:pStyle w:val="ListParagraph"/>
        <w:numPr>
          <w:ilvl w:val="0"/>
          <w:numId w:val="1"/>
        </w:numPr>
        <w:spacing w:after="60" w:line="276"/>
      </w:pPr>
      <w:r>
        <w:rPr>
          <w:rFonts w:ascii="Calibri" w:cs="Calibri" w:eastAsia="Calibri" w:hAnsi="Calibri"/>
          <w:color w:val="333333"/>
          <w:sz w:val="24"/>
          <w:szCs w:val="24"/>
        </w:rPr>
        <w:t xml:space="preserve">Network access control (NAC) shall verify device identity and posture before granting network access where implemented.</w:t>
      </w:r>
    </w:p>
    <w:p>
      <w:pPr>
        <w:pStyle w:val="Heading2"/>
        <w:spacing w:after="80" w:before="280"/>
      </w:pPr>
      <w:r>
        <w:rPr>
          <w:rFonts w:ascii="Calibri" w:cs="Calibri" w:eastAsia="Calibri" w:hAnsi="Calibri"/>
          <w:b/>
          <w:bCs/>
          <w:color w:val="2E5090"/>
          <w:sz w:val="24"/>
          <w:szCs w:val="24"/>
        </w:rPr>
        <w:t xml:space="preserve">6.3 Logging and Monitoring</w:t>
      </w:r>
    </w:p>
    <w:p>
      <w:pPr>
        <w:pStyle w:val="ListParagraph"/>
        <w:numPr>
          <w:ilvl w:val="0"/>
          <w:numId w:val="1"/>
        </w:numPr>
        <w:spacing w:after="60" w:line="276"/>
      </w:pPr>
      <w:r>
        <w:rPr>
          <w:rFonts w:ascii="Calibri" w:cs="Calibri" w:eastAsia="Calibri" w:hAnsi="Calibri"/>
          <w:color w:val="333333"/>
          <w:sz w:val="24"/>
          <w:szCs w:val="24"/>
        </w:rPr>
        <w:t xml:space="preserve">Security-relevant events shall be logged to a centralized, tamper-resistant log management system (SIEM or equivalent).</w:t>
      </w:r>
    </w:p>
    <w:p>
      <w:pPr>
        <w:pStyle w:val="ListParagraph"/>
        <w:numPr>
          <w:ilvl w:val="0"/>
          <w:numId w:val="1"/>
        </w:numPr>
        <w:spacing w:after="60" w:line="276"/>
      </w:pPr>
      <w:r>
        <w:rPr>
          <w:rFonts w:ascii="Calibri" w:cs="Calibri" w:eastAsia="Calibri" w:hAnsi="Calibri"/>
          <w:color w:val="333333"/>
          <w:sz w:val="24"/>
          <w:szCs w:val="24"/>
        </w:rPr>
        <w:t xml:space="preserve">Log retention shall comply with the records retention schedule and applicable legal requirements, with a minimum of [12 MONTHS] online and [36 MONTHS] archived.</w:t>
      </w:r>
    </w:p>
    <w:p>
      <w:pPr>
        <w:pStyle w:val="ListParagraph"/>
        <w:numPr>
          <w:ilvl w:val="0"/>
          <w:numId w:val="1"/>
        </w:numPr>
        <w:spacing w:after="60" w:line="276"/>
      </w:pPr>
      <w:r>
        <w:rPr>
          <w:rFonts w:ascii="Calibri" w:cs="Calibri" w:eastAsia="Calibri" w:hAnsi="Calibri"/>
          <w:color w:val="333333"/>
          <w:sz w:val="24"/>
          <w:szCs w:val="24"/>
        </w:rPr>
        <w:t xml:space="preserve">Automated alerting shall be configured for indicators of compromise, unauthorized access attempts, privilege escalation, and anomalous data transfers.</w:t>
      </w:r>
    </w:p>
    <w:p>
      <w:pPr>
        <w:pStyle w:val="ListParagraph"/>
        <w:numPr>
          <w:ilvl w:val="0"/>
          <w:numId w:val="1"/>
        </w:numPr>
        <w:spacing w:after="60" w:line="276"/>
      </w:pPr>
      <w:r>
        <w:rPr>
          <w:rFonts w:ascii="Calibri" w:cs="Calibri" w:eastAsia="Calibri" w:hAnsi="Calibri"/>
          <w:color w:val="333333"/>
          <w:sz w:val="24"/>
          <w:szCs w:val="24"/>
        </w:rPr>
        <w:t xml:space="preserve">Log integrity shall be protected against tampering through access controls, immutable storage, or cryptographic verification.</w:t>
      </w:r>
    </w:p>
    <w:p>
      <w:r>
        <w:br w:type="page"/>
      </w:r>
    </w:p>
    <w:p>
      <w:pPr>
        <w:pStyle w:val="Heading1"/>
        <w:spacing w:after="120" w:before="360"/>
      </w:pPr>
      <w:r>
        <w:rPr>
          <w:rFonts w:ascii="Calibri" w:cs="Calibri" w:eastAsia="Calibri" w:hAnsi="Calibri"/>
          <w:b/>
          <w:bCs/>
          <w:color w:val="1B2A4A"/>
          <w:sz w:val="28"/>
          <w:szCs w:val="28"/>
        </w:rPr>
        <w:t xml:space="preserve">7. Endpoint and Device Security</w:t>
      </w:r>
    </w:p>
    <w:p>
      <w:pPr>
        <w:pStyle w:val="Heading2"/>
        <w:spacing w:after="80" w:before="280"/>
      </w:pPr>
      <w:r>
        <w:rPr>
          <w:rFonts w:ascii="Calibri" w:cs="Calibri" w:eastAsia="Calibri" w:hAnsi="Calibri"/>
          <w:b/>
          <w:bCs/>
          <w:color w:val="2E5090"/>
          <w:sz w:val="24"/>
          <w:szCs w:val="24"/>
        </w:rPr>
        <w:t xml:space="preserve">7.1 Company-Managed Endpoints</w:t>
      </w:r>
    </w:p>
    <w:p>
      <w:pPr>
        <w:pStyle w:val="ListParagraph"/>
        <w:numPr>
          <w:ilvl w:val="0"/>
          <w:numId w:val="1"/>
        </w:numPr>
        <w:spacing w:after="60" w:line="276"/>
      </w:pPr>
      <w:r>
        <w:rPr>
          <w:rFonts w:ascii="Calibri" w:cs="Calibri" w:eastAsia="Calibri" w:hAnsi="Calibri"/>
          <w:color w:val="333333"/>
          <w:sz w:val="24"/>
          <w:szCs w:val="24"/>
        </w:rPr>
        <w:t xml:space="preserve">All Company endpoints (laptops, desktops, servers, mobile devices) shall be enrolled in the Company’s Mobile Device Management (MDM) or endpoint management platform.</w:t>
      </w:r>
    </w:p>
    <w:p>
      <w:pPr>
        <w:pStyle w:val="ListParagraph"/>
        <w:numPr>
          <w:ilvl w:val="0"/>
          <w:numId w:val="1"/>
        </w:numPr>
        <w:spacing w:after="60" w:line="276"/>
      </w:pPr>
      <w:r>
        <w:rPr>
          <w:rFonts w:ascii="Calibri" w:cs="Calibri" w:eastAsia="Calibri" w:hAnsi="Calibri"/>
          <w:color w:val="333333"/>
          <w:sz w:val="24"/>
          <w:szCs w:val="24"/>
        </w:rPr>
        <w:t xml:space="preserve">Endpoints shall run approved operating systems with automatic security updates enabled and critical patches applied within the timelines specified in the Patch Management Standard.</w:t>
      </w:r>
    </w:p>
    <w:p>
      <w:pPr>
        <w:pStyle w:val="ListParagraph"/>
        <w:numPr>
          <w:ilvl w:val="0"/>
          <w:numId w:val="1"/>
        </w:numPr>
        <w:spacing w:after="60" w:line="276"/>
      </w:pPr>
      <w:r>
        <w:rPr>
          <w:rFonts w:ascii="Calibri" w:cs="Calibri" w:eastAsia="Calibri" w:hAnsi="Calibri"/>
          <w:color w:val="333333"/>
          <w:sz w:val="24"/>
          <w:szCs w:val="24"/>
        </w:rPr>
        <w:t xml:space="preserve">Full-disk encryption shall be enabled on all endpoints using approved encryption tools (e.g., BitLocker, FileVault, LUKS) with centrally managed recovery keys.</w:t>
      </w:r>
    </w:p>
    <w:p>
      <w:pPr>
        <w:pStyle w:val="ListParagraph"/>
        <w:numPr>
          <w:ilvl w:val="0"/>
          <w:numId w:val="1"/>
        </w:numPr>
        <w:spacing w:after="60" w:line="276"/>
      </w:pPr>
      <w:r>
        <w:rPr>
          <w:rFonts w:ascii="Calibri" w:cs="Calibri" w:eastAsia="Calibri" w:hAnsi="Calibri"/>
          <w:color w:val="333333"/>
          <w:sz w:val="24"/>
          <w:szCs w:val="24"/>
        </w:rPr>
        <w:t xml:space="preserve">Endpoint detection and response (EDR) or next-generation antimalware shall be installed, actively running, and reporting to the central console on all endpoints.</w:t>
      </w:r>
    </w:p>
    <w:p>
      <w:pPr>
        <w:pStyle w:val="ListParagraph"/>
        <w:numPr>
          <w:ilvl w:val="0"/>
          <w:numId w:val="1"/>
        </w:numPr>
        <w:spacing w:after="60" w:line="276"/>
      </w:pPr>
      <w:r>
        <w:rPr>
          <w:rFonts w:ascii="Calibri" w:cs="Calibri" w:eastAsia="Calibri" w:hAnsi="Calibri"/>
          <w:color w:val="333333"/>
          <w:sz w:val="24"/>
          <w:szCs w:val="24"/>
        </w:rPr>
        <w:t xml:space="preserve">Local administrative privileges shall be restricted to authorized IT personnel. Standard users shall not have local admin rights without documented exception.</w:t>
      </w:r>
    </w:p>
    <w:p>
      <w:pPr>
        <w:pStyle w:val="ListParagraph"/>
        <w:numPr>
          <w:ilvl w:val="0"/>
          <w:numId w:val="1"/>
        </w:numPr>
        <w:spacing w:after="60" w:line="276"/>
      </w:pPr>
      <w:r>
        <w:rPr>
          <w:rFonts w:ascii="Calibri" w:cs="Calibri" w:eastAsia="Calibri" w:hAnsi="Calibri"/>
          <w:color w:val="333333"/>
          <w:sz w:val="24"/>
          <w:szCs w:val="24"/>
        </w:rPr>
        <w:t xml:space="preserve">Automatic screen lock shall activate after [5 MINUTES] of inactivity.</w:t>
      </w:r>
    </w:p>
    <w:p>
      <w:pPr>
        <w:pStyle w:val="Heading2"/>
        <w:spacing w:after="80" w:before="280"/>
      </w:pPr>
      <w:r>
        <w:rPr>
          <w:rFonts w:ascii="Calibri" w:cs="Calibri" w:eastAsia="Calibri" w:hAnsi="Calibri"/>
          <w:b/>
          <w:bCs/>
          <w:color w:val="2E5090"/>
          <w:sz w:val="24"/>
          <w:szCs w:val="24"/>
        </w:rPr>
        <w:t xml:space="preserve">7.2 BYOD and Personal Devices</w:t>
      </w:r>
    </w:p>
    <w:p>
      <w:pPr>
        <w:pStyle w:val="ListParagraph"/>
        <w:numPr>
          <w:ilvl w:val="0"/>
          <w:numId w:val="1"/>
        </w:numPr>
        <w:spacing w:after="60" w:line="276"/>
      </w:pPr>
      <w:r>
        <w:rPr>
          <w:rFonts w:ascii="Calibri" w:cs="Calibri" w:eastAsia="Calibri" w:hAnsi="Calibri"/>
          <w:color w:val="333333"/>
          <w:sz w:val="24"/>
          <w:szCs w:val="24"/>
        </w:rPr>
        <w:t xml:space="preserve">Personal devices used to access Company information or systems must be enrolled in the BYOD program and comply with the BYOD Standard (Exhibit E).</w:t>
      </w:r>
    </w:p>
    <w:p>
      <w:pPr>
        <w:pStyle w:val="ListParagraph"/>
        <w:numPr>
          <w:ilvl w:val="0"/>
          <w:numId w:val="1"/>
        </w:numPr>
        <w:spacing w:after="60" w:line="276"/>
      </w:pPr>
      <w:r>
        <w:rPr>
          <w:rFonts w:ascii="Calibri" w:cs="Calibri" w:eastAsia="Calibri" w:hAnsi="Calibri"/>
          <w:color w:val="333333"/>
          <w:sz w:val="24"/>
          <w:szCs w:val="24"/>
        </w:rPr>
        <w:t xml:space="preserve">BYOD requirements include: current OS with security patches, device encryption, screen lock, EDR/MDM agent where required, and no jailbreaking or rooting.</w:t>
      </w:r>
    </w:p>
    <w:p>
      <w:pPr>
        <w:pStyle w:val="ListParagraph"/>
        <w:numPr>
          <w:ilvl w:val="0"/>
          <w:numId w:val="1"/>
        </w:numPr>
        <w:spacing w:after="60" w:line="276"/>
      </w:pPr>
      <w:r>
        <w:rPr>
          <w:rFonts w:ascii="Calibri" w:cs="Calibri" w:eastAsia="Calibri" w:hAnsi="Calibri"/>
          <w:color w:val="333333"/>
          <w:sz w:val="24"/>
          <w:szCs w:val="24"/>
        </w:rPr>
        <w:t xml:space="preserve">Company data on personal devices shall be containerized or accessible only through approved applications that support remote wipe of Company data.</w:t>
      </w:r>
    </w:p>
    <w:p>
      <w:pPr>
        <w:pStyle w:val="ListParagraph"/>
        <w:numPr>
          <w:ilvl w:val="0"/>
          <w:numId w:val="1"/>
        </w:numPr>
        <w:spacing w:after="60" w:line="276"/>
      </w:pPr>
      <w:r>
        <w:rPr>
          <w:rFonts w:ascii="Calibri" w:cs="Calibri" w:eastAsia="Calibri" w:hAnsi="Calibri"/>
          <w:color w:val="333333"/>
          <w:sz w:val="24"/>
          <w:szCs w:val="24"/>
        </w:rPr>
        <w:t xml:space="preserve">The Company reserves the right to remotely wipe Company data from personal devices upon separation, loss, theft, or policy violation, with notice as required by applicable law.</w:t>
      </w:r>
    </w:p>
    <w:p>
      <w:pPr>
        <w:pStyle w:val="Heading2"/>
        <w:spacing w:after="80" w:before="280"/>
      </w:pPr>
      <w:r>
        <w:rPr>
          <w:rFonts w:ascii="Calibri" w:cs="Calibri" w:eastAsia="Calibri" w:hAnsi="Calibri"/>
          <w:b/>
          <w:bCs/>
          <w:color w:val="2E5090"/>
          <w:sz w:val="24"/>
          <w:szCs w:val="24"/>
        </w:rPr>
        <w:t xml:space="preserve">7.3 Removable Media and Peripheral Controls</w:t>
      </w:r>
    </w:p>
    <w:p>
      <w:pPr>
        <w:pStyle w:val="ListParagraph"/>
        <w:numPr>
          <w:ilvl w:val="0"/>
          <w:numId w:val="1"/>
        </w:numPr>
        <w:spacing w:after="60" w:line="276"/>
      </w:pPr>
      <w:r>
        <w:rPr>
          <w:rFonts w:ascii="Calibri" w:cs="Calibri" w:eastAsia="Calibri" w:hAnsi="Calibri"/>
          <w:color w:val="333333"/>
          <w:sz w:val="24"/>
          <w:szCs w:val="24"/>
        </w:rPr>
        <w:t xml:space="preserve">Use of removable storage media (USB drives, external hard drives, SD cards) is prohibited unless explicitly approved by the Security Leader with documented business justification.</w:t>
      </w:r>
    </w:p>
    <w:p>
      <w:pPr>
        <w:pStyle w:val="ListParagraph"/>
        <w:numPr>
          <w:ilvl w:val="0"/>
          <w:numId w:val="1"/>
        </w:numPr>
        <w:spacing w:after="60" w:line="276"/>
      </w:pPr>
      <w:r>
        <w:rPr>
          <w:rFonts w:ascii="Calibri" w:cs="Calibri" w:eastAsia="Calibri" w:hAnsi="Calibri"/>
          <w:color w:val="333333"/>
          <w:sz w:val="24"/>
          <w:szCs w:val="24"/>
        </w:rPr>
        <w:t xml:space="preserve">Approved removable media shall be encrypted and scanned for malware before connection to Company systems.</w:t>
      </w:r>
    </w:p>
    <w:p>
      <w:pPr>
        <w:pStyle w:val="ListParagraph"/>
        <w:numPr>
          <w:ilvl w:val="0"/>
          <w:numId w:val="1"/>
        </w:numPr>
        <w:spacing w:after="60" w:line="276"/>
      </w:pPr>
      <w:r>
        <w:rPr>
          <w:rFonts w:ascii="Calibri" w:cs="Calibri" w:eastAsia="Calibri" w:hAnsi="Calibri"/>
          <w:color w:val="333333"/>
          <w:sz w:val="24"/>
          <w:szCs w:val="24"/>
        </w:rPr>
        <w:t xml:space="preserve">Peripheral port controls (USB, Thunderbolt) shall be managed through endpoint management policies.</w:t>
      </w:r>
    </w:p>
    <w:p>
      <w:pPr>
        <w:pStyle w:val="Heading2"/>
        <w:spacing w:after="80" w:before="280"/>
      </w:pPr>
      <w:r>
        <w:rPr>
          <w:rFonts w:ascii="Calibri" w:cs="Calibri" w:eastAsia="Calibri" w:hAnsi="Calibri"/>
          <w:b/>
          <w:bCs/>
          <w:color w:val="2E5090"/>
          <w:sz w:val="24"/>
          <w:szCs w:val="24"/>
        </w:rPr>
        <w:t xml:space="preserve">7.4 Secure Disposal</w:t>
      </w:r>
    </w:p>
    <w:p>
      <w:pPr>
        <w:pStyle w:val="ListParagraph"/>
        <w:numPr>
          <w:ilvl w:val="0"/>
          <w:numId w:val="1"/>
        </w:numPr>
        <w:spacing w:after="60" w:line="276"/>
      </w:pPr>
      <w:r>
        <w:rPr>
          <w:rFonts w:ascii="Calibri" w:cs="Calibri" w:eastAsia="Calibri" w:hAnsi="Calibri"/>
          <w:color w:val="333333"/>
          <w:sz w:val="24"/>
          <w:szCs w:val="24"/>
        </w:rPr>
        <w:t xml:space="preserve">All endpoints and storage media shall be securely wiped or physically destroyed before disposal, donation, or reassignment using methods appropriate to the data classification.</w:t>
      </w:r>
    </w:p>
    <w:p>
      <w:pPr>
        <w:pStyle w:val="ListParagraph"/>
        <w:numPr>
          <w:ilvl w:val="0"/>
          <w:numId w:val="1"/>
        </w:numPr>
        <w:spacing w:after="60" w:line="276"/>
      </w:pPr>
      <w:r>
        <w:rPr>
          <w:rFonts w:ascii="Calibri" w:cs="Calibri" w:eastAsia="Calibri" w:hAnsi="Calibri"/>
          <w:color w:val="333333"/>
          <w:sz w:val="24"/>
          <w:szCs w:val="24"/>
        </w:rPr>
        <w:t xml:space="preserve">Certificates of destruction shall be obtained and retained for Confidential and Restricted media.</w:t>
      </w:r>
    </w:p>
    <w:p>
      <w:r>
        <w:br w:type="page"/>
      </w:r>
    </w:p>
    <w:p>
      <w:pPr>
        <w:pStyle w:val="Heading1"/>
        <w:spacing w:after="120" w:before="360"/>
      </w:pPr>
      <w:r>
        <w:rPr>
          <w:rFonts w:ascii="Calibri" w:cs="Calibri" w:eastAsia="Calibri" w:hAnsi="Calibri"/>
          <w:b/>
          <w:bCs/>
          <w:color w:val="1B2A4A"/>
          <w:sz w:val="28"/>
          <w:szCs w:val="28"/>
        </w:rPr>
        <w:t xml:space="preserve">8. Application Security and Secure Development</w:t>
      </w:r>
    </w:p>
    <w:p>
      <w:pPr>
        <w:pStyle w:val="Heading2"/>
        <w:spacing w:after="80" w:before="280"/>
      </w:pPr>
      <w:r>
        <w:rPr>
          <w:rFonts w:ascii="Calibri" w:cs="Calibri" w:eastAsia="Calibri" w:hAnsi="Calibri"/>
          <w:b/>
          <w:bCs/>
          <w:color w:val="2E5090"/>
          <w:sz w:val="24"/>
          <w:szCs w:val="24"/>
        </w:rPr>
        <w:t xml:space="preserve">8.1 Secure Development Lifecycle (SDLC)</w:t>
      </w:r>
    </w:p>
    <w:p>
      <w:pPr>
        <w:spacing w:after="120" w:line="276"/>
      </w:pPr>
      <w:r>
        <w:rPr>
          <w:rFonts w:ascii="Calibri" w:cs="Calibri" w:eastAsia="Calibri" w:hAnsi="Calibri"/>
          <w:color w:val="333333"/>
          <w:sz w:val="24"/>
          <w:szCs w:val="24"/>
        </w:rPr>
        <w:t xml:space="preserve">All software developed by or for the Company shall follow a secure development lifecycle that includes:</w:t>
      </w:r>
    </w:p>
    <w:p>
      <w:pPr>
        <w:pStyle w:val="ListParagraph"/>
        <w:numPr>
          <w:ilvl w:val="0"/>
          <w:numId w:val="1"/>
        </w:numPr>
        <w:spacing w:after="60" w:line="276"/>
      </w:pPr>
      <w:r>
        <w:rPr>
          <w:rFonts w:ascii="Calibri" w:cs="Calibri" w:eastAsia="Calibri" w:hAnsi="Calibri"/>
          <w:color w:val="333333"/>
          <w:sz w:val="24"/>
          <w:szCs w:val="24"/>
        </w:rPr>
        <w:t xml:space="preserve">Security requirements definition during design, proportionate to risk and data sensitivity;</w:t>
      </w:r>
    </w:p>
    <w:p>
      <w:pPr>
        <w:pStyle w:val="ListParagraph"/>
        <w:numPr>
          <w:ilvl w:val="0"/>
          <w:numId w:val="1"/>
        </w:numPr>
        <w:spacing w:after="60" w:line="276"/>
      </w:pPr>
      <w:r>
        <w:rPr>
          <w:rFonts w:ascii="Calibri" w:cs="Calibri" w:eastAsia="Calibri" w:hAnsi="Calibri"/>
          <w:color w:val="333333"/>
          <w:sz w:val="24"/>
          <w:szCs w:val="24"/>
        </w:rPr>
        <w:t xml:space="preserve">Threat modeling and architecture review for new systems and material changes;</w:t>
      </w:r>
    </w:p>
    <w:p>
      <w:pPr>
        <w:pStyle w:val="ListParagraph"/>
        <w:numPr>
          <w:ilvl w:val="0"/>
          <w:numId w:val="1"/>
        </w:numPr>
        <w:spacing w:after="60" w:line="276"/>
      </w:pPr>
      <w:r>
        <w:rPr>
          <w:rFonts w:ascii="Calibri" w:cs="Calibri" w:eastAsia="Calibri" w:hAnsi="Calibri"/>
          <w:color w:val="333333"/>
          <w:sz w:val="24"/>
          <w:szCs w:val="24"/>
        </w:rPr>
        <w:t xml:space="preserve">Secure coding standards aligned with OWASP or equivalent industry guidance;</w:t>
      </w:r>
    </w:p>
    <w:p>
      <w:pPr>
        <w:pStyle w:val="ListParagraph"/>
        <w:numPr>
          <w:ilvl w:val="0"/>
          <w:numId w:val="1"/>
        </w:numPr>
        <w:spacing w:after="60" w:line="276"/>
      </w:pPr>
      <w:r>
        <w:rPr>
          <w:rFonts w:ascii="Calibri" w:cs="Calibri" w:eastAsia="Calibri" w:hAnsi="Calibri"/>
          <w:color w:val="333333"/>
          <w:sz w:val="24"/>
          <w:szCs w:val="24"/>
        </w:rPr>
        <w:t xml:space="preserve">Mandatory code review (peer review or automated) before merge to protected branches;</w:t>
      </w:r>
    </w:p>
    <w:p>
      <w:pPr>
        <w:pStyle w:val="ListParagraph"/>
        <w:numPr>
          <w:ilvl w:val="0"/>
          <w:numId w:val="1"/>
        </w:numPr>
        <w:spacing w:after="60" w:line="276"/>
      </w:pPr>
      <w:r>
        <w:rPr>
          <w:rFonts w:ascii="Calibri" w:cs="Calibri" w:eastAsia="Calibri" w:hAnsi="Calibri"/>
          <w:color w:val="333333"/>
          <w:sz w:val="24"/>
          <w:szCs w:val="24"/>
        </w:rPr>
        <w:t xml:space="preserve">Static application security testing (SAST) integrated into CI/CD pipelines;</w:t>
      </w:r>
    </w:p>
    <w:p>
      <w:pPr>
        <w:pStyle w:val="ListParagraph"/>
        <w:numPr>
          <w:ilvl w:val="0"/>
          <w:numId w:val="1"/>
        </w:numPr>
        <w:spacing w:after="60" w:line="276"/>
      </w:pPr>
      <w:r>
        <w:rPr>
          <w:rFonts w:ascii="Calibri" w:cs="Calibri" w:eastAsia="Calibri" w:hAnsi="Calibri"/>
          <w:color w:val="333333"/>
          <w:sz w:val="24"/>
          <w:szCs w:val="24"/>
        </w:rPr>
        <w:t xml:space="preserve">Dynamic application security testing (DAST) performed prior to production release;</w:t>
      </w:r>
    </w:p>
    <w:p>
      <w:pPr>
        <w:pStyle w:val="ListParagraph"/>
        <w:numPr>
          <w:ilvl w:val="0"/>
          <w:numId w:val="1"/>
        </w:numPr>
        <w:spacing w:after="60" w:line="276"/>
      </w:pPr>
      <w:r>
        <w:rPr>
          <w:rFonts w:ascii="Calibri" w:cs="Calibri" w:eastAsia="Calibri" w:hAnsi="Calibri"/>
          <w:color w:val="333333"/>
          <w:sz w:val="24"/>
          <w:szCs w:val="24"/>
        </w:rPr>
        <w:t xml:space="preserve">Software composition analysis (SCA) and dependency scanning to identify vulnerable or outdated libraries;</w:t>
      </w:r>
    </w:p>
    <w:p>
      <w:pPr>
        <w:pStyle w:val="ListParagraph"/>
        <w:numPr>
          <w:ilvl w:val="0"/>
          <w:numId w:val="1"/>
        </w:numPr>
        <w:spacing w:after="60" w:line="276"/>
      </w:pPr>
      <w:r>
        <w:rPr>
          <w:rFonts w:ascii="Calibri" w:cs="Calibri" w:eastAsia="Calibri" w:hAnsi="Calibri"/>
          <w:color w:val="333333"/>
          <w:sz w:val="24"/>
          <w:szCs w:val="24"/>
        </w:rPr>
        <w:t xml:space="preserve">Secrets scanning to prevent credentials, API keys, or tokens from entering source code repositories; and</w:t>
      </w:r>
    </w:p>
    <w:p>
      <w:pPr>
        <w:pStyle w:val="ListParagraph"/>
        <w:numPr>
          <w:ilvl w:val="0"/>
          <w:numId w:val="1"/>
        </w:numPr>
        <w:spacing w:after="60" w:line="276"/>
      </w:pPr>
      <w:r>
        <w:rPr>
          <w:rFonts w:ascii="Calibri" w:cs="Calibri" w:eastAsia="Calibri" w:hAnsi="Calibri"/>
          <w:color w:val="333333"/>
          <w:sz w:val="24"/>
          <w:szCs w:val="24"/>
        </w:rPr>
        <w:t xml:space="preserve">Software Bill of Materials (SBOM) generation and maintenance for production applications.</w:t>
      </w:r>
    </w:p>
    <w:p>
      <w:pPr>
        <w:pStyle w:val="Heading2"/>
        <w:spacing w:after="80" w:before="280"/>
      </w:pPr>
      <w:r>
        <w:rPr>
          <w:rFonts w:ascii="Calibri" w:cs="Calibri" w:eastAsia="Calibri" w:hAnsi="Calibri"/>
          <w:b/>
          <w:bCs/>
          <w:color w:val="2E5090"/>
          <w:sz w:val="24"/>
          <w:szCs w:val="24"/>
        </w:rPr>
        <w:t xml:space="preserve">8.2 Environment Separation</w:t>
      </w:r>
    </w:p>
    <w:p>
      <w:pPr>
        <w:pStyle w:val="ListParagraph"/>
        <w:numPr>
          <w:ilvl w:val="0"/>
          <w:numId w:val="1"/>
        </w:numPr>
        <w:spacing w:after="60" w:line="276"/>
      </w:pPr>
      <w:r>
        <w:rPr>
          <w:rFonts w:ascii="Calibri" w:cs="Calibri" w:eastAsia="Calibri" w:hAnsi="Calibri"/>
          <w:color w:val="333333"/>
          <w:sz w:val="24"/>
          <w:szCs w:val="24"/>
        </w:rPr>
        <w:t xml:space="preserve">Development, staging, and production environments shall be logically and, where feasible, physically separated.</w:t>
      </w:r>
    </w:p>
    <w:p>
      <w:pPr>
        <w:pStyle w:val="ListParagraph"/>
        <w:numPr>
          <w:ilvl w:val="0"/>
          <w:numId w:val="1"/>
        </w:numPr>
        <w:spacing w:after="60" w:line="276"/>
      </w:pPr>
      <w:r>
        <w:rPr>
          <w:rFonts w:ascii="Calibri" w:cs="Calibri" w:eastAsia="Calibri" w:hAnsi="Calibri"/>
          <w:color w:val="333333"/>
          <w:sz w:val="24"/>
          <w:szCs w:val="24"/>
        </w:rPr>
        <w:t xml:space="preserve">Production data shall not be used in development or testing without explicit approval, documented justification, and appropriate anonymization or masking.</w:t>
      </w:r>
    </w:p>
    <w:p>
      <w:pPr>
        <w:pStyle w:val="ListParagraph"/>
        <w:numPr>
          <w:ilvl w:val="0"/>
          <w:numId w:val="1"/>
        </w:numPr>
        <w:spacing w:after="60" w:line="276"/>
      </w:pPr>
      <w:r>
        <w:rPr>
          <w:rFonts w:ascii="Calibri" w:cs="Calibri" w:eastAsia="Calibri" w:hAnsi="Calibri"/>
          <w:color w:val="333333"/>
          <w:sz w:val="24"/>
          <w:szCs w:val="24"/>
        </w:rPr>
        <w:t xml:space="preserve">Access to production environments shall be restricted and subject to privileged access controls per Section 5.4.</w:t>
      </w:r>
    </w:p>
    <w:p>
      <w:pPr>
        <w:pStyle w:val="Heading2"/>
        <w:spacing w:after="80" w:before="280"/>
      </w:pPr>
      <w:r>
        <w:rPr>
          <w:rFonts w:ascii="Calibri" w:cs="Calibri" w:eastAsia="Calibri" w:hAnsi="Calibri"/>
          <w:b/>
          <w:bCs/>
          <w:color w:val="2E5090"/>
          <w:sz w:val="24"/>
          <w:szCs w:val="24"/>
        </w:rPr>
        <w:t xml:space="preserve">8.3 Change Management</w:t>
      </w:r>
    </w:p>
    <w:p>
      <w:pPr>
        <w:pStyle w:val="ListParagraph"/>
        <w:numPr>
          <w:ilvl w:val="0"/>
          <w:numId w:val="1"/>
        </w:numPr>
        <w:spacing w:after="60" w:line="276"/>
      </w:pPr>
      <w:r>
        <w:rPr>
          <w:rFonts w:ascii="Calibri" w:cs="Calibri" w:eastAsia="Calibri" w:hAnsi="Calibri"/>
          <w:color w:val="333333"/>
          <w:sz w:val="24"/>
          <w:szCs w:val="24"/>
        </w:rPr>
        <w:t xml:space="preserve">All changes to production systems shall follow the Change Management Procedure, including risk assessment, testing, approval, rollback plan, and post-implementation review.</w:t>
      </w:r>
    </w:p>
    <w:p>
      <w:pPr>
        <w:pStyle w:val="ListParagraph"/>
        <w:numPr>
          <w:ilvl w:val="0"/>
          <w:numId w:val="1"/>
        </w:numPr>
        <w:spacing w:after="60" w:line="276"/>
      </w:pPr>
      <w:r>
        <w:rPr>
          <w:rFonts w:ascii="Calibri" w:cs="Calibri" w:eastAsia="Calibri" w:hAnsi="Calibri"/>
          <w:color w:val="333333"/>
          <w:sz w:val="24"/>
          <w:szCs w:val="24"/>
        </w:rPr>
        <w:t xml:space="preserve">Emergency changes require post-hoc documentation and review within [5 BUSINESS DAYS].</w:t>
      </w:r>
    </w:p>
    <w:p>
      <w:pPr>
        <w:pStyle w:val="Heading2"/>
        <w:spacing w:after="80" w:before="280"/>
      </w:pPr>
      <w:r>
        <w:rPr>
          <w:rFonts w:ascii="Calibri" w:cs="Calibri" w:eastAsia="Calibri" w:hAnsi="Calibri"/>
          <w:b/>
          <w:bCs/>
          <w:color w:val="2E5090"/>
          <w:sz w:val="24"/>
          <w:szCs w:val="24"/>
        </w:rPr>
        <w:t xml:space="preserve">8.4 Vulnerability Management</w:t>
      </w:r>
    </w:p>
    <w:p>
      <w:pPr>
        <w:pStyle w:val="ListParagraph"/>
        <w:numPr>
          <w:ilvl w:val="0"/>
          <w:numId w:val="1"/>
        </w:numPr>
        <w:spacing w:after="60" w:line="276"/>
      </w:pPr>
      <w:r>
        <w:rPr>
          <w:rFonts w:ascii="Calibri" w:cs="Calibri" w:eastAsia="Calibri" w:hAnsi="Calibri"/>
          <w:color w:val="333333"/>
          <w:sz w:val="24"/>
          <w:szCs w:val="24"/>
        </w:rPr>
        <w:t xml:space="preserve">Vulnerability scanning shall be performed at least [MONTHLY] on all internet-facing systems and [QUARTERLY] on internal systems.</w:t>
      </w:r>
    </w:p>
    <w:p>
      <w:pPr>
        <w:pStyle w:val="ListParagraph"/>
        <w:numPr>
          <w:ilvl w:val="0"/>
          <w:numId w:val="1"/>
        </w:numPr>
        <w:spacing w:after="60" w:line="276"/>
      </w:pPr>
      <w:r>
        <w:rPr>
          <w:rFonts w:ascii="Calibri" w:cs="Calibri" w:eastAsia="Calibri" w:hAnsi="Calibri"/>
          <w:color w:val="333333"/>
          <w:sz w:val="24"/>
          <w:szCs w:val="24"/>
        </w:rPr>
        <w:t xml:space="preserve">Penetration testing shall be performed at least [ANNUALLY] by qualified internal or external resources, with scope covering critical applications and infrastructure.</w:t>
      </w:r>
    </w:p>
    <w:p>
      <w:pPr>
        <w:pStyle w:val="ListParagraph"/>
        <w:numPr>
          <w:ilvl w:val="0"/>
          <w:numId w:val="1"/>
        </w:numPr>
        <w:spacing w:after="60" w:line="276"/>
      </w:pPr>
      <w:r>
        <w:rPr>
          <w:rFonts w:ascii="Calibri" w:cs="Calibri" w:eastAsia="Calibri" w:hAnsi="Calibri"/>
          <w:color w:val="333333"/>
          <w:sz w:val="24"/>
          <w:szCs w:val="24"/>
        </w:rPr>
        <w:t xml:space="preserve">Remediation timelines shall follow the Vulnerability Severity Standard:</w:t>
      </w:r>
    </w:p>
    <w:p>
      <w:pPr>
        <w:pStyle w:val="ListParagraph"/>
        <w:numPr>
          <w:ilvl w:val="1"/>
          <w:numId w:val="1"/>
        </w:numPr>
        <w:spacing w:after="40" w:line="276"/>
      </w:pPr>
      <w:r>
        <w:rPr>
          <w:rFonts w:ascii="Calibri" w:cs="Calibri" w:eastAsia="Calibri" w:hAnsi="Calibri"/>
          <w:color w:val="333333"/>
          <w:sz w:val="24"/>
          <w:szCs w:val="24"/>
        </w:rPr>
        <w:t xml:space="preserve">Critical (CVSS 9.0–10.0): Remediate or mitigate within [7 DAYS]</w:t>
      </w:r>
    </w:p>
    <w:p>
      <w:pPr>
        <w:pStyle w:val="ListParagraph"/>
        <w:numPr>
          <w:ilvl w:val="1"/>
          <w:numId w:val="1"/>
        </w:numPr>
        <w:spacing w:after="40" w:line="276"/>
      </w:pPr>
      <w:r>
        <w:rPr>
          <w:rFonts w:ascii="Calibri" w:cs="Calibri" w:eastAsia="Calibri" w:hAnsi="Calibri"/>
          <w:color w:val="333333"/>
          <w:sz w:val="24"/>
          <w:szCs w:val="24"/>
        </w:rPr>
        <w:t xml:space="preserve">High (CVSS 7.0–8.9): Remediate within [30 DAYS]</w:t>
      </w:r>
    </w:p>
    <w:p>
      <w:pPr>
        <w:pStyle w:val="ListParagraph"/>
        <w:numPr>
          <w:ilvl w:val="1"/>
          <w:numId w:val="1"/>
        </w:numPr>
        <w:spacing w:after="40" w:line="276"/>
      </w:pPr>
      <w:r>
        <w:rPr>
          <w:rFonts w:ascii="Calibri" w:cs="Calibri" w:eastAsia="Calibri" w:hAnsi="Calibri"/>
          <w:color w:val="333333"/>
          <w:sz w:val="24"/>
          <w:szCs w:val="24"/>
        </w:rPr>
        <w:t xml:space="preserve">Medium (CVSS 4.0–6.9): Remediate within [90 DAYS]</w:t>
      </w:r>
    </w:p>
    <w:p>
      <w:pPr>
        <w:pStyle w:val="ListParagraph"/>
        <w:numPr>
          <w:ilvl w:val="1"/>
          <w:numId w:val="1"/>
        </w:numPr>
        <w:spacing w:after="40" w:line="276"/>
      </w:pPr>
      <w:r>
        <w:rPr>
          <w:rFonts w:ascii="Calibri" w:cs="Calibri" w:eastAsia="Calibri" w:hAnsi="Calibri"/>
          <w:color w:val="333333"/>
          <w:sz w:val="24"/>
          <w:szCs w:val="24"/>
        </w:rPr>
        <w:t xml:space="preserve">Low (CVSS 0.1–3.9): Remediate within [180 DAYS] or accept with documentation</w:t>
      </w:r>
    </w:p>
    <w:p>
      <w:pPr>
        <w:pStyle w:val="ListParagraph"/>
        <w:numPr>
          <w:ilvl w:val="0"/>
          <w:numId w:val="1"/>
        </w:numPr>
        <w:spacing w:after="60" w:line="276"/>
      </w:pPr>
      <w:r>
        <w:rPr>
          <w:rFonts w:ascii="Calibri" w:cs="Calibri" w:eastAsia="Calibri" w:hAnsi="Calibri"/>
          <w:color w:val="333333"/>
          <w:sz w:val="24"/>
          <w:szCs w:val="24"/>
        </w:rPr>
        <w:t xml:space="preserve">Vulnerabilities without available vendor patches shall trigger isolation, configuration-based mitigation, enhanced monitoring, documented risk acceptance by the business owner, and review cadence with expiration.</w:t>
      </w:r>
    </w:p>
    <w:p>
      <w:pPr>
        <w:pStyle w:val="ListParagraph"/>
        <w:numPr>
          <w:ilvl w:val="0"/>
          <w:numId w:val="1"/>
        </w:numPr>
        <w:spacing w:after="60" w:line="276"/>
      </w:pPr>
      <w:r>
        <w:rPr>
          <w:rFonts w:ascii="Calibri" w:cs="Calibri" w:eastAsia="Calibri" w:hAnsi="Calibri"/>
          <w:color w:val="333333"/>
          <w:sz w:val="24"/>
          <w:szCs w:val="24"/>
        </w:rPr>
        <w:t xml:space="preserve">AI-generated code shall be subject to the same review, testing, and scanning controls as human-authored code.</w:t>
      </w:r>
    </w:p>
    <w:p>
      <w:pPr>
        <w:pStyle w:val="Heading2"/>
        <w:spacing w:after="80" w:before="280"/>
      </w:pPr>
      <w:r>
        <w:rPr>
          <w:rFonts w:ascii="Calibri" w:cs="Calibri" w:eastAsia="Calibri" w:hAnsi="Calibri"/>
          <w:b/>
          <w:bCs/>
          <w:color w:val="2E5090"/>
          <w:sz w:val="24"/>
          <w:szCs w:val="24"/>
        </w:rPr>
        <w:t xml:space="preserve">8.5 Responsible Disclosure</w:t>
      </w:r>
    </w:p>
    <w:p>
      <w:pPr>
        <w:spacing w:after="120" w:line="276"/>
      </w:pPr>
      <w:r>
        <w:rPr>
          <w:rFonts w:ascii="Calibri" w:cs="Calibri" w:eastAsia="Calibri" w:hAnsi="Calibri"/>
          <w:color w:val="333333"/>
          <w:sz w:val="24"/>
          <w:szCs w:val="24"/>
        </w:rPr>
        <w:t xml:space="preserve">The Company maintains a responsible vulnerability disclosure program. External reports shall be directed to [SECURITY CONTACT EMAIL]. Submissions will be acknowledged within [5 BUSINESS DAYS] and assessed for severity and remediation.</w:t>
      </w:r>
    </w:p>
    <w:p>
      <w:r>
        <w:br w:type="page"/>
      </w:r>
    </w:p>
    <w:p>
      <w:pPr>
        <w:pStyle w:val="Heading1"/>
        <w:spacing w:after="120" w:before="360"/>
      </w:pPr>
      <w:r>
        <w:rPr>
          <w:rFonts w:ascii="Calibri" w:cs="Calibri" w:eastAsia="Calibri" w:hAnsi="Calibri"/>
          <w:b/>
          <w:bCs/>
          <w:color w:val="1B2A4A"/>
          <w:sz w:val="28"/>
          <w:szCs w:val="28"/>
        </w:rPr>
        <w:t xml:space="preserve">9. Data Protection</w:t>
      </w:r>
    </w:p>
    <w:p>
      <w:pPr>
        <w:pStyle w:val="Heading2"/>
        <w:spacing w:after="80" w:before="280"/>
      </w:pPr>
      <w:r>
        <w:rPr>
          <w:rFonts w:ascii="Calibri" w:cs="Calibri" w:eastAsia="Calibri" w:hAnsi="Calibri"/>
          <w:b/>
          <w:bCs/>
          <w:color w:val="2E5090"/>
          <w:sz w:val="24"/>
          <w:szCs w:val="24"/>
        </w:rPr>
        <w:t xml:space="preserve">9.1 Encryption</w:t>
      </w:r>
    </w:p>
    <w:p>
      <w:pPr>
        <w:pStyle w:val="ListParagraph"/>
        <w:numPr>
          <w:ilvl w:val="0"/>
          <w:numId w:val="1"/>
        </w:numPr>
        <w:spacing w:after="60" w:line="276"/>
      </w:pPr>
      <w:r>
        <w:rPr>
          <w:rFonts w:ascii="Calibri" w:cs="Calibri" w:eastAsia="Calibri" w:hAnsi="Calibri"/>
          <w:b/>
          <w:bCs/>
          <w:color w:val="333333"/>
          <w:sz w:val="24"/>
          <w:szCs w:val="24"/>
        </w:rPr>
        <w:t xml:space="preserve">Data at Rest:</w:t>
      </w:r>
      <w:r>
        <w:rPr>
          <w:rFonts w:ascii="Calibri" w:cs="Calibri" w:eastAsia="Calibri" w:hAnsi="Calibri"/>
          <w:color w:val="333333"/>
          <w:sz w:val="24"/>
          <w:szCs w:val="24"/>
        </w:rPr>
        <w:t xml:space="preserve"> All Confidential and Restricted data shall be encrypted at rest using AES-256 or equivalent. Encryption keys shall be managed through a centralized key management system with separation of duties between key custodians and data custodians.</w:t>
      </w:r>
    </w:p>
    <w:p>
      <w:pPr>
        <w:pStyle w:val="ListParagraph"/>
        <w:numPr>
          <w:ilvl w:val="0"/>
          <w:numId w:val="1"/>
        </w:numPr>
        <w:spacing w:after="60" w:line="276"/>
      </w:pPr>
      <w:r>
        <w:rPr>
          <w:rFonts w:ascii="Calibri" w:cs="Calibri" w:eastAsia="Calibri" w:hAnsi="Calibri"/>
          <w:b/>
          <w:bCs/>
          <w:color w:val="333333"/>
          <w:sz w:val="24"/>
          <w:szCs w:val="24"/>
        </w:rPr>
        <w:t xml:space="preserve">Data in Transit:</w:t>
      </w:r>
      <w:r>
        <w:rPr>
          <w:rFonts w:ascii="Calibri" w:cs="Calibri" w:eastAsia="Calibri" w:hAnsi="Calibri"/>
          <w:color w:val="333333"/>
          <w:sz w:val="24"/>
          <w:szCs w:val="24"/>
        </w:rPr>
        <w:t xml:space="preserve"> All data transmitted over networks shall be encrypted using TLS 1.2 or higher. Deprecated protocols (SSL, TLS 1.0, TLS 1.1) are prohibited. Restricted data requires end-to-end encryption using approved methods.</w:t>
      </w:r>
    </w:p>
    <w:p>
      <w:pPr>
        <w:pStyle w:val="ListParagraph"/>
        <w:numPr>
          <w:ilvl w:val="0"/>
          <w:numId w:val="1"/>
        </w:numPr>
        <w:spacing w:after="60" w:line="276"/>
      </w:pPr>
      <w:r>
        <w:rPr>
          <w:rFonts w:ascii="Calibri" w:cs="Calibri" w:eastAsia="Calibri" w:hAnsi="Calibri"/>
          <w:b/>
          <w:bCs/>
          <w:color w:val="333333"/>
          <w:sz w:val="24"/>
          <w:szCs w:val="24"/>
        </w:rPr>
        <w:t xml:space="preserve">Key Management:</w:t>
      </w:r>
      <w:r>
        <w:rPr>
          <w:rFonts w:ascii="Calibri" w:cs="Calibri" w:eastAsia="Calibri" w:hAnsi="Calibri"/>
          <w:color w:val="333333"/>
          <w:sz w:val="24"/>
          <w:szCs w:val="24"/>
        </w:rPr>
        <w:t xml:space="preserve"> Encryption keys shall be generated, stored, rotated, and destroyed in accordance with the Key Management Standard. Key rotation shall occur at least [ANNUALLY] or upon suspected compromise.</w:t>
      </w:r>
    </w:p>
    <w:p>
      <w:pPr>
        <w:pStyle w:val="Heading2"/>
        <w:spacing w:after="80" w:before="280"/>
      </w:pPr>
      <w:r>
        <w:rPr>
          <w:rFonts w:ascii="Calibri" w:cs="Calibri" w:eastAsia="Calibri" w:hAnsi="Calibri"/>
          <w:b/>
          <w:bCs/>
          <w:color w:val="2E5090"/>
          <w:sz w:val="24"/>
          <w:szCs w:val="24"/>
        </w:rPr>
        <w:t xml:space="preserve">9.2 Data Loss Prevention (DLP)</w:t>
      </w:r>
    </w:p>
    <w:p>
      <w:pPr>
        <w:pStyle w:val="ListParagraph"/>
        <w:numPr>
          <w:ilvl w:val="0"/>
          <w:numId w:val="1"/>
        </w:numPr>
        <w:spacing w:after="60" w:line="276"/>
      </w:pPr>
      <w:r>
        <w:rPr>
          <w:rFonts w:ascii="Calibri" w:cs="Calibri" w:eastAsia="Calibri" w:hAnsi="Calibri"/>
          <w:color w:val="333333"/>
          <w:sz w:val="24"/>
          <w:szCs w:val="24"/>
        </w:rPr>
        <w:t xml:space="preserve">DLP controls shall be deployed to monitor, detect, and prevent unauthorized exfiltration of Confidential and Restricted data across email, web, cloud storage, endpoints, and removable media.</w:t>
      </w:r>
    </w:p>
    <w:p>
      <w:pPr>
        <w:pStyle w:val="ListParagraph"/>
        <w:numPr>
          <w:ilvl w:val="0"/>
          <w:numId w:val="1"/>
        </w:numPr>
        <w:spacing w:after="60" w:line="276"/>
      </w:pPr>
      <w:r>
        <w:rPr>
          <w:rFonts w:ascii="Calibri" w:cs="Calibri" w:eastAsia="Calibri" w:hAnsi="Calibri"/>
          <w:color w:val="333333"/>
          <w:sz w:val="24"/>
          <w:szCs w:val="24"/>
        </w:rPr>
        <w:t xml:space="preserve">DLP policies shall be tuned to minimize false positives; false-positive rates shall be tracked and reported as a security metric.</w:t>
      </w:r>
    </w:p>
    <w:p>
      <w:pPr>
        <w:pStyle w:val="ListParagraph"/>
        <w:numPr>
          <w:ilvl w:val="0"/>
          <w:numId w:val="1"/>
        </w:numPr>
        <w:spacing w:after="60" w:line="276"/>
      </w:pPr>
      <w:r>
        <w:rPr>
          <w:rFonts w:ascii="Calibri" w:cs="Calibri" w:eastAsia="Calibri" w:hAnsi="Calibri"/>
          <w:color w:val="333333"/>
          <w:sz w:val="24"/>
          <w:szCs w:val="24"/>
        </w:rPr>
        <w:t xml:space="preserve">DLP alerts shall be triaged and investigated according to the Incident Response Procedure.</w:t>
      </w:r>
    </w:p>
    <w:p>
      <w:pPr>
        <w:pStyle w:val="Heading2"/>
        <w:spacing w:after="80" w:before="280"/>
      </w:pPr>
      <w:r>
        <w:rPr>
          <w:rFonts w:ascii="Calibri" w:cs="Calibri" w:eastAsia="Calibri" w:hAnsi="Calibri"/>
          <w:b/>
          <w:bCs/>
          <w:color w:val="2E5090"/>
          <w:sz w:val="24"/>
          <w:szCs w:val="24"/>
        </w:rPr>
        <w:t xml:space="preserve">9.3 Backup and Recovery</w:t>
      </w:r>
    </w:p>
    <w:p>
      <w:pPr>
        <w:pStyle w:val="ListParagraph"/>
        <w:numPr>
          <w:ilvl w:val="0"/>
          <w:numId w:val="1"/>
        </w:numPr>
        <w:spacing w:after="60" w:line="276"/>
      </w:pPr>
      <w:r>
        <w:rPr>
          <w:rFonts w:ascii="Calibri" w:cs="Calibri" w:eastAsia="Calibri" w:hAnsi="Calibri"/>
          <w:color w:val="333333"/>
          <w:sz w:val="24"/>
          <w:szCs w:val="24"/>
        </w:rPr>
        <w:t xml:space="preserve">Critical data and systems shall be backed up according to the Backup Standard, with frequency and retention aligned to Recovery Point Objectives (RPO) defined in the Business Continuity Plan (Exhibit C).</w:t>
      </w:r>
    </w:p>
    <w:p>
      <w:pPr>
        <w:pStyle w:val="ListParagraph"/>
        <w:numPr>
          <w:ilvl w:val="0"/>
          <w:numId w:val="1"/>
        </w:numPr>
        <w:spacing w:after="60" w:line="276"/>
      </w:pPr>
      <w:r>
        <w:rPr>
          <w:rFonts w:ascii="Calibri" w:cs="Calibri" w:eastAsia="Calibri" w:hAnsi="Calibri"/>
          <w:color w:val="333333"/>
          <w:sz w:val="24"/>
          <w:szCs w:val="24"/>
        </w:rPr>
        <w:t xml:space="preserve">Backups shall be encrypted, stored in geographically separate locations, and include at least one immutable or offline copy for Restricted data.</w:t>
      </w:r>
    </w:p>
    <w:p>
      <w:pPr>
        <w:pStyle w:val="ListParagraph"/>
        <w:numPr>
          <w:ilvl w:val="0"/>
          <w:numId w:val="1"/>
        </w:numPr>
        <w:spacing w:after="60" w:line="276"/>
      </w:pPr>
      <w:r>
        <w:rPr>
          <w:rFonts w:ascii="Calibri" w:cs="Calibri" w:eastAsia="Calibri" w:hAnsi="Calibri"/>
          <w:color w:val="333333"/>
          <w:sz w:val="24"/>
          <w:szCs w:val="24"/>
        </w:rPr>
        <w:t xml:space="preserve">Backup restoration shall be tested at least [QUARTERLY] to validate recoverability. Tests shall verify not only backup job success but actual data restoration, application functionality, dependencies, and recovery time.</w:t>
      </w:r>
    </w:p>
    <w:p>
      <w:pPr>
        <w:pStyle w:val="ListParagraph"/>
        <w:numPr>
          <w:ilvl w:val="0"/>
          <w:numId w:val="1"/>
        </w:numPr>
        <w:spacing w:after="60" w:line="276"/>
      </w:pPr>
      <w:r>
        <w:rPr>
          <w:rFonts w:ascii="Calibri" w:cs="Calibri" w:eastAsia="Calibri" w:hAnsi="Calibri"/>
          <w:color w:val="333333"/>
          <w:sz w:val="24"/>
          <w:szCs w:val="24"/>
        </w:rPr>
        <w:t xml:space="preserve">Backup credentials and decryption keys shall be stored separately from the backup media with documented recovery procedures.</w:t>
      </w:r>
    </w:p>
    <w:p>
      <w:pPr>
        <w:pStyle w:val="Heading2"/>
        <w:spacing w:after="80" w:before="280"/>
      </w:pPr>
      <w:r>
        <w:rPr>
          <w:rFonts w:ascii="Calibri" w:cs="Calibri" w:eastAsia="Calibri" w:hAnsi="Calibri"/>
          <w:b/>
          <w:bCs/>
          <w:color w:val="2E5090"/>
          <w:sz w:val="24"/>
          <w:szCs w:val="24"/>
        </w:rPr>
        <w:t xml:space="preserve">9.4 Data Retention and Destruction</w:t>
      </w:r>
    </w:p>
    <w:p>
      <w:pPr>
        <w:pStyle w:val="ListParagraph"/>
        <w:numPr>
          <w:ilvl w:val="0"/>
          <w:numId w:val="1"/>
        </w:numPr>
        <w:spacing w:after="60" w:line="276"/>
      </w:pPr>
      <w:r>
        <w:rPr>
          <w:rFonts w:ascii="Calibri" w:cs="Calibri" w:eastAsia="Calibri" w:hAnsi="Calibri"/>
          <w:color w:val="333333"/>
          <w:sz w:val="24"/>
          <w:szCs w:val="24"/>
        </w:rPr>
        <w:t xml:space="preserve">Data shall be retained in accordance with the Records Retention Schedule and applicable legal, regulatory, and contractual requirements.</w:t>
      </w:r>
    </w:p>
    <w:p>
      <w:pPr>
        <w:pStyle w:val="ListParagraph"/>
        <w:numPr>
          <w:ilvl w:val="0"/>
          <w:numId w:val="1"/>
        </w:numPr>
        <w:spacing w:after="60" w:line="276"/>
      </w:pPr>
      <w:r>
        <w:rPr>
          <w:rFonts w:ascii="Calibri" w:cs="Calibri" w:eastAsia="Calibri" w:hAnsi="Calibri"/>
          <w:color w:val="333333"/>
          <w:sz w:val="24"/>
          <w:szCs w:val="24"/>
        </w:rPr>
        <w:t xml:space="preserve">Data subject to legal hold shall be preserved regardless of retention schedule until the hold is released by Legal.</w:t>
      </w:r>
    </w:p>
    <w:p>
      <w:pPr>
        <w:pStyle w:val="ListParagraph"/>
        <w:numPr>
          <w:ilvl w:val="0"/>
          <w:numId w:val="1"/>
        </w:numPr>
        <w:spacing w:after="60" w:line="276"/>
      </w:pPr>
      <w:r>
        <w:rPr>
          <w:rFonts w:ascii="Calibri" w:cs="Calibri" w:eastAsia="Calibri" w:hAnsi="Calibri"/>
          <w:color w:val="333333"/>
          <w:sz w:val="24"/>
          <w:szCs w:val="24"/>
        </w:rPr>
        <w:t xml:space="preserve">Data past its retention period shall be securely destroyed using methods appropriate to its classification, as specified in the Data Classification Matrix (Table 1).</w:t>
      </w:r>
    </w:p>
    <w:p>
      <w:r>
        <w:br w:type="page"/>
      </w:r>
    </w:p>
    <w:p>
      <w:pPr>
        <w:pStyle w:val="Heading1"/>
        <w:spacing w:after="120" w:before="360"/>
      </w:pPr>
      <w:r>
        <w:rPr>
          <w:rFonts w:ascii="Calibri" w:cs="Calibri" w:eastAsia="Calibri" w:hAnsi="Calibri"/>
          <w:b/>
          <w:bCs/>
          <w:color w:val="1B2A4A"/>
          <w:sz w:val="28"/>
          <w:szCs w:val="28"/>
        </w:rPr>
        <w:t xml:space="preserve">10. Cloud and Third-Party Security</w:t>
      </w:r>
    </w:p>
    <w:p>
      <w:pPr>
        <w:pStyle w:val="Heading2"/>
        <w:spacing w:after="80" w:before="280"/>
      </w:pPr>
      <w:r>
        <w:rPr>
          <w:rFonts w:ascii="Calibri" w:cs="Calibri" w:eastAsia="Calibri" w:hAnsi="Calibri"/>
          <w:b/>
          <w:bCs/>
          <w:color w:val="2E5090"/>
          <w:sz w:val="24"/>
          <w:szCs w:val="24"/>
        </w:rPr>
        <w:t xml:space="preserve">10.1 Cloud Security</w:t>
      </w:r>
    </w:p>
    <w:p>
      <w:pPr>
        <w:pStyle w:val="ListParagraph"/>
        <w:numPr>
          <w:ilvl w:val="0"/>
          <w:numId w:val="1"/>
        </w:numPr>
        <w:spacing w:after="60" w:line="276"/>
      </w:pPr>
      <w:r>
        <w:rPr>
          <w:rFonts w:ascii="Calibri" w:cs="Calibri" w:eastAsia="Calibri" w:hAnsi="Calibri"/>
          <w:color w:val="333333"/>
          <w:sz w:val="24"/>
          <w:szCs w:val="24"/>
        </w:rPr>
        <w:t xml:space="preserve">Cloud services shall be approved by [IT / SECURITY] before adoption, with risk assessment proportionate to data classification and business criticality.</w:t>
      </w:r>
    </w:p>
    <w:p>
      <w:pPr>
        <w:pStyle w:val="ListParagraph"/>
        <w:numPr>
          <w:ilvl w:val="0"/>
          <w:numId w:val="1"/>
        </w:numPr>
        <w:spacing w:after="60" w:line="276"/>
      </w:pPr>
      <w:r>
        <w:rPr>
          <w:rFonts w:ascii="Calibri" w:cs="Calibri" w:eastAsia="Calibri" w:hAnsi="Calibri"/>
          <w:color w:val="333333"/>
          <w:sz w:val="24"/>
          <w:szCs w:val="24"/>
        </w:rPr>
        <w:t xml:space="preserve">Cloud configurations shall follow hardening baselines (e.g., CIS Benchmarks) and be monitored through cloud security posture management (CSPM) tools where implemented.</w:t>
      </w:r>
    </w:p>
    <w:p>
      <w:pPr>
        <w:pStyle w:val="ListParagraph"/>
        <w:numPr>
          <w:ilvl w:val="0"/>
          <w:numId w:val="1"/>
        </w:numPr>
        <w:spacing w:after="60" w:line="276"/>
      </w:pPr>
      <w:r>
        <w:rPr>
          <w:rFonts w:ascii="Calibri" w:cs="Calibri" w:eastAsia="Calibri" w:hAnsi="Calibri"/>
          <w:color w:val="333333"/>
          <w:sz w:val="24"/>
          <w:szCs w:val="24"/>
        </w:rPr>
        <w:t xml:space="preserve">Cloud identity and access shall follow the same principles as Section 5, including MFA, least privilege, and privileged access management for cloud administrative consoles.</w:t>
      </w:r>
    </w:p>
    <w:p>
      <w:pPr>
        <w:pStyle w:val="ListParagraph"/>
        <w:numPr>
          <w:ilvl w:val="0"/>
          <w:numId w:val="1"/>
        </w:numPr>
        <w:spacing w:after="60" w:line="276"/>
      </w:pPr>
      <w:r>
        <w:rPr>
          <w:rFonts w:ascii="Calibri" w:cs="Calibri" w:eastAsia="Calibri" w:hAnsi="Calibri"/>
          <w:color w:val="333333"/>
          <w:sz w:val="24"/>
          <w:szCs w:val="24"/>
        </w:rPr>
        <w:t xml:space="preserve">Shadow IT—unapproved cloud services and SaaS applications—is prohibited. A cloud service inventory shall be maintained.</w:t>
      </w:r>
    </w:p>
    <w:p>
      <w:pPr>
        <w:pStyle w:val="Heading2"/>
        <w:spacing w:after="80" w:before="280"/>
      </w:pPr>
      <w:r>
        <w:rPr>
          <w:rFonts w:ascii="Calibri" w:cs="Calibri" w:eastAsia="Calibri" w:hAnsi="Calibri"/>
          <w:b/>
          <w:bCs/>
          <w:color w:val="2E5090"/>
          <w:sz w:val="24"/>
          <w:szCs w:val="24"/>
        </w:rPr>
        <w:t xml:space="preserve">10.2 Vendor and Supply Chain Risk Management</w:t>
      </w:r>
    </w:p>
    <w:p>
      <w:pPr>
        <w:spacing w:after="120" w:line="276"/>
      </w:pPr>
      <w:r>
        <w:rPr>
          <w:rFonts w:ascii="Calibri" w:cs="Calibri" w:eastAsia="Calibri" w:hAnsi="Calibri"/>
          <w:color w:val="333333"/>
          <w:sz w:val="24"/>
          <w:szCs w:val="24"/>
        </w:rPr>
        <w:t xml:space="preserve">Before a vendor or third party accesses Company systems or processes Company information, the responsible Asset Owner shall:</w:t>
      </w:r>
    </w:p>
    <w:p>
      <w:pPr>
        <w:pStyle w:val="ListParagraph"/>
        <w:numPr>
          <w:ilvl w:val="0"/>
          <w:numId w:val="1"/>
        </w:numPr>
        <w:spacing w:after="60" w:line="276"/>
      </w:pPr>
      <w:r>
        <w:rPr>
          <w:rFonts w:ascii="Calibri" w:cs="Calibri" w:eastAsia="Calibri" w:hAnsi="Calibri"/>
          <w:color w:val="333333"/>
          <w:sz w:val="24"/>
          <w:szCs w:val="24"/>
        </w:rPr>
        <w:t xml:space="preserve">Assign a Vendor Risk Tier based on data access, system connectivity, criticality, and regulatory implications;</w:t>
      </w:r>
    </w:p>
    <w:p>
      <w:pPr>
        <w:pStyle w:val="ListParagraph"/>
        <w:numPr>
          <w:ilvl w:val="0"/>
          <w:numId w:val="1"/>
        </w:numPr>
        <w:spacing w:after="60" w:line="276"/>
      </w:pPr>
      <w:r>
        <w:rPr>
          <w:rFonts w:ascii="Calibri" w:cs="Calibri" w:eastAsia="Calibri" w:hAnsi="Calibri"/>
          <w:color w:val="333333"/>
          <w:sz w:val="24"/>
          <w:szCs w:val="24"/>
        </w:rPr>
        <w:t xml:space="preserve">Complete risk-based due diligence proportionate to the assigned tier, using the Vendor Security Checklist (Exhibit F);</w:t>
      </w:r>
    </w:p>
    <w:p>
      <w:pPr>
        <w:pStyle w:val="ListParagraph"/>
        <w:numPr>
          <w:ilvl w:val="0"/>
          <w:numId w:val="1"/>
        </w:numPr>
        <w:spacing w:after="60" w:line="276"/>
      </w:pPr>
      <w:r>
        <w:rPr>
          <w:rFonts w:ascii="Calibri" w:cs="Calibri" w:eastAsia="Calibri" w:hAnsi="Calibri"/>
          <w:color w:val="333333"/>
          <w:sz w:val="24"/>
          <w:szCs w:val="24"/>
        </w:rPr>
        <w:t xml:space="preserve">Obtain contractual security and privacy terms proportionate to risk, including at minimum: confidentiality, data protection, incident notification, audit rights, subprocessor restrictions, and data return/destruction at exit;</w:t>
      </w:r>
    </w:p>
    <w:p>
      <w:pPr>
        <w:pStyle w:val="ListParagraph"/>
        <w:numPr>
          <w:ilvl w:val="0"/>
          <w:numId w:val="1"/>
        </w:numPr>
        <w:spacing w:after="60" w:line="276"/>
      </w:pPr>
      <w:r>
        <w:rPr>
          <w:rFonts w:ascii="Calibri" w:cs="Calibri" w:eastAsia="Calibri" w:hAnsi="Calibri"/>
          <w:color w:val="333333"/>
          <w:sz w:val="24"/>
          <w:szCs w:val="24"/>
        </w:rPr>
        <w:t xml:space="preserve">Minimize and monitor vendor access to Company systems and data;</w:t>
      </w:r>
    </w:p>
    <w:p>
      <w:pPr>
        <w:pStyle w:val="ListParagraph"/>
        <w:numPr>
          <w:ilvl w:val="0"/>
          <w:numId w:val="1"/>
        </w:numPr>
        <w:spacing w:after="60" w:line="276"/>
      </w:pPr>
      <w:r>
        <w:rPr>
          <w:rFonts w:ascii="Calibri" w:cs="Calibri" w:eastAsia="Calibri" w:hAnsi="Calibri"/>
          <w:color w:val="333333"/>
          <w:sz w:val="24"/>
          <w:szCs w:val="24"/>
        </w:rPr>
        <w:t xml:space="preserve">Require contractual notice and risk review before vendors add or change subprocessors, with objection or termination rights where negotiated; and</w:t>
      </w:r>
    </w:p>
    <w:p>
      <w:pPr>
        <w:pStyle w:val="ListParagraph"/>
        <w:numPr>
          <w:ilvl w:val="0"/>
          <w:numId w:val="1"/>
        </w:numPr>
        <w:spacing w:after="60" w:line="276"/>
      </w:pPr>
      <w:r>
        <w:rPr>
          <w:rFonts w:ascii="Calibri" w:cs="Calibri" w:eastAsia="Calibri" w:hAnsi="Calibri"/>
          <w:color w:val="333333"/>
          <w:sz w:val="24"/>
          <w:szCs w:val="24"/>
        </w:rPr>
        <w:t xml:space="preserve">Conduct periodic evidence review for high-risk vendors at least [ANNUALLY].</w:t>
      </w:r>
    </w:p>
    <w:p>
      <w:pPr>
        <w:pStyle w:val="Heading2"/>
        <w:spacing w:after="80" w:before="280"/>
      </w:pPr>
      <w:r>
        <w:rPr>
          <w:rFonts w:ascii="Calibri" w:cs="Calibri" w:eastAsia="Calibri" w:hAnsi="Calibri"/>
          <w:b/>
          <w:bCs/>
          <w:color w:val="2E5090"/>
          <w:sz w:val="24"/>
          <w:szCs w:val="24"/>
        </w:rPr>
        <w:t xml:space="preserve">10.3 Vendor Lifecycle Management</w:t>
      </w:r>
    </w:p>
    <w:p>
      <w:pPr>
        <w:pStyle w:val="ListParagraph"/>
        <w:numPr>
          <w:ilvl w:val="0"/>
          <w:numId w:val="1"/>
        </w:numPr>
        <w:spacing w:after="60" w:line="276"/>
      </w:pPr>
      <w:r>
        <w:rPr>
          <w:rFonts w:ascii="Calibri" w:cs="Calibri" w:eastAsia="Calibri" w:hAnsi="Calibri"/>
          <w:color w:val="333333"/>
          <w:sz w:val="24"/>
          <w:szCs w:val="24"/>
        </w:rPr>
        <w:t xml:space="preserve">Vendor risk assessments shall be updated upon contract renewal, material change in scope, or security incident.</w:t>
      </w:r>
    </w:p>
    <w:p>
      <w:pPr>
        <w:pStyle w:val="ListParagraph"/>
        <w:numPr>
          <w:ilvl w:val="0"/>
          <w:numId w:val="1"/>
        </w:numPr>
        <w:spacing w:after="60" w:line="276"/>
      </w:pPr>
      <w:r>
        <w:rPr>
          <w:rFonts w:ascii="Calibri" w:cs="Calibri" w:eastAsia="Calibri" w:hAnsi="Calibri"/>
          <w:color w:val="333333"/>
          <w:sz w:val="24"/>
          <w:szCs w:val="24"/>
        </w:rPr>
        <w:t xml:space="preserve">Upon vendor exit, all Company data and access shall be returned or securely destroyed, with written confirmation.</w:t>
      </w:r>
    </w:p>
    <w:p>
      <w:pPr>
        <w:pStyle w:val="ListParagraph"/>
        <w:numPr>
          <w:ilvl w:val="0"/>
          <w:numId w:val="1"/>
        </w:numPr>
        <w:spacing w:after="60" w:line="276"/>
      </w:pPr>
      <w:r>
        <w:rPr>
          <w:rFonts w:ascii="Calibri" w:cs="Calibri" w:eastAsia="Calibri" w:hAnsi="Calibri"/>
          <w:color w:val="333333"/>
          <w:sz w:val="24"/>
          <w:szCs w:val="24"/>
        </w:rPr>
        <w:t xml:space="preserve">The vendor inventory shall track risk tier, data categories, contract expiration, last assessment date, and responsible owner.</w:t>
      </w:r>
    </w:p>
    <w:p>
      <w:r>
        <w:br w:type="page"/>
      </w:r>
    </w:p>
    <w:p>
      <w:pPr>
        <w:pStyle w:val="Heading1"/>
        <w:spacing w:after="120" w:before="360"/>
      </w:pPr>
      <w:r>
        <w:rPr>
          <w:rFonts w:ascii="Calibri" w:cs="Calibri" w:eastAsia="Calibri" w:hAnsi="Calibri"/>
          <w:b/>
          <w:bCs/>
          <w:color w:val="1B2A4A"/>
          <w:sz w:val="28"/>
          <w:szCs w:val="28"/>
        </w:rPr>
        <w:t xml:space="preserve">11. Physical Security</w:t>
      </w:r>
    </w:p>
    <w:p>
      <w:pPr>
        <w:pStyle w:val="Heading2"/>
        <w:spacing w:after="80" w:before="280"/>
      </w:pPr>
      <w:r>
        <w:rPr>
          <w:rFonts w:ascii="Calibri" w:cs="Calibri" w:eastAsia="Calibri" w:hAnsi="Calibri"/>
          <w:b/>
          <w:bCs/>
          <w:color w:val="2E5090"/>
          <w:sz w:val="24"/>
          <w:szCs w:val="24"/>
        </w:rPr>
        <w:t xml:space="preserve">11.1 Facility Access</w:t>
      </w:r>
    </w:p>
    <w:p>
      <w:pPr>
        <w:pStyle w:val="ListParagraph"/>
        <w:numPr>
          <w:ilvl w:val="0"/>
          <w:numId w:val="1"/>
        </w:numPr>
        <w:spacing w:after="60" w:line="276"/>
      </w:pPr>
      <w:r>
        <w:rPr>
          <w:rFonts w:ascii="Calibri" w:cs="Calibri" w:eastAsia="Calibri" w:hAnsi="Calibri"/>
          <w:color w:val="333333"/>
          <w:sz w:val="24"/>
          <w:szCs w:val="24"/>
        </w:rPr>
        <w:t xml:space="preserve">Physical access to Company facilities shall be controlled through access cards, keys, biometrics, or equivalent mechanisms appropriate to the facility’s risk classification.</w:t>
      </w:r>
    </w:p>
    <w:p>
      <w:pPr>
        <w:pStyle w:val="ListParagraph"/>
        <w:numPr>
          <w:ilvl w:val="0"/>
          <w:numId w:val="1"/>
        </w:numPr>
        <w:spacing w:after="60" w:line="276"/>
      </w:pPr>
      <w:r>
        <w:rPr>
          <w:rFonts w:ascii="Calibri" w:cs="Calibri" w:eastAsia="Calibri" w:hAnsi="Calibri"/>
          <w:color w:val="333333"/>
          <w:sz w:val="24"/>
          <w:szCs w:val="24"/>
        </w:rPr>
        <w:t xml:space="preserve">Visitor access shall require sign-in, identification, escort, and sign-out. Visitor logs shall be retained for [12 MONTHS].</w:t>
      </w:r>
    </w:p>
    <w:p>
      <w:pPr>
        <w:pStyle w:val="ListParagraph"/>
        <w:numPr>
          <w:ilvl w:val="0"/>
          <w:numId w:val="1"/>
        </w:numPr>
        <w:spacing w:after="60" w:line="276"/>
      </w:pPr>
      <w:r>
        <w:rPr>
          <w:rFonts w:ascii="Calibri" w:cs="Calibri" w:eastAsia="Calibri" w:hAnsi="Calibri"/>
          <w:color w:val="333333"/>
          <w:sz w:val="24"/>
          <w:szCs w:val="24"/>
        </w:rPr>
        <w:t xml:space="preserve">Server rooms, data centers, network closets, and other restricted areas shall require additional access controls, logging, and monitoring (e.g., CCTV, intrusion detection).</w:t>
      </w:r>
    </w:p>
    <w:p>
      <w:pPr>
        <w:pStyle w:val="ListParagraph"/>
        <w:numPr>
          <w:ilvl w:val="0"/>
          <w:numId w:val="1"/>
        </w:numPr>
        <w:spacing w:after="60" w:line="276"/>
      </w:pPr>
      <w:r>
        <w:rPr>
          <w:rFonts w:ascii="Calibri" w:cs="Calibri" w:eastAsia="Calibri" w:hAnsi="Calibri"/>
          <w:color w:val="333333"/>
          <w:sz w:val="24"/>
          <w:szCs w:val="24"/>
        </w:rPr>
        <w:t xml:space="preserve">Physical access rights shall be reviewed at least [ANNUALLY] and revoked promptly upon separation or role change.</w:t>
      </w:r>
    </w:p>
    <w:p>
      <w:pPr>
        <w:pStyle w:val="Heading2"/>
        <w:spacing w:after="80" w:before="280"/>
      </w:pPr>
      <w:r>
        <w:rPr>
          <w:rFonts w:ascii="Calibri" w:cs="Calibri" w:eastAsia="Calibri" w:hAnsi="Calibri"/>
          <w:b/>
          <w:bCs/>
          <w:color w:val="2E5090"/>
          <w:sz w:val="24"/>
          <w:szCs w:val="24"/>
        </w:rPr>
        <w:t xml:space="preserve">11.2 Clean Desk and Screen</w:t>
      </w:r>
    </w:p>
    <w:p>
      <w:pPr>
        <w:pStyle w:val="ListParagraph"/>
        <w:numPr>
          <w:ilvl w:val="0"/>
          <w:numId w:val="1"/>
        </w:numPr>
        <w:spacing w:after="60" w:line="276"/>
      </w:pPr>
      <w:r>
        <w:rPr>
          <w:rFonts w:ascii="Calibri" w:cs="Calibri" w:eastAsia="Calibri" w:hAnsi="Calibri"/>
          <w:color w:val="333333"/>
          <w:sz w:val="24"/>
          <w:szCs w:val="24"/>
        </w:rPr>
        <w:t xml:space="preserve">Workforce members shall secure Confidential and Restricted information when unattended: lock screens, close applications, and store physical documents in locked containers.</w:t>
      </w:r>
    </w:p>
    <w:p>
      <w:pPr>
        <w:pStyle w:val="ListParagraph"/>
        <w:numPr>
          <w:ilvl w:val="0"/>
          <w:numId w:val="1"/>
        </w:numPr>
        <w:spacing w:after="60" w:line="276"/>
      </w:pPr>
      <w:r>
        <w:rPr>
          <w:rFonts w:ascii="Calibri" w:cs="Calibri" w:eastAsia="Calibri" w:hAnsi="Calibri"/>
          <w:color w:val="333333"/>
          <w:sz w:val="24"/>
          <w:szCs w:val="24"/>
        </w:rPr>
        <w:t xml:space="preserve">Whiteboards and shared displays shall be erased after meetings involving sensitive information.</w:t>
      </w:r>
    </w:p>
    <w:p>
      <w:pPr>
        <w:pStyle w:val="Heading2"/>
        <w:spacing w:after="80" w:before="280"/>
      </w:pPr>
      <w:r>
        <w:rPr>
          <w:rFonts w:ascii="Calibri" w:cs="Calibri" w:eastAsia="Calibri" w:hAnsi="Calibri"/>
          <w:b/>
          <w:bCs/>
          <w:color w:val="2E5090"/>
          <w:sz w:val="24"/>
          <w:szCs w:val="24"/>
        </w:rPr>
        <w:t xml:space="preserve">11.3 Environmental Controls</w:t>
      </w:r>
    </w:p>
    <w:p>
      <w:pPr>
        <w:pStyle w:val="ListParagraph"/>
        <w:numPr>
          <w:ilvl w:val="0"/>
          <w:numId w:val="1"/>
        </w:numPr>
        <w:spacing w:after="60" w:line="276"/>
      </w:pPr>
      <w:r>
        <w:rPr>
          <w:rFonts w:ascii="Calibri" w:cs="Calibri" w:eastAsia="Calibri" w:hAnsi="Calibri"/>
          <w:color w:val="333333"/>
          <w:sz w:val="24"/>
          <w:szCs w:val="24"/>
        </w:rPr>
        <w:t xml:space="preserve">Critical infrastructure (server rooms, network equipment) shall be protected with appropriate environmental controls including fire suppression, temperature and humidity monitoring, uninterruptible power supply (UPS), and water detection.</w:t>
      </w:r>
    </w:p>
    <w:p>
      <w:r>
        <w:br w:type="page"/>
      </w:r>
    </w:p>
    <w:p>
      <w:pPr>
        <w:pStyle w:val="Heading1"/>
        <w:spacing w:after="120" w:before="360"/>
      </w:pPr>
      <w:r>
        <w:rPr>
          <w:rFonts w:ascii="Calibri" w:cs="Calibri" w:eastAsia="Calibri" w:hAnsi="Calibri"/>
          <w:b/>
          <w:bCs/>
          <w:color w:val="1B2A4A"/>
          <w:sz w:val="28"/>
          <w:szCs w:val="28"/>
        </w:rPr>
        <w:t xml:space="preserve">12. Incident Response and Reporting</w:t>
      </w:r>
    </w:p>
    <w:p>
      <w:pPr>
        <w:pStyle w:val="Heading2"/>
        <w:spacing w:after="80" w:before="280"/>
      </w:pPr>
      <w:r>
        <w:rPr>
          <w:rFonts w:ascii="Calibri" w:cs="Calibri" w:eastAsia="Calibri" w:hAnsi="Calibri"/>
          <w:b/>
          <w:bCs/>
          <w:color w:val="2E5090"/>
          <w:sz w:val="24"/>
          <w:szCs w:val="24"/>
        </w:rPr>
        <w:t xml:space="preserve">12.1 Reporting Obligations</w:t>
      </w:r>
    </w:p>
    <w:p>
      <w:pPr>
        <w:spacing w:after="120" w:line="276"/>
      </w:pPr>
      <w:r>
        <w:rPr>
          <w:rFonts w:ascii="Calibri" w:cs="Calibri" w:eastAsia="Calibri" w:hAnsi="Calibri"/>
          <w:color w:val="333333"/>
          <w:sz w:val="24"/>
          <w:szCs w:val="24"/>
        </w:rPr>
        <w:t xml:space="preserve">All workforce members shall report suspected or actual security incidents immediately through [INCIDENT REPORTING CHANNEL — e.g., email, hotline, ticketing system]. Reportable events include:</w:t>
      </w:r>
    </w:p>
    <w:p>
      <w:pPr>
        <w:pStyle w:val="ListParagraph"/>
        <w:numPr>
          <w:ilvl w:val="0"/>
          <w:numId w:val="1"/>
        </w:numPr>
        <w:spacing w:after="60" w:line="276"/>
      </w:pPr>
      <w:r>
        <w:rPr>
          <w:rFonts w:ascii="Calibri" w:cs="Calibri" w:eastAsia="Calibri" w:hAnsi="Calibri"/>
          <w:color w:val="333333"/>
          <w:sz w:val="24"/>
          <w:szCs w:val="24"/>
        </w:rPr>
        <w:t xml:space="preserve">Suspected or confirmed unauthorized access to information or systems;</w:t>
      </w:r>
    </w:p>
    <w:p>
      <w:pPr>
        <w:pStyle w:val="ListParagraph"/>
        <w:numPr>
          <w:ilvl w:val="0"/>
          <w:numId w:val="1"/>
        </w:numPr>
        <w:spacing w:after="60" w:line="276"/>
      </w:pPr>
      <w:r>
        <w:rPr>
          <w:rFonts w:ascii="Calibri" w:cs="Calibri" w:eastAsia="Calibri" w:hAnsi="Calibri"/>
          <w:color w:val="333333"/>
          <w:sz w:val="24"/>
          <w:szCs w:val="24"/>
        </w:rPr>
        <w:t xml:space="preserve">Loss or theft of Company devices, media, or physical documents;</w:t>
      </w:r>
    </w:p>
    <w:p>
      <w:pPr>
        <w:pStyle w:val="ListParagraph"/>
        <w:numPr>
          <w:ilvl w:val="0"/>
          <w:numId w:val="1"/>
        </w:numPr>
        <w:spacing w:after="60" w:line="276"/>
      </w:pPr>
      <w:r>
        <w:rPr>
          <w:rFonts w:ascii="Calibri" w:cs="Calibri" w:eastAsia="Calibri" w:hAnsi="Calibri"/>
          <w:color w:val="333333"/>
          <w:sz w:val="24"/>
          <w:szCs w:val="24"/>
        </w:rPr>
        <w:t xml:space="preserve">Malware infection, ransomware, or unusual system behavior;</w:t>
      </w:r>
    </w:p>
    <w:p>
      <w:pPr>
        <w:pStyle w:val="ListParagraph"/>
        <w:numPr>
          <w:ilvl w:val="0"/>
          <w:numId w:val="1"/>
        </w:numPr>
        <w:spacing w:after="60" w:line="276"/>
      </w:pPr>
      <w:r>
        <w:rPr>
          <w:rFonts w:ascii="Calibri" w:cs="Calibri" w:eastAsia="Calibri" w:hAnsi="Calibri"/>
          <w:color w:val="333333"/>
          <w:sz w:val="24"/>
          <w:szCs w:val="24"/>
        </w:rPr>
        <w:t xml:space="preserve">Credential compromise or suspected phishing;</w:t>
      </w:r>
    </w:p>
    <w:p>
      <w:pPr>
        <w:pStyle w:val="ListParagraph"/>
        <w:numPr>
          <w:ilvl w:val="0"/>
          <w:numId w:val="1"/>
        </w:numPr>
        <w:spacing w:after="60" w:line="276"/>
      </w:pPr>
      <w:r>
        <w:rPr>
          <w:rFonts w:ascii="Calibri" w:cs="Calibri" w:eastAsia="Calibri" w:hAnsi="Calibri"/>
          <w:color w:val="333333"/>
          <w:sz w:val="24"/>
          <w:szCs w:val="24"/>
        </w:rPr>
        <w:t xml:space="preserve">Misdirected emails or documents containing Confidential or Restricted information;</w:t>
      </w:r>
    </w:p>
    <w:p>
      <w:pPr>
        <w:pStyle w:val="ListParagraph"/>
        <w:numPr>
          <w:ilvl w:val="0"/>
          <w:numId w:val="1"/>
        </w:numPr>
        <w:spacing w:after="60" w:line="276"/>
      </w:pPr>
      <w:r>
        <w:rPr>
          <w:rFonts w:ascii="Calibri" w:cs="Calibri" w:eastAsia="Calibri" w:hAnsi="Calibri"/>
          <w:color w:val="333333"/>
          <w:sz w:val="24"/>
          <w:szCs w:val="24"/>
        </w:rPr>
        <w:t xml:space="preserve">Physical security breaches; and</w:t>
      </w:r>
    </w:p>
    <w:p>
      <w:pPr>
        <w:pStyle w:val="ListParagraph"/>
        <w:numPr>
          <w:ilvl w:val="0"/>
          <w:numId w:val="1"/>
        </w:numPr>
        <w:spacing w:after="60" w:line="276"/>
      </w:pPr>
      <w:r>
        <w:rPr>
          <w:rFonts w:ascii="Calibri" w:cs="Calibri" w:eastAsia="Calibri" w:hAnsi="Calibri"/>
          <w:color w:val="333333"/>
          <w:sz w:val="24"/>
          <w:szCs w:val="24"/>
        </w:rPr>
        <w:t xml:space="preserve">Any suspected violation of this Policy or subsidiary standards.</w:t>
      </w:r>
    </w:p>
    <w:p>
      <w:pPr>
        <w:spacing w:after="120" w:line="276"/>
      </w:pPr>
      <w:r>
        <w:rPr>
          <w:rFonts w:ascii="Calibri" w:cs="Calibri" w:eastAsia="Calibri" w:hAnsi="Calibri"/>
          <w:color w:val="333333"/>
          <w:sz w:val="24"/>
          <w:szCs w:val="24"/>
        </w:rPr>
        <w:t xml:space="preserve">Do not attempt to investigate, contain, or remediate beyond your authorization. Preserve evidence and await direction from the incident response team.</w:t>
      </w:r>
    </w:p>
    <w:p>
      <w:pPr>
        <w:pStyle w:val="Heading2"/>
        <w:spacing w:after="80" w:before="280"/>
      </w:pPr>
      <w:r>
        <w:rPr>
          <w:rFonts w:ascii="Calibri" w:cs="Calibri" w:eastAsia="Calibri" w:hAnsi="Calibri"/>
          <w:b/>
          <w:bCs/>
          <w:color w:val="2E5090"/>
          <w:sz w:val="24"/>
          <w:szCs w:val="24"/>
        </w:rPr>
        <w:t xml:space="preserve">12.2 Incident Response Process</w:t>
      </w:r>
    </w:p>
    <w:p>
      <w:pPr>
        <w:spacing w:after="120" w:line="276"/>
      </w:pPr>
      <w:r>
        <w:rPr>
          <w:rFonts w:ascii="Calibri" w:cs="Calibri" w:eastAsia="Calibri" w:hAnsi="Calibri"/>
          <w:color w:val="333333"/>
          <w:sz w:val="24"/>
          <w:szCs w:val="24"/>
        </w:rPr>
        <w:t xml:space="preserve">The Security Leader shall maintain and coordinate the Incident Response Plan (EF-025), which includes:</w:t>
      </w:r>
    </w:p>
    <w:p>
      <w:pPr>
        <w:pStyle w:val="ListParagraph"/>
        <w:numPr>
          <w:ilvl w:val="0"/>
          <w:numId w:val="1"/>
        </w:numPr>
        <w:spacing w:after="60" w:line="276"/>
      </w:pPr>
      <w:r>
        <w:rPr>
          <w:rFonts w:ascii="Calibri" w:cs="Calibri" w:eastAsia="Calibri" w:hAnsi="Calibri"/>
          <w:color w:val="333333"/>
          <w:sz w:val="24"/>
          <w:szCs w:val="24"/>
        </w:rPr>
        <w:t xml:space="preserve">Triage: Classify severity, assign response team, and establish communication channels.</w:t>
      </w:r>
    </w:p>
    <w:p>
      <w:pPr>
        <w:pStyle w:val="ListParagraph"/>
        <w:numPr>
          <w:ilvl w:val="0"/>
          <w:numId w:val="1"/>
        </w:numPr>
        <w:spacing w:after="60" w:line="276"/>
      </w:pPr>
      <w:r>
        <w:rPr>
          <w:rFonts w:ascii="Calibri" w:cs="Calibri" w:eastAsia="Calibri" w:hAnsi="Calibri"/>
          <w:color w:val="333333"/>
          <w:sz w:val="24"/>
          <w:szCs w:val="24"/>
        </w:rPr>
        <w:t xml:space="preserve">Containment: Isolate affected systems and prevent further damage while preserving evidence.</w:t>
      </w:r>
    </w:p>
    <w:p>
      <w:pPr>
        <w:pStyle w:val="ListParagraph"/>
        <w:numPr>
          <w:ilvl w:val="0"/>
          <w:numId w:val="1"/>
        </w:numPr>
        <w:spacing w:after="60" w:line="276"/>
      </w:pPr>
      <w:r>
        <w:rPr>
          <w:rFonts w:ascii="Calibri" w:cs="Calibri" w:eastAsia="Calibri" w:hAnsi="Calibri"/>
          <w:color w:val="333333"/>
          <w:sz w:val="24"/>
          <w:szCs w:val="24"/>
        </w:rPr>
        <w:t xml:space="preserve">Investigation: Determine root cause, scope, and impact with forensic analysis as appropriate.</w:t>
      </w:r>
    </w:p>
    <w:p>
      <w:pPr>
        <w:pStyle w:val="ListParagraph"/>
        <w:numPr>
          <w:ilvl w:val="0"/>
          <w:numId w:val="1"/>
        </w:numPr>
        <w:spacing w:after="60" w:line="276"/>
      </w:pPr>
      <w:r>
        <w:rPr>
          <w:rFonts w:ascii="Calibri" w:cs="Calibri" w:eastAsia="Calibri" w:hAnsi="Calibri"/>
          <w:color w:val="333333"/>
          <w:sz w:val="24"/>
          <w:szCs w:val="24"/>
        </w:rPr>
        <w:t xml:space="preserve">Legal and Privacy Review: Engage Legal/Privacy to assess notification obligations, privilege considerations, and regulatory requirements. Counsel shall control legal analysis where appropriate; operational facts remain accessible to the response team.</w:t>
      </w:r>
    </w:p>
    <w:p>
      <w:pPr>
        <w:pStyle w:val="ListParagraph"/>
        <w:numPr>
          <w:ilvl w:val="0"/>
          <w:numId w:val="1"/>
        </w:numPr>
        <w:spacing w:after="60" w:line="276"/>
      </w:pPr>
      <w:r>
        <w:rPr>
          <w:rFonts w:ascii="Calibri" w:cs="Calibri" w:eastAsia="Calibri" w:hAnsi="Calibri"/>
          <w:color w:val="333333"/>
          <w:sz w:val="24"/>
          <w:szCs w:val="24"/>
        </w:rPr>
        <w:t xml:space="preserve">Notification: Execute breach notification in accordance with the Notification Matrix (contractual and legal notice clocks), without waiting for perfect certainty when reasonable grounds exist.</w:t>
      </w:r>
    </w:p>
    <w:p>
      <w:pPr>
        <w:pStyle w:val="ListParagraph"/>
        <w:numPr>
          <w:ilvl w:val="0"/>
          <w:numId w:val="1"/>
        </w:numPr>
        <w:spacing w:after="60" w:line="276"/>
      </w:pPr>
      <w:r>
        <w:rPr>
          <w:rFonts w:ascii="Calibri" w:cs="Calibri" w:eastAsia="Calibri" w:hAnsi="Calibri"/>
          <w:color w:val="333333"/>
          <w:sz w:val="24"/>
          <w:szCs w:val="24"/>
        </w:rPr>
        <w:t xml:space="preserve">Recovery: Restore affected systems and services according to business continuity priorities.</w:t>
      </w:r>
    </w:p>
    <w:p>
      <w:pPr>
        <w:pStyle w:val="ListParagraph"/>
        <w:numPr>
          <w:ilvl w:val="0"/>
          <w:numId w:val="1"/>
        </w:numPr>
        <w:spacing w:after="60" w:line="276"/>
      </w:pPr>
      <w:r>
        <w:rPr>
          <w:rFonts w:ascii="Calibri" w:cs="Calibri" w:eastAsia="Calibri" w:hAnsi="Calibri"/>
          <w:color w:val="333333"/>
          <w:sz w:val="24"/>
          <w:szCs w:val="24"/>
        </w:rPr>
        <w:t xml:space="preserve">Post-Incident Review: Document lessons learned, corrective actions, and policy/standard updates within [30 DAYS].</w:t>
      </w:r>
    </w:p>
    <w:p>
      <w:pPr>
        <w:pStyle w:val="Heading3"/>
        <w:spacing w:after="60" w:before="200"/>
      </w:pPr>
      <w:r>
        <w:rPr>
          <w:rFonts w:ascii="Calibri" w:cs="Calibri" w:eastAsia="Calibri" w:hAnsi="Calibri"/>
          <w:b/>
          <w:bCs/>
          <w:color w:val="1B2A4A"/>
          <w:sz w:val="22"/>
          <w:szCs w:val="22"/>
        </w:rPr>
        <w:t xml:space="preserve">Table 3: Incident Severity Matrix</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tblGrid>
      <w:tr>
        <w:tc>
          <w:tcPr>
            <w:tcW w:type="dxa" w:w="1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Severity</w:t>
            </w:r>
          </w:p>
        </w:tc>
        <w:tc>
          <w:tcPr>
            <w:tcW w:type="dxa" w:w="1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Description</w:t>
            </w:r>
          </w:p>
        </w:tc>
        <w:tc>
          <w:tcPr>
            <w:tcW w:type="dxa" w:w="11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Response Time</w:t>
            </w:r>
          </w:p>
        </w:tc>
        <w:tc>
          <w:tcPr>
            <w:tcW w:type="dxa" w:w="16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Escalation</w:t>
            </w:r>
          </w:p>
        </w:tc>
        <w:tc>
          <w:tcPr>
            <w:tcW w:type="dxa" w:w="15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Notification</w:t>
            </w:r>
          </w:p>
        </w:tc>
        <w:tc>
          <w:tcPr>
            <w:tcW w:type="dxa" w:w="23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Examples</w:t>
            </w:r>
          </w:p>
        </w:tc>
      </w:tr>
      <w:tr>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Critical (S1)</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Active breach of Restricted data; systems critical to business operations compromised; regulatory reporting triggered</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Immediate (&lt; 1 hour)</w:t>
            </w:r>
          </w:p>
        </w:tc>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Executive + Legal + Board Committee</w:t>
            </w:r>
          </w:p>
        </w:tc>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Regulatory / contractual as required; [INSURANCE CARRIER]</w:t>
            </w:r>
          </w:p>
        </w:tc>
        <w:tc>
          <w:tcPr>
            <w:tcW w:type="dxa" w:w="23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Ransomware on production; confirmed PII/PHI/PCI breach; nation-state attack</w:t>
            </w:r>
          </w:p>
        </w:tc>
      </w:tr>
      <w:tr>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High (S2)</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Breach of Confidential data; significant system compromise; potential regulatory implications</w:t>
            </w:r>
          </w:p>
        </w:tc>
        <w:tc>
          <w:tcPr>
            <w:tcW w:type="dxa" w:w="11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&lt; 4 hours</w:t>
            </w:r>
          </w:p>
        </w:tc>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Security Leader + Executive + Legal</w:t>
            </w:r>
          </w:p>
        </w:tc>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Customer / contractual as applicable</w:t>
            </w:r>
          </w:p>
        </w:tc>
        <w:tc>
          <w:tcPr>
            <w:tcW w:type="dxa" w:w="23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Credential compromise with data access; malware outbreak; insider threat confirmed</w:t>
            </w:r>
          </w:p>
        </w:tc>
      </w:tr>
      <w:tr>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Medium (S3)</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Attempted breach; policy violation with limited impact; single-system compromise contained</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&lt; 24 hours</w:t>
            </w:r>
          </w:p>
        </w:tc>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Security Leader + IT Management</w:t>
            </w:r>
          </w:p>
        </w:tc>
        <w:tc>
          <w:tcPr>
            <w:tcW w:type="dxa" w:w="15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Internal only unless escalated</w:t>
            </w:r>
          </w:p>
        </w:tc>
        <w:tc>
          <w:tcPr>
            <w:tcW w:type="dxa" w:w="23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Phishing with credential entry (no data access); unauthorized software; lost encrypted device</w:t>
            </w:r>
          </w:p>
        </w:tc>
      </w:tr>
      <w:tr>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Low (S4)</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Minor policy violation; unsuccessful attack; security anomaly requiring investigation</w:t>
            </w:r>
          </w:p>
        </w:tc>
        <w:tc>
          <w:tcPr>
            <w:tcW w:type="dxa" w:w="11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&lt; 72 hours</w:t>
            </w:r>
          </w:p>
        </w:tc>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Security Operations</w:t>
            </w:r>
          </w:p>
        </w:tc>
        <w:tc>
          <w:tcPr>
            <w:tcW w:type="dxa" w:w="15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Internal only</w:t>
            </w:r>
          </w:p>
        </w:tc>
        <w:tc>
          <w:tcPr>
            <w:tcW w:type="dxa" w:w="23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Blocked malware; failed brute-force; misdirected non-sensitive email</w:t>
            </w:r>
          </w:p>
        </w:tc>
      </w:tr>
    </w:tbl>
    <w:p>
      <w:pPr>
        <w:pStyle w:val="Heading2"/>
        <w:spacing w:after="80" w:before="280"/>
      </w:pPr>
      <w:r>
        <w:rPr>
          <w:rFonts w:ascii="Calibri" w:cs="Calibri" w:eastAsia="Calibri" w:hAnsi="Calibri"/>
          <w:b/>
          <w:bCs/>
          <w:color w:val="2E5090"/>
          <w:sz w:val="24"/>
          <w:szCs w:val="24"/>
        </w:rPr>
        <w:t xml:space="preserve">12.3 Breach Notification</w:t>
      </w:r>
    </w:p>
    <w:p>
      <w:pPr>
        <w:spacing w:after="120" w:line="276"/>
      </w:pPr>
      <w:r>
        <w:rPr>
          <w:rFonts w:ascii="Calibri" w:cs="Calibri" w:eastAsia="Calibri" w:hAnsi="Calibri"/>
          <w:color w:val="333333"/>
          <w:sz w:val="24"/>
          <w:szCs w:val="24"/>
        </w:rPr>
        <w:t xml:space="preserve">The Company shall maintain a Notification Matrix that identifies, for each combination of data type, jurisdiction, and contractual obligation:</w:t>
      </w:r>
    </w:p>
    <w:p>
      <w:pPr>
        <w:pStyle w:val="ListParagraph"/>
        <w:numPr>
          <w:ilvl w:val="0"/>
          <w:numId w:val="1"/>
        </w:numPr>
        <w:spacing w:after="60" w:line="276"/>
      </w:pPr>
      <w:r>
        <w:rPr>
          <w:rFonts w:ascii="Calibri" w:cs="Calibri" w:eastAsia="Calibri" w:hAnsi="Calibri"/>
          <w:color w:val="333333"/>
          <w:sz w:val="24"/>
          <w:szCs w:val="24"/>
        </w:rPr>
        <w:t xml:space="preserve">The applicable notification trigger and timeline (e.g., state breach notification statutes);</w:t>
      </w:r>
    </w:p>
    <w:p>
      <w:pPr>
        <w:pStyle w:val="ListParagraph"/>
        <w:numPr>
          <w:ilvl w:val="0"/>
          <w:numId w:val="1"/>
        </w:numPr>
        <w:spacing w:after="60" w:line="276"/>
      </w:pPr>
      <w:r>
        <w:rPr>
          <w:rFonts w:ascii="Calibri" w:cs="Calibri" w:eastAsia="Calibri" w:hAnsi="Calibri"/>
          <w:color w:val="333333"/>
          <w:sz w:val="24"/>
          <w:szCs w:val="24"/>
        </w:rPr>
        <w:t xml:space="preserve">The responsible contact and approval authority;</w:t>
      </w:r>
    </w:p>
    <w:p>
      <w:pPr>
        <w:pStyle w:val="ListParagraph"/>
        <w:numPr>
          <w:ilvl w:val="0"/>
          <w:numId w:val="1"/>
        </w:numPr>
        <w:spacing w:after="60" w:line="276"/>
      </w:pPr>
      <w:r>
        <w:rPr>
          <w:rFonts w:ascii="Calibri" w:cs="Calibri" w:eastAsia="Calibri" w:hAnsi="Calibri"/>
          <w:color w:val="333333"/>
          <w:sz w:val="24"/>
          <w:szCs w:val="24"/>
        </w:rPr>
        <w:t xml:space="preserve">Notification content requirements and delivery method; and</w:t>
      </w:r>
    </w:p>
    <w:p>
      <w:pPr>
        <w:pStyle w:val="ListParagraph"/>
        <w:numPr>
          <w:ilvl w:val="0"/>
          <w:numId w:val="1"/>
        </w:numPr>
        <w:spacing w:after="60" w:line="276"/>
      </w:pPr>
      <w:r>
        <w:rPr>
          <w:rFonts w:ascii="Calibri" w:cs="Calibri" w:eastAsia="Calibri" w:hAnsi="Calibri"/>
          <w:color w:val="333333"/>
          <w:sz w:val="24"/>
          <w:szCs w:val="24"/>
        </w:rPr>
        <w:t xml:space="preserve">Customer, regulator, insurance, and law enforcement contacts.</w:t>
      </w:r>
    </w:p>
    <w:p>
      <w:pPr>
        <w:spacing w:after="120" w:line="276"/>
      </w:pPr>
      <w:r>
        <w:rPr>
          <w:rFonts w:ascii="Calibri" w:cs="Calibri" w:eastAsia="Calibri" w:hAnsi="Calibri"/>
          <w:color w:val="333333"/>
          <w:sz w:val="24"/>
          <w:szCs w:val="24"/>
        </w:rPr>
        <w:t xml:space="preserve">Notification decisions shall be documented and shall not wait for perfect certainty when reasonable grounds exist to believe a breach has occurred.</w:t>
      </w:r>
    </w:p>
    <w:p>
      <w:r>
        <w:br w:type="page"/>
      </w:r>
    </w:p>
    <w:p>
      <w:pPr>
        <w:pStyle w:val="Heading1"/>
        <w:spacing w:after="120" w:before="360"/>
      </w:pPr>
      <w:r>
        <w:rPr>
          <w:rFonts w:ascii="Calibri" w:cs="Calibri" w:eastAsia="Calibri" w:hAnsi="Calibri"/>
          <w:b/>
          <w:bCs/>
          <w:color w:val="1B2A4A"/>
          <w:sz w:val="28"/>
          <w:szCs w:val="28"/>
        </w:rPr>
        <w:t xml:space="preserve">13. Business Continuity and Disaster Recovery</w:t>
      </w:r>
    </w:p>
    <w:p>
      <w:pPr>
        <w:pStyle w:val="Heading2"/>
        <w:spacing w:after="80" w:before="280"/>
      </w:pPr>
      <w:r>
        <w:rPr>
          <w:rFonts w:ascii="Calibri" w:cs="Calibri" w:eastAsia="Calibri" w:hAnsi="Calibri"/>
          <w:b/>
          <w:bCs/>
          <w:color w:val="2E5090"/>
          <w:sz w:val="24"/>
          <w:szCs w:val="24"/>
        </w:rPr>
        <w:t xml:space="preserve">13.1 Business Impact Analysis</w:t>
      </w:r>
    </w:p>
    <w:p>
      <w:pPr>
        <w:spacing w:after="120" w:line="276"/>
      </w:pPr>
      <w:r>
        <w:rPr>
          <w:rFonts w:ascii="Calibri" w:cs="Calibri" w:eastAsia="Calibri" w:hAnsi="Calibri"/>
          <w:color w:val="333333"/>
          <w:sz w:val="24"/>
          <w:szCs w:val="24"/>
        </w:rPr>
        <w:t xml:space="preserve">The Company shall identify Critical Services and conduct a Business Impact Analysis (BIA) that defines for each:</w:t>
      </w:r>
    </w:p>
    <w:p>
      <w:pPr>
        <w:pStyle w:val="ListParagraph"/>
        <w:numPr>
          <w:ilvl w:val="0"/>
          <w:numId w:val="1"/>
        </w:numPr>
        <w:spacing w:after="60" w:line="276"/>
      </w:pPr>
      <w:r>
        <w:rPr>
          <w:rFonts w:ascii="Calibri" w:cs="Calibri" w:eastAsia="Calibri" w:hAnsi="Calibri"/>
          <w:color w:val="333333"/>
          <w:sz w:val="24"/>
          <w:szCs w:val="24"/>
        </w:rPr>
        <w:t xml:space="preserve">Service owner and dependencies (upstream and downstream systems, data, personnel, vendors);</w:t>
      </w:r>
    </w:p>
    <w:p>
      <w:pPr>
        <w:pStyle w:val="ListParagraph"/>
        <w:numPr>
          <w:ilvl w:val="0"/>
          <w:numId w:val="1"/>
        </w:numPr>
        <w:spacing w:after="60" w:line="276"/>
      </w:pPr>
      <w:r>
        <w:rPr>
          <w:rFonts w:ascii="Calibri" w:cs="Calibri" w:eastAsia="Calibri" w:hAnsi="Calibri"/>
          <w:color w:val="333333"/>
          <w:sz w:val="24"/>
          <w:szCs w:val="24"/>
        </w:rPr>
        <w:t xml:space="preserve">Maximum Tolerable Downtime (MTD);</w:t>
      </w:r>
    </w:p>
    <w:p>
      <w:pPr>
        <w:pStyle w:val="ListParagraph"/>
        <w:numPr>
          <w:ilvl w:val="0"/>
          <w:numId w:val="1"/>
        </w:numPr>
        <w:spacing w:after="60" w:line="276"/>
      </w:pPr>
      <w:r>
        <w:rPr>
          <w:rFonts w:ascii="Calibri" w:cs="Calibri" w:eastAsia="Calibri" w:hAnsi="Calibri"/>
          <w:color w:val="333333"/>
          <w:sz w:val="24"/>
          <w:szCs w:val="24"/>
        </w:rPr>
        <w:t xml:space="preserve">Recovery Time Objective (RTO) and Recovery Point Objective (RPO);</w:t>
      </w:r>
    </w:p>
    <w:p>
      <w:pPr>
        <w:pStyle w:val="ListParagraph"/>
        <w:numPr>
          <w:ilvl w:val="0"/>
          <w:numId w:val="1"/>
        </w:numPr>
        <w:spacing w:after="60" w:line="276"/>
      </w:pPr>
      <w:r>
        <w:rPr>
          <w:rFonts w:ascii="Calibri" w:cs="Calibri" w:eastAsia="Calibri" w:hAnsi="Calibri"/>
          <w:color w:val="333333"/>
          <w:sz w:val="24"/>
          <w:szCs w:val="24"/>
        </w:rPr>
        <w:t xml:space="preserve">Minimum viable service level during degraded operation; and</w:t>
      </w:r>
    </w:p>
    <w:p>
      <w:pPr>
        <w:pStyle w:val="ListParagraph"/>
        <w:numPr>
          <w:ilvl w:val="0"/>
          <w:numId w:val="1"/>
        </w:numPr>
        <w:spacing w:after="60" w:line="276"/>
      </w:pPr>
      <w:r>
        <w:rPr>
          <w:rFonts w:ascii="Calibri" w:cs="Calibri" w:eastAsia="Calibri" w:hAnsi="Calibri"/>
          <w:color w:val="333333"/>
          <w:sz w:val="24"/>
          <w:szCs w:val="24"/>
        </w:rPr>
        <w:t xml:space="preserve">Regulatory, contractual, and reputational impact of unavailability.</w:t>
      </w:r>
    </w:p>
    <w:p>
      <w:pPr>
        <w:pStyle w:val="Heading2"/>
        <w:spacing w:after="80" w:before="280"/>
      </w:pPr>
      <w:r>
        <w:rPr>
          <w:rFonts w:ascii="Calibri" w:cs="Calibri" w:eastAsia="Calibri" w:hAnsi="Calibri"/>
          <w:b/>
          <w:bCs/>
          <w:color w:val="2E5090"/>
          <w:sz w:val="24"/>
          <w:szCs w:val="24"/>
        </w:rPr>
        <w:t xml:space="preserve">13.2 Business Continuity Plan (BCP)</w:t>
      </w:r>
    </w:p>
    <w:p>
      <w:pPr>
        <w:spacing w:after="120" w:line="276"/>
      </w:pPr>
      <w:r>
        <w:rPr>
          <w:rFonts w:ascii="Calibri" w:cs="Calibri" w:eastAsia="Calibri" w:hAnsi="Calibri"/>
          <w:color w:val="333333"/>
          <w:sz w:val="24"/>
          <w:szCs w:val="24"/>
        </w:rPr>
        <w:t xml:space="preserve">The Business Continuity Plan (Exhibit C) shall address:</w:t>
      </w:r>
    </w:p>
    <w:p>
      <w:pPr>
        <w:pStyle w:val="ListParagraph"/>
        <w:numPr>
          <w:ilvl w:val="0"/>
          <w:numId w:val="1"/>
        </w:numPr>
        <w:spacing w:after="60" w:line="276"/>
      </w:pPr>
      <w:r>
        <w:rPr>
          <w:rFonts w:ascii="Calibri" w:cs="Calibri" w:eastAsia="Calibri" w:hAnsi="Calibri"/>
          <w:color w:val="333333"/>
          <w:sz w:val="24"/>
          <w:szCs w:val="24"/>
        </w:rPr>
        <w:t xml:space="preserve">Crisis communication paths, alternate communication channels, and crisis authority delegation;</w:t>
      </w:r>
    </w:p>
    <w:p>
      <w:pPr>
        <w:pStyle w:val="ListParagraph"/>
        <w:numPr>
          <w:ilvl w:val="0"/>
          <w:numId w:val="1"/>
        </w:numPr>
        <w:spacing w:after="60" w:line="276"/>
      </w:pPr>
      <w:r>
        <w:rPr>
          <w:rFonts w:ascii="Calibri" w:cs="Calibri" w:eastAsia="Calibri" w:hAnsi="Calibri"/>
          <w:color w:val="333333"/>
          <w:sz w:val="24"/>
          <w:szCs w:val="24"/>
        </w:rPr>
        <w:t xml:space="preserve">Restoration priority order aligned with BIA;</w:t>
      </w:r>
    </w:p>
    <w:p>
      <w:pPr>
        <w:pStyle w:val="ListParagraph"/>
        <w:numPr>
          <w:ilvl w:val="0"/>
          <w:numId w:val="1"/>
        </w:numPr>
        <w:spacing w:after="60" w:line="276"/>
      </w:pPr>
      <w:r>
        <w:rPr>
          <w:rFonts w:ascii="Calibri" w:cs="Calibri" w:eastAsia="Calibri" w:hAnsi="Calibri"/>
          <w:color w:val="333333"/>
          <w:sz w:val="24"/>
          <w:szCs w:val="24"/>
        </w:rPr>
        <w:t xml:space="preserve">Backup procedures including immutable/offline design for critical data;</w:t>
      </w:r>
    </w:p>
    <w:p>
      <w:pPr>
        <w:pStyle w:val="ListParagraph"/>
        <w:numPr>
          <w:ilvl w:val="0"/>
          <w:numId w:val="1"/>
        </w:numPr>
        <w:spacing w:after="60" w:line="276"/>
      </w:pPr>
      <w:r>
        <w:rPr>
          <w:rFonts w:ascii="Calibri" w:cs="Calibri" w:eastAsia="Calibri" w:hAnsi="Calibri"/>
          <w:color w:val="333333"/>
          <w:sz w:val="24"/>
          <w:szCs w:val="24"/>
        </w:rPr>
        <w:t xml:space="preserve">Alternate processing facilities or cloud failover capabilities;</w:t>
      </w:r>
    </w:p>
    <w:p>
      <w:pPr>
        <w:pStyle w:val="ListParagraph"/>
        <w:numPr>
          <w:ilvl w:val="0"/>
          <w:numId w:val="1"/>
        </w:numPr>
        <w:spacing w:after="60" w:line="276"/>
      </w:pPr>
      <w:r>
        <w:rPr>
          <w:rFonts w:ascii="Calibri" w:cs="Calibri" w:eastAsia="Calibri" w:hAnsi="Calibri"/>
          <w:color w:val="333333"/>
          <w:sz w:val="24"/>
          <w:szCs w:val="24"/>
        </w:rPr>
        <w:t xml:space="preserve">Personnel recovery and succession for key roles; and</w:t>
      </w:r>
    </w:p>
    <w:p>
      <w:pPr>
        <w:pStyle w:val="ListParagraph"/>
        <w:numPr>
          <w:ilvl w:val="0"/>
          <w:numId w:val="1"/>
        </w:numPr>
        <w:spacing w:after="60" w:line="276"/>
      </w:pPr>
      <w:r>
        <w:rPr>
          <w:rFonts w:ascii="Calibri" w:cs="Calibri" w:eastAsia="Calibri" w:hAnsi="Calibri"/>
          <w:color w:val="333333"/>
          <w:sz w:val="24"/>
          <w:szCs w:val="24"/>
        </w:rPr>
        <w:t xml:space="preserve">Vendor dependency contingency plans.</w:t>
      </w:r>
    </w:p>
    <w:p>
      <w:pPr>
        <w:pStyle w:val="Heading2"/>
        <w:spacing w:after="80" w:before="280"/>
      </w:pPr>
      <w:r>
        <w:rPr>
          <w:rFonts w:ascii="Calibri" w:cs="Calibri" w:eastAsia="Calibri" w:hAnsi="Calibri"/>
          <w:b/>
          <w:bCs/>
          <w:color w:val="2E5090"/>
          <w:sz w:val="24"/>
          <w:szCs w:val="24"/>
        </w:rPr>
        <w:t xml:space="preserve">13.3 Disaster Recovery Testing</w:t>
      </w:r>
    </w:p>
    <w:p>
      <w:pPr>
        <w:pStyle w:val="ListParagraph"/>
        <w:numPr>
          <w:ilvl w:val="0"/>
          <w:numId w:val="1"/>
        </w:numPr>
        <w:spacing w:after="60" w:line="276"/>
      </w:pPr>
      <w:r>
        <w:rPr>
          <w:rFonts w:ascii="Calibri" w:cs="Calibri" w:eastAsia="Calibri" w:hAnsi="Calibri"/>
          <w:color w:val="333333"/>
          <w:sz w:val="24"/>
          <w:szCs w:val="24"/>
        </w:rPr>
        <w:t xml:space="preserve">DR testing shall be conducted at least [ANNUALLY], including tabletop exercises and technical restoration tests.</w:t>
      </w:r>
    </w:p>
    <w:p>
      <w:pPr>
        <w:pStyle w:val="ListParagraph"/>
        <w:numPr>
          <w:ilvl w:val="0"/>
          <w:numId w:val="1"/>
        </w:numPr>
        <w:spacing w:after="60" w:line="276"/>
      </w:pPr>
      <w:r>
        <w:rPr>
          <w:rFonts w:ascii="Calibri" w:cs="Calibri" w:eastAsia="Calibri" w:hAnsi="Calibri"/>
          <w:color w:val="333333"/>
          <w:sz w:val="24"/>
          <w:szCs w:val="24"/>
        </w:rPr>
        <w:t xml:space="preserve">Tests shall validate not only backup success but actual restoration, including application functionality, data integrity, credential availability, dependency resolution, and recovery time against RTO/RPO.</w:t>
      </w:r>
    </w:p>
    <w:p>
      <w:pPr>
        <w:pStyle w:val="ListParagraph"/>
        <w:numPr>
          <w:ilvl w:val="0"/>
          <w:numId w:val="1"/>
        </w:numPr>
        <w:spacing w:after="60" w:line="276"/>
      </w:pPr>
      <w:r>
        <w:rPr>
          <w:rFonts w:ascii="Calibri" w:cs="Calibri" w:eastAsia="Calibri" w:hAnsi="Calibri"/>
          <w:color w:val="333333"/>
          <w:sz w:val="24"/>
          <w:szCs w:val="24"/>
        </w:rPr>
        <w:t xml:space="preserve">Test results, gaps identified, and corrective actions shall be documented and tracked to completion.</w:t>
      </w:r>
    </w:p>
    <w:p>
      <w:pPr>
        <w:pStyle w:val="ListParagraph"/>
        <w:numPr>
          <w:ilvl w:val="0"/>
          <w:numId w:val="1"/>
        </w:numPr>
        <w:spacing w:after="60" w:line="276"/>
      </w:pPr>
      <w:r>
        <w:rPr>
          <w:rFonts w:ascii="Calibri" w:cs="Calibri" w:eastAsia="Calibri" w:hAnsi="Calibri"/>
          <w:color w:val="333333"/>
          <w:sz w:val="24"/>
          <w:szCs w:val="24"/>
        </w:rPr>
        <w:t xml:space="preserve">The Security Leader shall report DR test results and remediation status to [EXECUTIVE COMMITTEE] within [30 DAYS] of testing.</w:t>
      </w:r>
    </w:p>
    <w:p>
      <w:r>
        <w:br w:type="page"/>
      </w:r>
    </w:p>
    <w:p>
      <w:pPr>
        <w:pStyle w:val="Heading1"/>
        <w:spacing w:after="120" w:before="360"/>
      </w:pPr>
      <w:r>
        <w:rPr>
          <w:rFonts w:ascii="Calibri" w:cs="Calibri" w:eastAsia="Calibri" w:hAnsi="Calibri"/>
          <w:b/>
          <w:bCs/>
          <w:color w:val="1B2A4A"/>
          <w:sz w:val="28"/>
          <w:szCs w:val="28"/>
        </w:rPr>
        <w:t xml:space="preserve">14. Compliance and Audit</w:t>
      </w:r>
    </w:p>
    <w:p>
      <w:pPr>
        <w:pStyle w:val="Heading2"/>
        <w:spacing w:after="80" w:before="280"/>
      </w:pPr>
      <w:r>
        <w:rPr>
          <w:rFonts w:ascii="Calibri" w:cs="Calibri" w:eastAsia="Calibri" w:hAnsi="Calibri"/>
          <w:b/>
          <w:bCs/>
          <w:color w:val="2E5090"/>
          <w:sz w:val="24"/>
          <w:szCs w:val="24"/>
        </w:rPr>
        <w:t xml:space="preserve">14.1 Obligations Register</w:t>
      </w:r>
    </w:p>
    <w:p>
      <w:pPr>
        <w:spacing w:after="120" w:line="276"/>
      </w:pPr>
      <w:r>
        <w:rPr>
          <w:rFonts w:ascii="Calibri" w:cs="Calibri" w:eastAsia="Calibri" w:hAnsi="Calibri"/>
          <w:color w:val="333333"/>
          <w:sz w:val="24"/>
          <w:szCs w:val="24"/>
        </w:rPr>
        <w:t xml:space="preserve">Legal/Privacy shall maintain an Obligations Register (Exhibit A) that identifies for each applicable legal, regulatory, contractual, and framework obligation:</w:t>
      </w:r>
    </w:p>
    <w:p>
      <w:pPr>
        <w:pStyle w:val="ListParagraph"/>
        <w:numPr>
          <w:ilvl w:val="0"/>
          <w:numId w:val="1"/>
        </w:numPr>
        <w:spacing w:after="60" w:line="276"/>
      </w:pPr>
      <w:r>
        <w:rPr>
          <w:rFonts w:ascii="Calibri" w:cs="Calibri" w:eastAsia="Calibri" w:hAnsi="Calibri"/>
          <w:color w:val="333333"/>
          <w:sz w:val="24"/>
          <w:szCs w:val="24"/>
        </w:rPr>
        <w:t xml:space="preserve">Source (statute, regulation, contract, framework);</w:t>
      </w:r>
    </w:p>
    <w:p>
      <w:pPr>
        <w:pStyle w:val="ListParagraph"/>
        <w:numPr>
          <w:ilvl w:val="0"/>
          <w:numId w:val="1"/>
        </w:numPr>
        <w:spacing w:after="60" w:line="276"/>
      </w:pPr>
      <w:r>
        <w:rPr>
          <w:rFonts w:ascii="Calibri" w:cs="Calibri" w:eastAsia="Calibri" w:hAnsi="Calibri"/>
          <w:color w:val="333333"/>
          <w:sz w:val="24"/>
          <w:szCs w:val="24"/>
        </w:rPr>
        <w:t xml:space="preserve">Applicability (entity, data type, system, geography, sector);</w:t>
      </w:r>
    </w:p>
    <w:p>
      <w:pPr>
        <w:pStyle w:val="ListParagraph"/>
        <w:numPr>
          <w:ilvl w:val="0"/>
          <w:numId w:val="1"/>
        </w:numPr>
        <w:spacing w:after="60" w:line="276"/>
      </w:pPr>
      <w:r>
        <w:rPr>
          <w:rFonts w:ascii="Calibri" w:cs="Calibri" w:eastAsia="Calibri" w:hAnsi="Calibri"/>
          <w:color w:val="333333"/>
          <w:sz w:val="24"/>
          <w:szCs w:val="24"/>
        </w:rPr>
        <w:t xml:space="preserve">Accountable owner;</w:t>
      </w:r>
    </w:p>
    <w:p>
      <w:pPr>
        <w:pStyle w:val="ListParagraph"/>
        <w:numPr>
          <w:ilvl w:val="0"/>
          <w:numId w:val="1"/>
        </w:numPr>
        <w:spacing w:after="60" w:line="276"/>
      </w:pPr>
      <w:r>
        <w:rPr>
          <w:rFonts w:ascii="Calibri" w:cs="Calibri" w:eastAsia="Calibri" w:hAnsi="Calibri"/>
          <w:color w:val="333333"/>
          <w:sz w:val="24"/>
          <w:szCs w:val="24"/>
        </w:rPr>
        <w:t xml:space="preserve">Control mapping to this Policy and subsidiary standards;</w:t>
      </w:r>
    </w:p>
    <w:p>
      <w:pPr>
        <w:pStyle w:val="ListParagraph"/>
        <w:numPr>
          <w:ilvl w:val="0"/>
          <w:numId w:val="1"/>
        </w:numPr>
        <w:spacing w:after="60" w:line="276"/>
      </w:pPr>
      <w:r>
        <w:rPr>
          <w:rFonts w:ascii="Calibri" w:cs="Calibri" w:eastAsia="Calibri" w:hAnsi="Calibri"/>
          <w:color w:val="333333"/>
          <w:sz w:val="24"/>
          <w:szCs w:val="24"/>
        </w:rPr>
        <w:t xml:space="preserve">Evidence requirements;</w:t>
      </w:r>
    </w:p>
    <w:p>
      <w:pPr>
        <w:pStyle w:val="ListParagraph"/>
        <w:numPr>
          <w:ilvl w:val="0"/>
          <w:numId w:val="1"/>
        </w:numPr>
        <w:spacing w:after="60" w:line="276"/>
      </w:pPr>
      <w:r>
        <w:rPr>
          <w:rFonts w:ascii="Calibri" w:cs="Calibri" w:eastAsia="Calibri" w:hAnsi="Calibri"/>
          <w:color w:val="333333"/>
          <w:sz w:val="24"/>
          <w:szCs w:val="24"/>
        </w:rPr>
        <w:t xml:space="preserve">Notification and contact obligations;</w:t>
      </w:r>
    </w:p>
    <w:p>
      <w:pPr>
        <w:pStyle w:val="ListParagraph"/>
        <w:numPr>
          <w:ilvl w:val="0"/>
          <w:numId w:val="1"/>
        </w:numPr>
        <w:spacing w:after="60" w:line="276"/>
      </w:pPr>
      <w:r>
        <w:rPr>
          <w:rFonts w:ascii="Calibri" w:cs="Calibri" w:eastAsia="Calibri" w:hAnsi="Calibri"/>
          <w:color w:val="333333"/>
          <w:sz w:val="24"/>
          <w:szCs w:val="24"/>
        </w:rPr>
        <w:t xml:space="preserve">Flow-down requirements to vendors and subprocessors; and</w:t>
      </w:r>
    </w:p>
    <w:p>
      <w:pPr>
        <w:pStyle w:val="ListParagraph"/>
        <w:numPr>
          <w:ilvl w:val="0"/>
          <w:numId w:val="1"/>
        </w:numPr>
        <w:spacing w:after="60" w:line="276"/>
      </w:pPr>
      <w:r>
        <w:rPr>
          <w:rFonts w:ascii="Calibri" w:cs="Calibri" w:eastAsia="Calibri" w:hAnsi="Calibri"/>
          <w:color w:val="333333"/>
          <w:sz w:val="24"/>
          <w:szCs w:val="24"/>
        </w:rPr>
        <w:t xml:space="preserve">Change-monitoring cadence and responsible party.</w:t>
      </w:r>
    </w:p>
    <w:p>
      <w:pPr>
        <w:pStyle w:val="Heading2"/>
        <w:spacing w:after="80" w:before="280"/>
      </w:pPr>
      <w:r>
        <w:rPr>
          <w:rFonts w:ascii="Calibri" w:cs="Calibri" w:eastAsia="Calibri" w:hAnsi="Calibri"/>
          <w:b/>
          <w:bCs/>
          <w:color w:val="2E5090"/>
          <w:sz w:val="24"/>
          <w:szCs w:val="24"/>
        </w:rPr>
        <w:t xml:space="preserve">14.2 NIST CSF 2.0 Alignment</w:t>
      </w:r>
    </w:p>
    <w:p>
      <w:pPr>
        <w:spacing w:after="120" w:line="276"/>
      </w:pPr>
      <w:r>
        <w:rPr>
          <w:rFonts w:ascii="Calibri" w:cs="Calibri" w:eastAsia="Calibri" w:hAnsi="Calibri"/>
          <w:color w:val="333333"/>
          <w:sz w:val="24"/>
          <w:szCs w:val="24"/>
        </w:rPr>
        <w:t xml:space="preserve">The Company aligns its security program to the NIST Cybersecurity Framework 2.0, mapping current and target outcomes across the six Functions. This alignment is an organizational tool and does not constitute a claim of NIST compliance or certification.</w:t>
      </w:r>
    </w:p>
    <w:p>
      <w:pPr>
        <w:pStyle w:val="Heading3"/>
        <w:spacing w:after="60" w:before="200"/>
      </w:pPr>
      <w:r>
        <w:rPr>
          <w:rFonts w:ascii="Calibri" w:cs="Calibri" w:eastAsia="Calibri" w:hAnsi="Calibri"/>
          <w:b/>
          <w:bCs/>
          <w:color w:val="1B2A4A"/>
          <w:sz w:val="22"/>
          <w:szCs w:val="22"/>
        </w:rPr>
        <w:t xml:space="preserve">Table 4: Compliance Framework Mapping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c>
          <w:tcPr>
            <w:tcW w:type="dxa" w:w="2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NIST CSF 2.0 Function</w:t>
            </w:r>
          </w:p>
        </w:tc>
        <w:tc>
          <w:tcPr>
            <w:tcW w:type="dxa" w:w="1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Policy Section(s)</w:t>
            </w:r>
          </w:p>
        </w:tc>
        <w:tc>
          <w:tcPr>
            <w:tcW w:type="dxa" w:w="15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SOC 2 TSC</w:t>
            </w:r>
          </w:p>
        </w:tc>
        <w:tc>
          <w:tcPr>
            <w:tcW w:type="dxa" w:w="2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ISO 27001 Controls</w:t>
            </w:r>
          </w:p>
        </w:tc>
        <w:tc>
          <w:tcPr>
            <w:tcW w:type="dxa" w:w="18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Status Vocabulary</w:t>
            </w:r>
          </w:p>
        </w:tc>
      </w:tr>
      <w:tr>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GOVERN (GV)</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Sections 1, 2, 3, 17</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CC1, CC2, CC3</w:t>
            </w:r>
          </w:p>
        </w:tc>
        <w:tc>
          <w:tcPr>
            <w:tcW w:type="dxa" w:w="2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A.5 (Organizational), A.6 (People)</w:t>
            </w:r>
          </w:p>
        </w:tc>
        <w:tc>
          <w:tcPr>
            <w:tcW w:type="dxa" w:w="18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[CURRENT / PLANNED / N/A]</w:t>
            </w:r>
          </w:p>
        </w:tc>
      </w:tr>
      <w:tr>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IDENTIFY (ID)</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Sections 4, 5.3, 14.1</w:t>
            </w:r>
          </w:p>
        </w:tc>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CC3, CC6</w:t>
            </w:r>
          </w:p>
        </w:tc>
        <w:tc>
          <w:tcPr>
            <w:tcW w:type="dxa" w:w="2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A.5.9–12, A.8 (Asset Mgmt)</w:t>
            </w:r>
          </w:p>
        </w:tc>
        <w:tc>
          <w:tcPr>
            <w:tcW w:type="dxa" w:w="18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 PLANNED / N/A]</w:t>
            </w:r>
          </w:p>
        </w:tc>
      </w:tr>
      <w:tr>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PROTECT (PR)</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Sections 5, 6, 7, 8, 9, 10, 11</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CC5, CC6, CC7, CC8</w:t>
            </w:r>
          </w:p>
        </w:tc>
        <w:tc>
          <w:tcPr>
            <w:tcW w:type="dxa" w:w="2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A.5.14–23, A.7, A.8.1–25</w:t>
            </w:r>
          </w:p>
        </w:tc>
        <w:tc>
          <w:tcPr>
            <w:tcW w:type="dxa" w:w="18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[CURRENT / PLANNED / N/A]</w:t>
            </w:r>
          </w:p>
        </w:tc>
      </w:tr>
      <w:tr>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DETECT (DE)</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Sections 6.3, 12.1, 18</w:t>
            </w:r>
          </w:p>
        </w:tc>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CC7</w:t>
            </w:r>
          </w:p>
        </w:tc>
        <w:tc>
          <w:tcPr>
            <w:tcW w:type="dxa" w:w="2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A.8.15–16</w:t>
            </w:r>
          </w:p>
        </w:tc>
        <w:tc>
          <w:tcPr>
            <w:tcW w:type="dxa" w:w="18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 PLANNED / N/A]</w:t>
            </w:r>
          </w:p>
        </w:tc>
      </w:tr>
      <w:tr>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RESPOND (RS)</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Sections 12, 14</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CC7, CC8</w:t>
            </w:r>
          </w:p>
        </w:tc>
        <w:tc>
          <w:tcPr>
            <w:tcW w:type="dxa" w:w="2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A.5.24–28, A.6.8</w:t>
            </w:r>
          </w:p>
        </w:tc>
        <w:tc>
          <w:tcPr>
            <w:tcW w:type="dxa" w:w="18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[CURRENT / PLANNED / N/A]</w:t>
            </w:r>
          </w:p>
        </w:tc>
      </w:tr>
      <w:tr>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RECOVER (RC)</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Sections 9.3, 13</w:t>
            </w:r>
          </w:p>
        </w:tc>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A1</w:t>
            </w:r>
          </w:p>
        </w:tc>
        <w:tc>
          <w:tcPr>
            <w:tcW w:type="dxa" w:w="2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A.5.29–30</w:t>
            </w:r>
          </w:p>
        </w:tc>
        <w:tc>
          <w:tcPr>
            <w:tcW w:type="dxa" w:w="18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 PLANNED / N/A]</w:t>
            </w:r>
          </w:p>
        </w:tc>
      </w:tr>
    </w:tbl>
    <w:p>
      <w:pPr>
        <w:spacing w:after="0"/>
      </w:pPr>
    </w:p>
    <w:p>
      <w:pPr>
        <w:spacing w:after="120" w:line="276"/>
      </w:pPr>
      <w:r>
        <w:rPr>
          <w:rFonts w:ascii="Calibri" w:cs="Calibri" w:eastAsia="Calibri" w:hAnsi="Calibri"/>
          <w:i/>
          <w:iCs/>
          <w:color w:val="333333"/>
          <w:sz w:val="24"/>
          <w:szCs w:val="24"/>
        </w:rPr>
        <w:t xml:space="preserve">Note: Status shall be recorded per control using the vocabulary selected at implementation: CURRENT (control is implemented and evidenced), PLANNED (control is scheduled with target date and owner), or NOT APPLICABLE (with documented rationale). Each entry shall include owner, evidence reference, gap description (if PLANNED), and target completion date.</w:t>
      </w:r>
    </w:p>
    <w:p>
      <w:pPr>
        <w:pStyle w:val="Heading2"/>
        <w:spacing w:after="80" w:before="280"/>
      </w:pPr>
      <w:r>
        <w:rPr>
          <w:rFonts w:ascii="Calibri" w:cs="Calibri" w:eastAsia="Calibri" w:hAnsi="Calibri"/>
          <w:b/>
          <w:bCs/>
          <w:color w:val="2E5090"/>
          <w:sz w:val="24"/>
          <w:szCs w:val="24"/>
        </w:rPr>
        <w:t xml:space="preserve">14.3 Audit and Assessment</w:t>
      </w:r>
    </w:p>
    <w:p>
      <w:pPr>
        <w:pStyle w:val="ListParagraph"/>
        <w:numPr>
          <w:ilvl w:val="0"/>
          <w:numId w:val="1"/>
        </w:numPr>
        <w:spacing w:after="60" w:line="276"/>
      </w:pPr>
      <w:r>
        <w:rPr>
          <w:rFonts w:ascii="Calibri" w:cs="Calibri" w:eastAsia="Calibri" w:hAnsi="Calibri"/>
          <w:color w:val="333333"/>
          <w:sz w:val="24"/>
          <w:szCs w:val="24"/>
        </w:rPr>
        <w:t xml:space="preserve">Internal security assessments shall be conducted at least [ANNUALLY] against this Policy and applicable standards.</w:t>
      </w:r>
    </w:p>
    <w:p>
      <w:pPr>
        <w:pStyle w:val="ListParagraph"/>
        <w:numPr>
          <w:ilvl w:val="0"/>
          <w:numId w:val="1"/>
        </w:numPr>
        <w:spacing w:after="60" w:line="276"/>
      </w:pPr>
      <w:r>
        <w:rPr>
          <w:rFonts w:ascii="Calibri" w:cs="Calibri" w:eastAsia="Calibri" w:hAnsi="Calibri"/>
          <w:color w:val="333333"/>
          <w:sz w:val="24"/>
          <w:szCs w:val="24"/>
        </w:rPr>
        <w:t xml:space="preserve">Independent third-party assessments (e.g., SOC 2 audit, ISO 27001 certification audit, penetration testing) shall be conducted as required by contractual commitments or risk assessment.</w:t>
      </w:r>
    </w:p>
    <w:p>
      <w:pPr>
        <w:pStyle w:val="ListParagraph"/>
        <w:numPr>
          <w:ilvl w:val="0"/>
          <w:numId w:val="1"/>
        </w:numPr>
        <w:spacing w:after="60" w:line="276"/>
      </w:pPr>
      <w:r>
        <w:rPr>
          <w:rFonts w:ascii="Calibri" w:cs="Calibri" w:eastAsia="Calibri" w:hAnsi="Calibri"/>
          <w:color w:val="333333"/>
          <w:sz w:val="24"/>
          <w:szCs w:val="24"/>
        </w:rPr>
        <w:t xml:space="preserve">Audit findings shall be tracked in the remediation register with assigned owner, severity, target date, and status.</w:t>
      </w:r>
    </w:p>
    <w:p>
      <w:pPr>
        <w:pStyle w:val="ListParagraph"/>
        <w:numPr>
          <w:ilvl w:val="0"/>
          <w:numId w:val="1"/>
        </w:numPr>
        <w:spacing w:after="60" w:line="276"/>
      </w:pPr>
      <w:r>
        <w:rPr>
          <w:rFonts w:ascii="Calibri" w:cs="Calibri" w:eastAsia="Calibri" w:hAnsi="Calibri"/>
          <w:color w:val="333333"/>
          <w:sz w:val="24"/>
          <w:szCs w:val="24"/>
        </w:rPr>
        <w:t xml:space="preserve">The Company shall not claim certification or compliance status for any framework that is not actively maintained and independently verified.</w:t>
      </w:r>
    </w:p>
    <w:p>
      <w:pPr>
        <w:pStyle w:val="Heading2"/>
        <w:spacing w:after="80" w:before="280"/>
      </w:pPr>
      <w:r>
        <w:rPr>
          <w:rFonts w:ascii="Calibri" w:cs="Calibri" w:eastAsia="Calibri" w:hAnsi="Calibri"/>
          <w:b/>
          <w:bCs/>
          <w:color w:val="2E5090"/>
          <w:sz w:val="24"/>
          <w:szCs w:val="24"/>
        </w:rPr>
        <w:t xml:space="preserve">14.4 Risk Management</w:t>
      </w:r>
    </w:p>
    <w:p>
      <w:pPr>
        <w:pStyle w:val="ListParagraph"/>
        <w:numPr>
          <w:ilvl w:val="0"/>
          <w:numId w:val="1"/>
        </w:numPr>
        <w:spacing w:after="60" w:line="276"/>
      </w:pPr>
      <w:r>
        <w:rPr>
          <w:rFonts w:ascii="Calibri" w:cs="Calibri" w:eastAsia="Calibri" w:hAnsi="Calibri"/>
          <w:color w:val="333333"/>
          <w:sz w:val="24"/>
          <w:szCs w:val="24"/>
        </w:rPr>
        <w:t xml:space="preserve">The Company shall maintain an Information Security Risk Register documenting identified risks, likelihood, impact, current controls, residual risk, risk owner, treatment plan, and review date.</w:t>
      </w:r>
    </w:p>
    <w:p>
      <w:pPr>
        <w:pStyle w:val="ListParagraph"/>
        <w:numPr>
          <w:ilvl w:val="0"/>
          <w:numId w:val="1"/>
        </w:numPr>
        <w:spacing w:after="60" w:line="276"/>
      </w:pPr>
      <w:r>
        <w:rPr>
          <w:rFonts w:ascii="Calibri" w:cs="Calibri" w:eastAsia="Calibri" w:hAnsi="Calibri"/>
          <w:color w:val="333333"/>
          <w:sz w:val="24"/>
          <w:szCs w:val="24"/>
        </w:rPr>
        <w:t xml:space="preserve">Risk assessments shall be conducted at least [ANNUALLY] and after material changes to systems, processes, or threat landscape.</w:t>
      </w:r>
    </w:p>
    <w:p>
      <w:pPr>
        <w:pStyle w:val="ListParagraph"/>
        <w:numPr>
          <w:ilvl w:val="0"/>
          <w:numId w:val="1"/>
        </w:numPr>
        <w:spacing w:after="60" w:line="276"/>
      </w:pPr>
      <w:r>
        <w:rPr>
          <w:rFonts w:ascii="Calibri" w:cs="Calibri" w:eastAsia="Calibri" w:hAnsi="Calibri"/>
          <w:color w:val="333333"/>
          <w:sz w:val="24"/>
          <w:szCs w:val="24"/>
        </w:rPr>
        <w:t xml:space="preserve">Risk acceptance decisions for critical or high residual risk require approval by [EXECUTIVE ONLY / EXECUTIVE PLUS BOARD COMMITTEE] with documented justification, compensating controls, owner, funding commitment, and expiration date.</w:t>
      </w:r>
    </w:p>
    <w:p>
      <w:pPr>
        <w:pStyle w:val="Heading2"/>
        <w:spacing w:after="80" w:before="280"/>
      </w:pPr>
      <w:r>
        <w:rPr>
          <w:rFonts w:ascii="Calibri" w:cs="Calibri" w:eastAsia="Calibri" w:hAnsi="Calibri"/>
          <w:b/>
          <w:bCs/>
          <w:color w:val="2E5090"/>
          <w:sz w:val="24"/>
          <w:szCs w:val="24"/>
        </w:rPr>
        <w:t xml:space="preserve">14.5 Customer Questionnaire Responses</w:t>
      </w:r>
    </w:p>
    <w:p>
      <w:pPr>
        <w:spacing w:after="120" w:line="276"/>
      </w:pPr>
      <w:r>
        <w:rPr>
          <w:rFonts w:ascii="Calibri" w:cs="Calibri" w:eastAsia="Calibri" w:hAnsi="Calibri"/>
          <w:color w:val="333333"/>
          <w:sz w:val="24"/>
          <w:szCs w:val="24"/>
        </w:rPr>
        <w:t xml:space="preserve">Responses to customer security questionnaires and due diligence requests shall be derived from the Control Ledger and current evidence. Responses shall distinguish CURRENT, PLANNED, and NOT APPLICABLE status; identify scope and exceptions; and receive Legal and business approval before external submission.</w:t>
      </w:r>
    </w:p>
    <w:p>
      <w:r>
        <w:br w:type="page"/>
      </w:r>
    </w:p>
    <w:p>
      <w:pPr>
        <w:pStyle w:val="Heading1"/>
        <w:spacing w:after="120" w:before="360"/>
      </w:pPr>
      <w:r>
        <w:rPr>
          <w:rFonts w:ascii="Calibri" w:cs="Calibri" w:eastAsia="Calibri" w:hAnsi="Calibri"/>
          <w:b/>
          <w:bCs/>
          <w:color w:val="1B2A4A"/>
          <w:sz w:val="28"/>
          <w:szCs w:val="28"/>
        </w:rPr>
        <w:t xml:space="preserve">15. Training and Awareness</w:t>
      </w:r>
    </w:p>
    <w:p>
      <w:pPr>
        <w:pStyle w:val="Heading2"/>
        <w:spacing w:after="80" w:before="280"/>
      </w:pPr>
      <w:r>
        <w:rPr>
          <w:rFonts w:ascii="Calibri" w:cs="Calibri" w:eastAsia="Calibri" w:hAnsi="Calibri"/>
          <w:b/>
          <w:bCs/>
          <w:color w:val="2E5090"/>
          <w:sz w:val="24"/>
          <w:szCs w:val="24"/>
        </w:rPr>
        <w:t xml:space="preserve">15.1 General Security Awareness</w:t>
      </w:r>
    </w:p>
    <w:p>
      <w:pPr>
        <w:pStyle w:val="ListParagraph"/>
        <w:numPr>
          <w:ilvl w:val="0"/>
          <w:numId w:val="1"/>
        </w:numPr>
        <w:spacing w:after="60" w:line="276"/>
      </w:pPr>
      <w:r>
        <w:rPr>
          <w:rFonts w:ascii="Calibri" w:cs="Calibri" w:eastAsia="Calibri" w:hAnsi="Calibri"/>
          <w:color w:val="333333"/>
          <w:sz w:val="24"/>
          <w:szCs w:val="24"/>
        </w:rPr>
        <w:t xml:space="preserve">All workforce members shall complete security awareness training within [30 DAYS] of onboarding and at least [ANNUALLY] thereafter.</w:t>
      </w:r>
    </w:p>
    <w:p>
      <w:pPr>
        <w:pStyle w:val="ListParagraph"/>
        <w:numPr>
          <w:ilvl w:val="0"/>
          <w:numId w:val="1"/>
        </w:numPr>
        <w:spacing w:after="60" w:line="276"/>
      </w:pPr>
      <w:r>
        <w:rPr>
          <w:rFonts w:ascii="Calibri" w:cs="Calibri" w:eastAsia="Calibri" w:hAnsi="Calibri"/>
          <w:color w:val="333333"/>
          <w:sz w:val="24"/>
          <w:szCs w:val="24"/>
        </w:rPr>
        <w:t xml:space="preserve">Training shall cover: this Policy’s key requirements, phishing and social engineering, password hygiene, data classification and handling, incident reporting, acceptable use, physical security, and remote work security.</w:t>
      </w:r>
    </w:p>
    <w:p>
      <w:pPr>
        <w:pStyle w:val="ListParagraph"/>
        <w:numPr>
          <w:ilvl w:val="0"/>
          <w:numId w:val="1"/>
        </w:numPr>
        <w:spacing w:after="60" w:line="276"/>
      </w:pPr>
      <w:r>
        <w:rPr>
          <w:rFonts w:ascii="Calibri" w:cs="Calibri" w:eastAsia="Calibri" w:hAnsi="Calibri"/>
          <w:color w:val="333333"/>
          <w:sz w:val="24"/>
          <w:szCs w:val="24"/>
        </w:rPr>
        <w:t xml:space="preserve">Training completion shall be tracked and reported to management. Non-completion shall be escalated per the enforcement process.</w:t>
      </w:r>
    </w:p>
    <w:p>
      <w:pPr>
        <w:pStyle w:val="Heading2"/>
        <w:spacing w:after="80" w:before="280"/>
      </w:pPr>
      <w:r>
        <w:rPr>
          <w:rFonts w:ascii="Calibri" w:cs="Calibri" w:eastAsia="Calibri" w:hAnsi="Calibri"/>
          <w:b/>
          <w:bCs/>
          <w:color w:val="2E5090"/>
          <w:sz w:val="24"/>
          <w:szCs w:val="24"/>
        </w:rPr>
        <w:t xml:space="preserve">15.2 Role-Based Training</w:t>
      </w:r>
    </w:p>
    <w:p>
      <w:pPr>
        <w:pStyle w:val="ListParagraph"/>
        <w:numPr>
          <w:ilvl w:val="0"/>
          <w:numId w:val="1"/>
        </w:numPr>
        <w:spacing w:after="60" w:line="276"/>
      </w:pPr>
      <w:r>
        <w:rPr>
          <w:rFonts w:ascii="Calibri" w:cs="Calibri" w:eastAsia="Calibri" w:hAnsi="Calibri"/>
          <w:color w:val="333333"/>
          <w:sz w:val="24"/>
          <w:szCs w:val="24"/>
        </w:rPr>
        <w:t xml:space="preserve">Personnel in roles with elevated security responsibilities shall receive additional role-based training, including:</w:t>
      </w:r>
    </w:p>
    <w:p>
      <w:pPr>
        <w:pStyle w:val="ListParagraph"/>
        <w:numPr>
          <w:ilvl w:val="1"/>
          <w:numId w:val="1"/>
        </w:numPr>
        <w:spacing w:after="40" w:line="276"/>
      </w:pPr>
      <w:r>
        <w:rPr>
          <w:rFonts w:ascii="Calibri" w:cs="Calibri" w:eastAsia="Calibri" w:hAnsi="Calibri"/>
          <w:color w:val="333333"/>
          <w:sz w:val="24"/>
          <w:szCs w:val="24"/>
        </w:rPr>
        <w:t xml:space="preserve">Developers: Secure coding, OWASP Top 10, code review, secrets management</w:t>
      </w:r>
    </w:p>
    <w:p>
      <w:pPr>
        <w:pStyle w:val="ListParagraph"/>
        <w:numPr>
          <w:ilvl w:val="1"/>
          <w:numId w:val="1"/>
        </w:numPr>
        <w:spacing w:after="40" w:line="276"/>
      </w:pPr>
      <w:r>
        <w:rPr>
          <w:rFonts w:ascii="Calibri" w:cs="Calibri" w:eastAsia="Calibri" w:hAnsi="Calibri"/>
          <w:color w:val="333333"/>
          <w:sz w:val="24"/>
          <w:szCs w:val="24"/>
        </w:rPr>
        <w:t xml:space="preserve">System Administrators: Hardening, privileged access, logging, incident handling</w:t>
      </w:r>
    </w:p>
    <w:p>
      <w:pPr>
        <w:pStyle w:val="ListParagraph"/>
        <w:numPr>
          <w:ilvl w:val="1"/>
          <w:numId w:val="1"/>
        </w:numPr>
        <w:spacing w:after="40" w:line="276"/>
      </w:pPr>
      <w:r>
        <w:rPr>
          <w:rFonts w:ascii="Calibri" w:cs="Calibri" w:eastAsia="Calibri" w:hAnsi="Calibri"/>
          <w:color w:val="333333"/>
          <w:sz w:val="24"/>
          <w:szCs w:val="24"/>
        </w:rPr>
        <w:t xml:space="preserve">Incident Responders: Forensics, evidence preservation, legal coordination, notification</w:t>
      </w:r>
    </w:p>
    <w:p>
      <w:pPr>
        <w:pStyle w:val="ListParagraph"/>
        <w:numPr>
          <w:ilvl w:val="1"/>
          <w:numId w:val="1"/>
        </w:numPr>
        <w:spacing w:after="40" w:line="276"/>
      </w:pPr>
      <w:r>
        <w:rPr>
          <w:rFonts w:ascii="Calibri" w:cs="Calibri" w:eastAsia="Calibri" w:hAnsi="Calibri"/>
          <w:color w:val="333333"/>
          <w:sz w:val="24"/>
          <w:szCs w:val="24"/>
        </w:rPr>
        <w:t xml:space="preserve">Executives and Board: Governance, risk oversight, fiduciary duties, crisis communication</w:t>
      </w:r>
    </w:p>
    <w:p>
      <w:pPr>
        <w:pStyle w:val="ListParagraph"/>
        <w:numPr>
          <w:ilvl w:val="1"/>
          <w:numId w:val="1"/>
        </w:numPr>
        <w:spacing w:after="40" w:line="276"/>
      </w:pPr>
      <w:r>
        <w:rPr>
          <w:rFonts w:ascii="Calibri" w:cs="Calibri" w:eastAsia="Calibri" w:hAnsi="Calibri"/>
          <w:color w:val="333333"/>
          <w:sz w:val="24"/>
          <w:szCs w:val="24"/>
        </w:rPr>
        <w:t xml:space="preserve">Vendor Managers: Vendor risk assessment, contract security requirements, monitoring</w:t>
      </w:r>
    </w:p>
    <w:p>
      <w:pPr>
        <w:pStyle w:val="Heading2"/>
        <w:spacing w:after="80" w:before="280"/>
      </w:pPr>
      <w:r>
        <w:rPr>
          <w:rFonts w:ascii="Calibri" w:cs="Calibri" w:eastAsia="Calibri" w:hAnsi="Calibri"/>
          <w:b/>
          <w:bCs/>
          <w:color w:val="2E5090"/>
          <w:sz w:val="24"/>
          <w:szCs w:val="24"/>
        </w:rPr>
        <w:t xml:space="preserve">15.3 Phishing Simulation</w:t>
      </w:r>
    </w:p>
    <w:p>
      <w:pPr>
        <w:pStyle w:val="ListParagraph"/>
        <w:numPr>
          <w:ilvl w:val="0"/>
          <w:numId w:val="1"/>
        </w:numPr>
        <w:spacing w:after="60" w:line="276"/>
      </w:pPr>
      <w:r>
        <w:rPr>
          <w:rFonts w:ascii="Calibri" w:cs="Calibri" w:eastAsia="Calibri" w:hAnsi="Calibri"/>
          <w:color w:val="333333"/>
          <w:sz w:val="24"/>
          <w:szCs w:val="24"/>
        </w:rPr>
        <w:t xml:space="preserve">The Security Leader shall conduct phishing simulations at least [QUARTERLY] to assess workforce resilience.</w:t>
      </w:r>
    </w:p>
    <w:p>
      <w:pPr>
        <w:pStyle w:val="ListParagraph"/>
        <w:numPr>
          <w:ilvl w:val="0"/>
          <w:numId w:val="1"/>
        </w:numPr>
        <w:spacing w:after="60" w:line="276"/>
      </w:pPr>
      <w:r>
        <w:rPr>
          <w:rFonts w:ascii="Calibri" w:cs="Calibri" w:eastAsia="Calibri" w:hAnsi="Calibri"/>
          <w:color w:val="333333"/>
          <w:sz w:val="24"/>
          <w:szCs w:val="24"/>
        </w:rPr>
        <w:t xml:space="preserve">Results shall be tracked as a security metric with trending analysis. Individuals who repeatedly fail simulations shall receive targeted remedial training.</w:t>
      </w:r>
    </w:p>
    <w:p>
      <w:r>
        <w:br w:type="page"/>
      </w:r>
    </w:p>
    <w:p>
      <w:pPr>
        <w:pStyle w:val="Heading1"/>
        <w:spacing w:after="120" w:before="360"/>
      </w:pPr>
      <w:r>
        <w:rPr>
          <w:rFonts w:ascii="Calibri" w:cs="Calibri" w:eastAsia="Calibri" w:hAnsi="Calibri"/>
          <w:b/>
          <w:bCs/>
          <w:color w:val="1B2A4A"/>
          <w:sz w:val="28"/>
          <w:szCs w:val="28"/>
        </w:rPr>
        <w:t xml:space="preserve">16. Assets and Acceptable Use</w:t>
      </w:r>
    </w:p>
    <w:p>
      <w:pPr>
        <w:pStyle w:val="Heading2"/>
        <w:spacing w:after="80" w:before="280"/>
      </w:pPr>
      <w:r>
        <w:rPr>
          <w:rFonts w:ascii="Calibri" w:cs="Calibri" w:eastAsia="Calibri" w:hAnsi="Calibri"/>
          <w:b/>
          <w:bCs/>
          <w:color w:val="2E5090"/>
          <w:sz w:val="24"/>
          <w:szCs w:val="24"/>
        </w:rPr>
        <w:t xml:space="preserve">16.1 Asset Inventory</w:t>
      </w:r>
    </w:p>
    <w:p>
      <w:pPr>
        <w:spacing w:after="120" w:line="276"/>
      </w:pPr>
      <w:r>
        <w:rPr>
          <w:rFonts w:ascii="Calibri" w:cs="Calibri" w:eastAsia="Calibri" w:hAnsi="Calibri"/>
          <w:color w:val="333333"/>
          <w:sz w:val="24"/>
          <w:szCs w:val="24"/>
        </w:rPr>
        <w:t xml:space="preserve">The Company shall maintain an inventory of information assets including hardware, software, cloud services, data repositories, network devices, and code repositories. Each asset shall have a designated owner responsible for classification, access control, and lifecycle management.</w:t>
      </w:r>
    </w:p>
    <w:p>
      <w:pPr>
        <w:pStyle w:val="Heading2"/>
        <w:spacing w:after="80" w:before="280"/>
      </w:pPr>
      <w:r>
        <w:rPr>
          <w:rFonts w:ascii="Calibri" w:cs="Calibri" w:eastAsia="Calibri" w:hAnsi="Calibri"/>
          <w:b/>
          <w:bCs/>
          <w:color w:val="2E5090"/>
          <w:sz w:val="24"/>
          <w:szCs w:val="24"/>
        </w:rPr>
        <w:t xml:space="preserve">16.2 Acceptable Use</w:t>
      </w:r>
    </w:p>
    <w:p>
      <w:pPr>
        <w:pStyle w:val="ListParagraph"/>
        <w:numPr>
          <w:ilvl w:val="0"/>
          <w:numId w:val="1"/>
        </w:numPr>
        <w:spacing w:after="60" w:line="276"/>
      </w:pPr>
      <w:r>
        <w:rPr>
          <w:rFonts w:ascii="Calibri" w:cs="Calibri" w:eastAsia="Calibri" w:hAnsi="Calibri"/>
          <w:color w:val="333333"/>
          <w:sz w:val="24"/>
          <w:szCs w:val="24"/>
        </w:rPr>
        <w:t xml:space="preserve">Company systems and information assets shall be used primarily for authorized business purposes.</w:t>
      </w:r>
    </w:p>
    <w:p>
      <w:pPr>
        <w:pStyle w:val="ListParagraph"/>
        <w:numPr>
          <w:ilvl w:val="0"/>
          <w:numId w:val="1"/>
        </w:numPr>
        <w:spacing w:after="60" w:line="276"/>
      </w:pPr>
      <w:r>
        <w:rPr>
          <w:rFonts w:ascii="Calibri" w:cs="Calibri" w:eastAsia="Calibri" w:hAnsi="Calibri"/>
          <w:color w:val="333333"/>
          <w:sz w:val="24"/>
          <w:szCs w:val="24"/>
        </w:rPr>
        <w:t xml:space="preserve">Only approved software, cloud services, and tools may be installed or used on Company systems.</w:t>
      </w:r>
    </w:p>
    <w:p>
      <w:pPr>
        <w:pStyle w:val="ListParagraph"/>
        <w:numPr>
          <w:ilvl w:val="0"/>
          <w:numId w:val="1"/>
        </w:numPr>
        <w:spacing w:after="60" w:line="276"/>
      </w:pPr>
      <w:r>
        <w:rPr>
          <w:rFonts w:ascii="Calibri" w:cs="Calibri" w:eastAsia="Calibri" w:hAnsi="Calibri"/>
          <w:color w:val="333333"/>
          <w:sz w:val="24"/>
          <w:szCs w:val="24"/>
        </w:rPr>
        <w:t xml:space="preserve">Prohibited activities include: circumventing security controls, unauthorized data exfiltration, use of Company resources for illegal purposes, harassment, or activities that expose the Company to unreasonable risk.</w:t>
      </w:r>
    </w:p>
    <w:p>
      <w:pPr>
        <w:pStyle w:val="ListParagraph"/>
        <w:numPr>
          <w:ilvl w:val="0"/>
          <w:numId w:val="1"/>
        </w:numPr>
        <w:spacing w:after="60" w:line="276"/>
      </w:pPr>
      <w:r>
        <w:rPr>
          <w:rFonts w:ascii="Calibri" w:cs="Calibri" w:eastAsia="Calibri" w:hAnsi="Calibri"/>
          <w:color w:val="333333"/>
          <w:sz w:val="24"/>
          <w:szCs w:val="24"/>
        </w:rPr>
        <w:t xml:space="preserve">Email and internet usage shall comply with the Acceptable Use Standard (Exhibit E).</w:t>
      </w:r>
    </w:p>
    <w:p>
      <w:pPr>
        <w:pStyle w:val="Heading2"/>
        <w:spacing w:after="80" w:before="280"/>
      </w:pPr>
      <w:r>
        <w:rPr>
          <w:rFonts w:ascii="Calibri" w:cs="Calibri" w:eastAsia="Calibri" w:hAnsi="Calibri"/>
          <w:b/>
          <w:bCs/>
          <w:color w:val="2E5090"/>
          <w:sz w:val="24"/>
          <w:szCs w:val="24"/>
        </w:rPr>
        <w:t xml:space="preserve">16.3 Travel Security</w:t>
      </w:r>
    </w:p>
    <w:p>
      <w:pPr>
        <w:spacing w:after="120" w:line="276"/>
      </w:pPr>
      <w:r>
        <w:rPr>
          <w:rFonts w:ascii="Calibri" w:cs="Calibri" w:eastAsia="Calibri" w:hAnsi="Calibri"/>
          <w:color w:val="333333"/>
          <w:sz w:val="24"/>
          <w:szCs w:val="24"/>
        </w:rPr>
        <w:t xml:space="preserve">Workforce members traveling with Company devices or accessing Company systems from public or high-risk locations shall follow the Travel Security Standard, including VPN usage, device physical security, and restrictions on connecting to untrusted networks.</w:t>
      </w:r>
    </w:p>
    <w:p>
      <w:pPr>
        <w:pStyle w:val="Heading2"/>
        <w:spacing w:after="80" w:before="280"/>
      </w:pPr>
      <w:r>
        <w:rPr>
          <w:rFonts w:ascii="Calibri" w:cs="Calibri" w:eastAsia="Calibri" w:hAnsi="Calibri"/>
          <w:b/>
          <w:bCs/>
          <w:color w:val="2E5090"/>
          <w:sz w:val="24"/>
          <w:szCs w:val="24"/>
        </w:rPr>
        <w:t xml:space="preserve">16.4 Lost or Stolen Assets</w:t>
      </w:r>
    </w:p>
    <w:p>
      <w:pPr>
        <w:spacing w:after="120" w:line="276"/>
      </w:pPr>
      <w:r>
        <w:rPr>
          <w:rFonts w:ascii="Calibri" w:cs="Calibri" w:eastAsia="Calibri" w:hAnsi="Calibri"/>
          <w:color w:val="333333"/>
          <w:sz w:val="24"/>
          <w:szCs w:val="24"/>
        </w:rPr>
        <w:t xml:space="preserve">Loss or theft of any Company asset or any personal device used to access Company information shall be reported immediately through [INCIDENT REPORTING CHANNEL]. Remote wipe shall be initiated promptly for devices containing Company data.</w:t>
      </w:r>
    </w:p>
    <w:p>
      <w:r>
        <w:br w:type="page"/>
      </w:r>
    </w:p>
    <w:p>
      <w:pPr>
        <w:pStyle w:val="Heading1"/>
        <w:spacing w:after="120" w:before="360"/>
      </w:pPr>
      <w:r>
        <w:rPr>
          <w:rFonts w:ascii="Calibri" w:cs="Calibri" w:eastAsia="Calibri" w:hAnsi="Calibri"/>
          <w:b/>
          <w:bCs/>
          <w:color w:val="1B2A4A"/>
          <w:sz w:val="28"/>
          <w:szCs w:val="28"/>
        </w:rPr>
        <w:t xml:space="preserve">17. Policy Governance and Exceptions</w:t>
      </w:r>
    </w:p>
    <w:p>
      <w:pPr>
        <w:pStyle w:val="Heading2"/>
        <w:spacing w:after="80" w:before="280"/>
      </w:pPr>
      <w:r>
        <w:rPr>
          <w:rFonts w:ascii="Calibri" w:cs="Calibri" w:eastAsia="Calibri" w:hAnsi="Calibri"/>
          <w:b/>
          <w:bCs/>
          <w:color w:val="2E5090"/>
          <w:sz w:val="24"/>
          <w:szCs w:val="24"/>
        </w:rPr>
        <w:t xml:space="preserve">17.1 Policy Approval and Distribution</w:t>
      </w:r>
    </w:p>
    <w:p>
      <w:pPr>
        <w:pStyle w:val="ListParagraph"/>
        <w:numPr>
          <w:ilvl w:val="0"/>
          <w:numId w:val="1"/>
        </w:numPr>
        <w:spacing w:after="60" w:line="276"/>
      </w:pPr>
      <w:r>
        <w:rPr>
          <w:rFonts w:ascii="Calibri" w:cs="Calibri" w:eastAsia="Calibri" w:hAnsi="Calibri"/>
          <w:color w:val="333333"/>
          <w:sz w:val="24"/>
          <w:szCs w:val="24"/>
        </w:rPr>
        <w:t xml:space="preserve">This Policy is approved by [EXECUTIVE SPONSOR / BOARD] and distributed to all workforce members, who shall acknowledge receipt and responsibility to comply.</w:t>
      </w:r>
    </w:p>
    <w:p>
      <w:pPr>
        <w:pStyle w:val="ListParagraph"/>
        <w:numPr>
          <w:ilvl w:val="0"/>
          <w:numId w:val="1"/>
        </w:numPr>
        <w:spacing w:after="60" w:line="276"/>
      </w:pPr>
      <w:r>
        <w:rPr>
          <w:rFonts w:ascii="Calibri" w:cs="Calibri" w:eastAsia="Calibri" w:hAnsi="Calibri"/>
          <w:color w:val="333333"/>
          <w:sz w:val="24"/>
          <w:szCs w:val="24"/>
        </w:rPr>
        <w:t xml:space="preserve">Material revisions shall be communicated to all workforce members within [30 DAYS] of approval.</w:t>
      </w:r>
    </w:p>
    <w:p>
      <w:pPr>
        <w:pStyle w:val="Heading2"/>
        <w:spacing w:after="80" w:before="280"/>
      </w:pPr>
      <w:r>
        <w:rPr>
          <w:rFonts w:ascii="Calibri" w:cs="Calibri" w:eastAsia="Calibri" w:hAnsi="Calibri"/>
          <w:b/>
          <w:bCs/>
          <w:color w:val="2E5090"/>
          <w:sz w:val="24"/>
          <w:szCs w:val="24"/>
        </w:rPr>
        <w:t xml:space="preserve">17.2 Exception Process</w:t>
      </w:r>
    </w:p>
    <w:p>
      <w:pPr>
        <w:spacing w:after="120" w:line="276"/>
      </w:pPr>
      <w:r>
        <w:rPr>
          <w:rFonts w:ascii="Calibri" w:cs="Calibri" w:eastAsia="Calibri" w:hAnsi="Calibri"/>
          <w:color w:val="333333"/>
          <w:sz w:val="24"/>
          <w:szCs w:val="24"/>
        </w:rPr>
        <w:t xml:space="preserve">Exceptions to this Policy or subsidiary standards require:</w:t>
      </w:r>
    </w:p>
    <w:p>
      <w:pPr>
        <w:pStyle w:val="ListParagraph"/>
        <w:numPr>
          <w:ilvl w:val="0"/>
          <w:numId w:val="1"/>
        </w:numPr>
        <w:spacing w:after="60" w:line="276"/>
      </w:pPr>
      <w:r>
        <w:rPr>
          <w:rFonts w:ascii="Calibri" w:cs="Calibri" w:eastAsia="Calibri" w:hAnsi="Calibri"/>
          <w:color w:val="333333"/>
          <w:sz w:val="24"/>
          <w:szCs w:val="24"/>
        </w:rPr>
        <w:t xml:space="preserve">Written business justification documenting the requirement that cannot be met;</w:t>
      </w:r>
    </w:p>
    <w:p>
      <w:pPr>
        <w:pStyle w:val="ListParagraph"/>
        <w:numPr>
          <w:ilvl w:val="0"/>
          <w:numId w:val="1"/>
        </w:numPr>
        <w:spacing w:after="60" w:line="276"/>
      </w:pPr>
      <w:r>
        <w:rPr>
          <w:rFonts w:ascii="Calibri" w:cs="Calibri" w:eastAsia="Calibri" w:hAnsi="Calibri"/>
          <w:color w:val="333333"/>
          <w:sz w:val="24"/>
          <w:szCs w:val="24"/>
        </w:rPr>
        <w:t xml:space="preserve">Risk analysis identifying the specific risks introduced by the exception;</w:t>
      </w:r>
    </w:p>
    <w:p>
      <w:pPr>
        <w:pStyle w:val="ListParagraph"/>
        <w:numPr>
          <w:ilvl w:val="0"/>
          <w:numId w:val="1"/>
        </w:numPr>
        <w:spacing w:after="60" w:line="276"/>
      </w:pPr>
      <w:r>
        <w:rPr>
          <w:rFonts w:ascii="Calibri" w:cs="Calibri" w:eastAsia="Calibri" w:hAnsi="Calibri"/>
          <w:color w:val="333333"/>
          <w:sz w:val="24"/>
          <w:szCs w:val="24"/>
        </w:rPr>
        <w:t xml:space="preserve">Compensating controls that reduce risk to an acceptable level;</w:t>
      </w:r>
    </w:p>
    <w:p>
      <w:pPr>
        <w:pStyle w:val="ListParagraph"/>
        <w:numPr>
          <w:ilvl w:val="0"/>
          <w:numId w:val="1"/>
        </w:numPr>
        <w:spacing w:after="60" w:line="276"/>
      </w:pPr>
      <w:r>
        <w:rPr>
          <w:rFonts w:ascii="Calibri" w:cs="Calibri" w:eastAsia="Calibri" w:hAnsi="Calibri"/>
          <w:color w:val="333333"/>
          <w:sz w:val="24"/>
          <w:szCs w:val="24"/>
        </w:rPr>
        <w:t xml:space="preserve">Designated exception owner accountable for monitoring;</w:t>
      </w:r>
    </w:p>
    <w:p>
      <w:pPr>
        <w:pStyle w:val="ListParagraph"/>
        <w:numPr>
          <w:ilvl w:val="0"/>
          <w:numId w:val="1"/>
        </w:numPr>
        <w:spacing w:after="60" w:line="276"/>
      </w:pPr>
      <w:r>
        <w:rPr>
          <w:rFonts w:ascii="Calibri" w:cs="Calibri" w:eastAsia="Calibri" w:hAnsi="Calibri"/>
          <w:color w:val="333333"/>
          <w:sz w:val="24"/>
          <w:szCs w:val="24"/>
        </w:rPr>
        <w:t xml:space="preserve">Approval by the Security Leader and, for critical/high-risk exceptions, by [EXECUTIVE SPONSOR];</w:t>
      </w:r>
    </w:p>
    <w:p>
      <w:pPr>
        <w:pStyle w:val="ListParagraph"/>
        <w:numPr>
          <w:ilvl w:val="0"/>
          <w:numId w:val="1"/>
        </w:numPr>
        <w:spacing w:after="60" w:line="276"/>
      </w:pPr>
      <w:r>
        <w:rPr>
          <w:rFonts w:ascii="Calibri" w:cs="Calibri" w:eastAsia="Calibri" w:hAnsi="Calibri"/>
          <w:color w:val="333333"/>
          <w:sz w:val="24"/>
          <w:szCs w:val="24"/>
        </w:rPr>
        <w:t xml:space="preserve">Defined expiration date not to exceed [12 MONTHS]; and</w:t>
      </w:r>
    </w:p>
    <w:p>
      <w:pPr>
        <w:pStyle w:val="ListParagraph"/>
        <w:numPr>
          <w:ilvl w:val="0"/>
          <w:numId w:val="1"/>
        </w:numPr>
        <w:spacing w:after="60" w:line="276"/>
      </w:pPr>
      <w:r>
        <w:rPr>
          <w:rFonts w:ascii="Calibri" w:cs="Calibri" w:eastAsia="Calibri" w:hAnsi="Calibri"/>
          <w:color w:val="333333"/>
          <w:sz w:val="24"/>
          <w:szCs w:val="24"/>
        </w:rPr>
        <w:t xml:space="preserve">Review and reapproval before expiration or conversion to a permanent standard change.</w:t>
      </w:r>
    </w:p>
    <w:p>
      <w:pPr>
        <w:pStyle w:val="Heading2"/>
        <w:spacing w:after="80" w:before="280"/>
      </w:pPr>
      <w:r>
        <w:rPr>
          <w:rFonts w:ascii="Calibri" w:cs="Calibri" w:eastAsia="Calibri" w:hAnsi="Calibri"/>
          <w:b/>
          <w:bCs/>
          <w:color w:val="2E5090"/>
          <w:sz w:val="24"/>
          <w:szCs w:val="24"/>
        </w:rPr>
        <w:t xml:space="preserve">17.3 Risk Acceptance Authority</w:t>
      </w:r>
    </w:p>
    <w:p>
      <w:pPr>
        <w:spacing w:after="120" w:line="276"/>
      </w:pPr>
      <w:r>
        <w:rPr>
          <w:rFonts w:ascii="Calibri" w:cs="Calibri" w:eastAsia="Calibri" w:hAnsi="Calibri"/>
          <w:color w:val="333333"/>
          <w:sz w:val="24"/>
          <w:szCs w:val="24"/>
        </w:rPr>
        <w:t xml:space="preserve">Critical residual risk (risks rated Critical or High after controls) requires acceptance by [EXECUTIVE ONLY / EXECUTIVE PLUS BOARD COMMITTEE] with documented:</w:t>
      </w:r>
    </w:p>
    <w:p>
      <w:pPr>
        <w:pStyle w:val="ListParagraph"/>
        <w:numPr>
          <w:ilvl w:val="0"/>
          <w:numId w:val="1"/>
        </w:numPr>
        <w:spacing w:after="60" w:line="276"/>
      </w:pPr>
      <w:r>
        <w:rPr>
          <w:rFonts w:ascii="Calibri" w:cs="Calibri" w:eastAsia="Calibri" w:hAnsi="Calibri"/>
          <w:color w:val="333333"/>
          <w:sz w:val="24"/>
          <w:szCs w:val="24"/>
        </w:rPr>
        <w:t xml:space="preserve">Justification and business impact analysis;</w:t>
      </w:r>
    </w:p>
    <w:p>
      <w:pPr>
        <w:pStyle w:val="ListParagraph"/>
        <w:numPr>
          <w:ilvl w:val="0"/>
          <w:numId w:val="1"/>
        </w:numPr>
        <w:spacing w:after="60" w:line="276"/>
      </w:pPr>
      <w:r>
        <w:rPr>
          <w:rFonts w:ascii="Calibri" w:cs="Calibri" w:eastAsia="Calibri" w:hAnsi="Calibri"/>
          <w:color w:val="333333"/>
          <w:sz w:val="24"/>
          <w:szCs w:val="24"/>
        </w:rPr>
        <w:t xml:space="preserve">Compensating controls in place;</w:t>
      </w:r>
    </w:p>
    <w:p>
      <w:pPr>
        <w:pStyle w:val="ListParagraph"/>
        <w:numPr>
          <w:ilvl w:val="0"/>
          <w:numId w:val="1"/>
        </w:numPr>
        <w:spacing w:after="60" w:line="276"/>
      </w:pPr>
      <w:r>
        <w:rPr>
          <w:rFonts w:ascii="Calibri" w:cs="Calibri" w:eastAsia="Calibri" w:hAnsi="Calibri"/>
          <w:color w:val="333333"/>
          <w:sz w:val="24"/>
          <w:szCs w:val="24"/>
        </w:rPr>
        <w:t xml:space="preserve">Accountable owner and escalation path;</w:t>
      </w:r>
    </w:p>
    <w:p>
      <w:pPr>
        <w:pStyle w:val="ListParagraph"/>
        <w:numPr>
          <w:ilvl w:val="0"/>
          <w:numId w:val="1"/>
        </w:numPr>
        <w:spacing w:after="60" w:line="276"/>
      </w:pPr>
      <w:r>
        <w:rPr>
          <w:rFonts w:ascii="Calibri" w:cs="Calibri" w:eastAsia="Calibri" w:hAnsi="Calibri"/>
          <w:color w:val="333333"/>
          <w:sz w:val="24"/>
          <w:szCs w:val="24"/>
        </w:rPr>
        <w:t xml:space="preserve">Funding commitment for remediation if planned;</w:t>
      </w:r>
    </w:p>
    <w:p>
      <w:pPr>
        <w:pStyle w:val="ListParagraph"/>
        <w:numPr>
          <w:ilvl w:val="0"/>
          <w:numId w:val="1"/>
        </w:numPr>
        <w:spacing w:after="60" w:line="276"/>
      </w:pPr>
      <w:r>
        <w:rPr>
          <w:rFonts w:ascii="Calibri" w:cs="Calibri" w:eastAsia="Calibri" w:hAnsi="Calibri"/>
          <w:color w:val="333333"/>
          <w:sz w:val="24"/>
          <w:szCs w:val="24"/>
        </w:rPr>
        <w:t xml:space="preserve">Expiration date and mandatory re-review cadence.</w:t>
      </w:r>
    </w:p>
    <w:p>
      <w:pPr>
        <w:pStyle w:val="Heading2"/>
        <w:spacing w:after="80" w:before="280"/>
      </w:pPr>
      <w:r>
        <w:rPr>
          <w:rFonts w:ascii="Calibri" w:cs="Calibri" w:eastAsia="Calibri" w:hAnsi="Calibri"/>
          <w:b/>
          <w:bCs/>
          <w:color w:val="2E5090"/>
          <w:sz w:val="24"/>
          <w:szCs w:val="24"/>
        </w:rPr>
        <w:t xml:space="preserve">17.4 Enforcement</w:t>
      </w:r>
    </w:p>
    <w:p>
      <w:pPr>
        <w:pStyle w:val="ListParagraph"/>
        <w:numPr>
          <w:ilvl w:val="0"/>
          <w:numId w:val="1"/>
        </w:numPr>
        <w:spacing w:after="60" w:line="276"/>
      </w:pPr>
      <w:r>
        <w:rPr>
          <w:rFonts w:ascii="Calibri" w:cs="Calibri" w:eastAsia="Calibri" w:hAnsi="Calibri"/>
          <w:color w:val="333333"/>
          <w:sz w:val="24"/>
          <w:szCs w:val="24"/>
        </w:rPr>
        <w:t xml:space="preserve">Good-faith reporting of suspected security incidents or policy violations is protected. Retaliation against good-faith reporters is prohibited.</w:t>
      </w:r>
    </w:p>
    <w:p>
      <w:pPr>
        <w:pStyle w:val="ListParagraph"/>
        <w:numPr>
          <w:ilvl w:val="0"/>
          <w:numId w:val="1"/>
        </w:numPr>
        <w:spacing w:after="60" w:line="276"/>
      </w:pPr>
      <w:r>
        <w:rPr>
          <w:rFonts w:ascii="Calibri" w:cs="Calibri" w:eastAsia="Calibri" w:hAnsi="Calibri"/>
          <w:color w:val="333333"/>
          <w:sz w:val="24"/>
          <w:szCs w:val="24"/>
        </w:rPr>
        <w:t xml:space="preserve">Violations of this Policy may result in proportionate disciplinary action, up to and including termination of employment or contract, and may be referred for legal action where appropriate.</w:t>
      </w:r>
    </w:p>
    <w:p>
      <w:pPr>
        <w:pStyle w:val="ListParagraph"/>
        <w:numPr>
          <w:ilvl w:val="0"/>
          <w:numId w:val="1"/>
        </w:numPr>
        <w:spacing w:after="60" w:line="276"/>
      </w:pPr>
      <w:r>
        <w:rPr>
          <w:rFonts w:ascii="Calibri" w:cs="Calibri" w:eastAsia="Calibri" w:hAnsi="Calibri"/>
          <w:color w:val="333333"/>
          <w:sz w:val="24"/>
          <w:szCs w:val="24"/>
        </w:rPr>
        <w:t xml:space="preserve">Enforcement actions shall be documented and coordinated with Human Resources and Legal.</w:t>
      </w:r>
    </w:p>
    <w:p>
      <w:r>
        <w:br w:type="page"/>
      </w:r>
    </w:p>
    <w:p>
      <w:pPr>
        <w:pStyle w:val="Heading1"/>
        <w:spacing w:after="120" w:before="360"/>
      </w:pPr>
      <w:r>
        <w:rPr>
          <w:rFonts w:ascii="Calibri" w:cs="Calibri" w:eastAsia="Calibri" w:hAnsi="Calibri"/>
          <w:b/>
          <w:bCs/>
          <w:color w:val="1B2A4A"/>
          <w:sz w:val="28"/>
          <w:szCs w:val="28"/>
        </w:rPr>
        <w:t xml:space="preserve">18. Monitoring and Privacy</w:t>
      </w:r>
    </w:p>
    <w:p>
      <w:pPr>
        <w:pStyle w:val="Heading2"/>
        <w:spacing w:after="80" w:before="280"/>
      </w:pPr>
      <w:r>
        <w:rPr>
          <w:rFonts w:ascii="Calibri" w:cs="Calibri" w:eastAsia="Calibri" w:hAnsi="Calibri"/>
          <w:b/>
          <w:bCs/>
          <w:color w:val="2E5090"/>
          <w:sz w:val="24"/>
          <w:szCs w:val="24"/>
        </w:rPr>
        <w:t xml:space="preserve">18.1 System Monitoring</w:t>
      </w:r>
    </w:p>
    <w:p>
      <w:pPr>
        <w:spacing w:after="120" w:line="276"/>
      </w:pPr>
      <w:r>
        <w:rPr>
          <w:rFonts w:ascii="Calibri" w:cs="Calibri" w:eastAsia="Calibri" w:hAnsi="Calibri"/>
          <w:color w:val="333333"/>
          <w:sz w:val="24"/>
          <w:szCs w:val="24"/>
        </w:rPr>
        <w:t xml:space="preserve">Company information systems may be monitored for security, legal, operational, and compliance purposes. Monitoring may include:</w:t>
      </w:r>
    </w:p>
    <w:p>
      <w:pPr>
        <w:pStyle w:val="ListParagraph"/>
        <w:numPr>
          <w:ilvl w:val="0"/>
          <w:numId w:val="1"/>
        </w:numPr>
        <w:spacing w:after="60" w:line="276"/>
      </w:pPr>
      <w:r>
        <w:rPr>
          <w:rFonts w:ascii="Calibri" w:cs="Calibri" w:eastAsia="Calibri" w:hAnsi="Calibri"/>
          <w:color w:val="333333"/>
          <w:sz w:val="24"/>
          <w:szCs w:val="24"/>
        </w:rPr>
        <w:t xml:space="preserve">Network traffic analysis and intrusion detection;</w:t>
      </w:r>
    </w:p>
    <w:p>
      <w:pPr>
        <w:pStyle w:val="ListParagraph"/>
        <w:numPr>
          <w:ilvl w:val="0"/>
          <w:numId w:val="1"/>
        </w:numPr>
        <w:spacing w:after="60" w:line="276"/>
      </w:pPr>
      <w:r>
        <w:rPr>
          <w:rFonts w:ascii="Calibri" w:cs="Calibri" w:eastAsia="Calibri" w:hAnsi="Calibri"/>
          <w:color w:val="333333"/>
          <w:sz w:val="24"/>
          <w:szCs w:val="24"/>
        </w:rPr>
        <w:t xml:space="preserve">Email and web content filtering;</w:t>
      </w:r>
    </w:p>
    <w:p>
      <w:pPr>
        <w:pStyle w:val="ListParagraph"/>
        <w:numPr>
          <w:ilvl w:val="0"/>
          <w:numId w:val="1"/>
        </w:numPr>
        <w:spacing w:after="60" w:line="276"/>
      </w:pPr>
      <w:r>
        <w:rPr>
          <w:rFonts w:ascii="Calibri" w:cs="Calibri" w:eastAsia="Calibri" w:hAnsi="Calibri"/>
          <w:color w:val="333333"/>
          <w:sz w:val="24"/>
          <w:szCs w:val="24"/>
        </w:rPr>
        <w:t xml:space="preserve">Endpoint activity logging;</w:t>
      </w:r>
    </w:p>
    <w:p>
      <w:pPr>
        <w:pStyle w:val="ListParagraph"/>
        <w:numPr>
          <w:ilvl w:val="0"/>
          <w:numId w:val="1"/>
        </w:numPr>
        <w:spacing w:after="60" w:line="276"/>
      </w:pPr>
      <w:r>
        <w:rPr>
          <w:rFonts w:ascii="Calibri" w:cs="Calibri" w:eastAsia="Calibri" w:hAnsi="Calibri"/>
          <w:color w:val="333333"/>
          <w:sz w:val="24"/>
          <w:szCs w:val="24"/>
        </w:rPr>
        <w:t xml:space="preserve">Authentication and access event logging;</w:t>
      </w:r>
    </w:p>
    <w:p>
      <w:pPr>
        <w:pStyle w:val="ListParagraph"/>
        <w:numPr>
          <w:ilvl w:val="0"/>
          <w:numId w:val="1"/>
        </w:numPr>
        <w:spacing w:after="60" w:line="276"/>
      </w:pPr>
      <w:r>
        <w:rPr>
          <w:rFonts w:ascii="Calibri" w:cs="Calibri" w:eastAsia="Calibri" w:hAnsi="Calibri"/>
          <w:color w:val="333333"/>
          <w:sz w:val="24"/>
          <w:szCs w:val="24"/>
        </w:rPr>
        <w:t xml:space="preserve">Data loss prevention monitoring; and</w:t>
      </w:r>
    </w:p>
    <w:p>
      <w:pPr>
        <w:pStyle w:val="ListParagraph"/>
        <w:numPr>
          <w:ilvl w:val="0"/>
          <w:numId w:val="1"/>
        </w:numPr>
        <w:spacing w:after="60" w:line="276"/>
      </w:pPr>
      <w:r>
        <w:rPr>
          <w:rFonts w:ascii="Calibri" w:cs="Calibri" w:eastAsia="Calibri" w:hAnsi="Calibri"/>
          <w:color w:val="333333"/>
          <w:sz w:val="24"/>
          <w:szCs w:val="24"/>
        </w:rPr>
        <w:t xml:space="preserve">Cloud service activity monitoring.</w:t>
      </w:r>
    </w:p>
    <w:p>
      <w:pPr>
        <w:pStyle w:val="Heading2"/>
        <w:spacing w:after="80" w:before="280"/>
      </w:pPr>
      <w:r>
        <w:rPr>
          <w:rFonts w:ascii="Calibri" w:cs="Calibri" w:eastAsia="Calibri" w:hAnsi="Calibri"/>
          <w:b/>
          <w:bCs/>
          <w:color w:val="2E5090"/>
          <w:sz w:val="24"/>
          <w:szCs w:val="24"/>
        </w:rPr>
        <w:t xml:space="preserve">18.2 Privacy Safeguards</w:t>
      </w:r>
    </w:p>
    <w:p>
      <w:pPr>
        <w:pStyle w:val="ListParagraph"/>
        <w:numPr>
          <w:ilvl w:val="0"/>
          <w:numId w:val="1"/>
        </w:numPr>
        <w:spacing w:after="60" w:line="276"/>
      </w:pPr>
      <w:r>
        <w:rPr>
          <w:rFonts w:ascii="Calibri" w:cs="Calibri" w:eastAsia="Calibri" w:hAnsi="Calibri"/>
          <w:color w:val="333333"/>
          <w:sz w:val="24"/>
          <w:szCs w:val="24"/>
        </w:rPr>
        <w:t xml:space="preserve">Monitoring shall be conducted in accordance with applicable privacy notices, employment agreements, and local laws.</w:t>
      </w:r>
    </w:p>
    <w:p>
      <w:pPr>
        <w:pStyle w:val="ListParagraph"/>
        <w:numPr>
          <w:ilvl w:val="0"/>
          <w:numId w:val="1"/>
        </w:numPr>
        <w:spacing w:after="60" w:line="276"/>
      </w:pPr>
      <w:r>
        <w:rPr>
          <w:rFonts w:ascii="Calibri" w:cs="Calibri" w:eastAsia="Calibri" w:hAnsi="Calibri"/>
          <w:color w:val="333333"/>
          <w:sz w:val="24"/>
          <w:szCs w:val="24"/>
        </w:rPr>
        <w:t xml:space="preserve">Monitoring shall be proportionate to the legitimate security or business purpose.</w:t>
      </w:r>
    </w:p>
    <w:p>
      <w:pPr>
        <w:pStyle w:val="ListParagraph"/>
        <w:numPr>
          <w:ilvl w:val="0"/>
          <w:numId w:val="1"/>
        </w:numPr>
        <w:spacing w:after="60" w:line="276"/>
      </w:pPr>
      <w:r>
        <w:rPr>
          <w:rFonts w:ascii="Calibri" w:cs="Calibri" w:eastAsia="Calibri" w:hAnsi="Calibri"/>
          <w:color w:val="333333"/>
          <w:sz w:val="24"/>
          <w:szCs w:val="24"/>
        </w:rPr>
        <w:t xml:space="preserve">Access to monitoring data shall be restricted to authorized personnel on a need-to-know basis.</w:t>
      </w:r>
    </w:p>
    <w:p>
      <w:pPr>
        <w:pStyle w:val="ListParagraph"/>
        <w:numPr>
          <w:ilvl w:val="0"/>
          <w:numId w:val="1"/>
        </w:numPr>
        <w:spacing w:after="60" w:line="276"/>
      </w:pPr>
      <w:r>
        <w:rPr>
          <w:rFonts w:ascii="Calibri" w:cs="Calibri" w:eastAsia="Calibri" w:hAnsi="Calibri"/>
          <w:color w:val="333333"/>
          <w:sz w:val="24"/>
          <w:szCs w:val="24"/>
        </w:rPr>
        <w:t xml:space="preserve">This Policy does not eliminate privacy, employment, or civil rights provided by applicable law.</w:t>
      </w:r>
    </w:p>
    <w:p>
      <w:pPr>
        <w:pStyle w:val="ListParagraph"/>
        <w:numPr>
          <w:ilvl w:val="0"/>
          <w:numId w:val="1"/>
        </w:numPr>
        <w:spacing w:after="60" w:line="276"/>
      </w:pPr>
      <w:r>
        <w:rPr>
          <w:rFonts w:ascii="Calibri" w:cs="Calibri" w:eastAsia="Calibri" w:hAnsi="Calibri"/>
          <w:color w:val="333333"/>
          <w:sz w:val="24"/>
          <w:szCs w:val="24"/>
        </w:rPr>
        <w:t xml:space="preserve">Work-state monitoring notices shall be provided to workforce members as required by jurisdiction.</w:t>
      </w:r>
    </w:p>
    <w:p>
      <w:pPr>
        <w:pStyle w:val="Heading2"/>
        <w:spacing w:after="80" w:before="280"/>
      </w:pPr>
      <w:r>
        <w:rPr>
          <w:rFonts w:ascii="Calibri" w:cs="Calibri" w:eastAsia="Calibri" w:hAnsi="Calibri"/>
          <w:b/>
          <w:bCs/>
          <w:color w:val="2E5090"/>
          <w:sz w:val="24"/>
          <w:szCs w:val="24"/>
        </w:rPr>
        <w:t xml:space="preserve">18.3 Management Review</w:t>
      </w:r>
    </w:p>
    <w:p>
      <w:pPr>
        <w:spacing w:after="120" w:line="276"/>
      </w:pPr>
      <w:r>
        <w:rPr>
          <w:rFonts w:ascii="Calibri" w:cs="Calibri" w:eastAsia="Calibri" w:hAnsi="Calibri"/>
          <w:color w:val="333333"/>
          <w:sz w:val="24"/>
          <w:szCs w:val="24"/>
        </w:rPr>
        <w:t xml:space="preserve">The Security Leader shall present to [EXECUTIVE COMMITTEE / BOARD] at least [QUARTERLY] a management review covering:</w:t>
      </w:r>
    </w:p>
    <w:p>
      <w:pPr>
        <w:pStyle w:val="ListParagraph"/>
        <w:numPr>
          <w:ilvl w:val="0"/>
          <w:numId w:val="1"/>
        </w:numPr>
        <w:spacing w:after="60" w:line="276"/>
      </w:pPr>
      <w:r>
        <w:rPr>
          <w:rFonts w:ascii="Calibri" w:cs="Calibri" w:eastAsia="Calibri" w:hAnsi="Calibri"/>
          <w:color w:val="333333"/>
          <w:sz w:val="24"/>
          <w:szCs w:val="24"/>
        </w:rPr>
        <w:t xml:space="preserve">Material security incidents and response outcomes;</w:t>
      </w:r>
    </w:p>
    <w:p>
      <w:pPr>
        <w:pStyle w:val="ListParagraph"/>
        <w:numPr>
          <w:ilvl w:val="0"/>
          <w:numId w:val="1"/>
        </w:numPr>
        <w:spacing w:after="60" w:line="276"/>
      </w:pPr>
      <w:r>
        <w:rPr>
          <w:rFonts w:ascii="Calibri" w:cs="Calibri" w:eastAsia="Calibri" w:hAnsi="Calibri"/>
          <w:color w:val="333333"/>
          <w:sz w:val="24"/>
          <w:szCs w:val="24"/>
        </w:rPr>
        <w:t xml:space="preserve">Overdue critical risk remediation items;</w:t>
      </w:r>
    </w:p>
    <w:p>
      <w:pPr>
        <w:pStyle w:val="ListParagraph"/>
        <w:numPr>
          <w:ilvl w:val="0"/>
          <w:numId w:val="1"/>
        </w:numPr>
        <w:spacing w:after="60" w:line="276"/>
      </w:pPr>
      <w:r>
        <w:rPr>
          <w:rFonts w:ascii="Calibri" w:cs="Calibri" w:eastAsia="Calibri" w:hAnsi="Calibri"/>
          <w:color w:val="333333"/>
          <w:sz w:val="24"/>
          <w:szCs w:val="24"/>
        </w:rPr>
        <w:t xml:space="preserve">Privileged access review status;</w:t>
      </w:r>
    </w:p>
    <w:p>
      <w:pPr>
        <w:pStyle w:val="ListParagraph"/>
        <w:numPr>
          <w:ilvl w:val="0"/>
          <w:numId w:val="1"/>
        </w:numPr>
        <w:spacing w:after="60" w:line="276"/>
      </w:pPr>
      <w:r>
        <w:rPr>
          <w:rFonts w:ascii="Calibri" w:cs="Calibri" w:eastAsia="Calibri" w:hAnsi="Calibri"/>
          <w:color w:val="333333"/>
          <w:sz w:val="24"/>
          <w:szCs w:val="24"/>
        </w:rPr>
        <w:t xml:space="preserve">Backup and restoration test results;</w:t>
      </w:r>
    </w:p>
    <w:p>
      <w:pPr>
        <w:pStyle w:val="ListParagraph"/>
        <w:numPr>
          <w:ilvl w:val="0"/>
          <w:numId w:val="1"/>
        </w:numPr>
        <w:spacing w:after="60" w:line="276"/>
      </w:pPr>
      <w:r>
        <w:rPr>
          <w:rFonts w:ascii="Calibri" w:cs="Calibri" w:eastAsia="Calibri" w:hAnsi="Calibri"/>
          <w:color w:val="333333"/>
          <w:sz w:val="24"/>
          <w:szCs w:val="24"/>
        </w:rPr>
        <w:t xml:space="preserve">High-risk vendor assessment status;</w:t>
      </w:r>
    </w:p>
    <w:p>
      <w:pPr>
        <w:pStyle w:val="ListParagraph"/>
        <w:numPr>
          <w:ilvl w:val="0"/>
          <w:numId w:val="1"/>
        </w:numPr>
        <w:spacing w:after="60" w:line="276"/>
      </w:pPr>
      <w:r>
        <w:rPr>
          <w:rFonts w:ascii="Calibri" w:cs="Calibri" w:eastAsia="Calibri" w:hAnsi="Calibri"/>
          <w:color w:val="333333"/>
          <w:sz w:val="24"/>
          <w:szCs w:val="24"/>
        </w:rPr>
        <w:t xml:space="preserve">Active exceptions and risk acceptances;</w:t>
      </w:r>
    </w:p>
    <w:p>
      <w:pPr>
        <w:pStyle w:val="ListParagraph"/>
        <w:numPr>
          <w:ilvl w:val="0"/>
          <w:numId w:val="1"/>
        </w:numPr>
        <w:spacing w:after="60" w:line="276"/>
      </w:pPr>
      <w:r>
        <w:rPr>
          <w:rFonts w:ascii="Calibri" w:cs="Calibri" w:eastAsia="Calibri" w:hAnsi="Calibri"/>
          <w:color w:val="333333"/>
          <w:sz w:val="24"/>
          <w:szCs w:val="24"/>
        </w:rPr>
        <w:t xml:space="preserve">Training completion and phishing simulation results;</w:t>
      </w:r>
    </w:p>
    <w:p>
      <w:pPr>
        <w:pStyle w:val="ListParagraph"/>
        <w:numPr>
          <w:ilvl w:val="0"/>
          <w:numId w:val="1"/>
        </w:numPr>
        <w:spacing w:after="60" w:line="276"/>
      </w:pPr>
      <w:r>
        <w:rPr>
          <w:rFonts w:ascii="Calibri" w:cs="Calibri" w:eastAsia="Calibri" w:hAnsi="Calibri"/>
          <w:color w:val="333333"/>
          <w:sz w:val="24"/>
          <w:szCs w:val="24"/>
        </w:rPr>
        <w:t xml:space="preserve">Penetration testing and vulnerability management metrics;</w:t>
      </w:r>
    </w:p>
    <w:p>
      <w:pPr>
        <w:pStyle w:val="ListParagraph"/>
        <w:numPr>
          <w:ilvl w:val="0"/>
          <w:numId w:val="1"/>
        </w:numPr>
        <w:spacing w:after="60" w:line="276"/>
      </w:pPr>
      <w:r>
        <w:rPr>
          <w:rFonts w:ascii="Calibri" w:cs="Calibri" w:eastAsia="Calibri" w:hAnsi="Calibri"/>
          <w:color w:val="333333"/>
          <w:sz w:val="24"/>
          <w:szCs w:val="24"/>
        </w:rPr>
        <w:t xml:space="preserve">Policy deviations and funding decisions; and</w:t>
      </w:r>
    </w:p>
    <w:p>
      <w:pPr>
        <w:pStyle w:val="ListParagraph"/>
        <w:numPr>
          <w:ilvl w:val="0"/>
          <w:numId w:val="1"/>
        </w:numPr>
        <w:spacing w:after="60" w:line="276"/>
      </w:pPr>
      <w:r>
        <w:rPr>
          <w:rFonts w:ascii="Calibri" w:cs="Calibri" w:eastAsia="Calibri" w:hAnsi="Calibri"/>
          <w:color w:val="333333"/>
          <w:sz w:val="24"/>
          <w:szCs w:val="24"/>
        </w:rPr>
        <w:t xml:space="preserve">Security program maturity and roadmap progress.</w:t>
      </w:r>
    </w:p>
    <w:p>
      <w:pPr>
        <w:spacing w:after="120" w:line="276"/>
      </w:pPr>
      <w:r>
        <w:rPr>
          <w:rFonts w:ascii="Calibri" w:cs="Calibri" w:eastAsia="Calibri" w:hAnsi="Calibri"/>
          <w:color w:val="333333"/>
          <w:sz w:val="24"/>
          <w:szCs w:val="24"/>
        </w:rPr>
        <w:t xml:space="preserve">Management review minutes shall be documented with decisions, action items, and accountability. Privilege shall be evaluated separately for applicable discussions.</w:t>
      </w:r>
    </w:p>
    <w:p>
      <w:r>
        <w:br w:type="page"/>
      </w:r>
    </w:p>
    <w:p>
      <w:pPr>
        <w:pStyle w:val="Heading1"/>
        <w:spacing w:after="120" w:before="360"/>
      </w:pPr>
      <w:r>
        <w:rPr>
          <w:rFonts w:ascii="Calibri" w:cs="Calibri" w:eastAsia="Calibri" w:hAnsi="Calibri"/>
          <w:b/>
          <w:bCs/>
          <w:color w:val="1B2A4A"/>
          <w:sz w:val="28"/>
          <w:szCs w:val="28"/>
        </w:rPr>
        <w:t xml:space="preserve">Exhibit A — Obligations Register and Framework Mapping</w:t>
      </w:r>
    </w:p>
    <w:p>
      <w:pPr>
        <w:spacing w:after="120" w:line="276"/>
      </w:pPr>
      <w:r>
        <w:rPr>
          <w:rFonts w:ascii="Calibri" w:cs="Calibri" w:eastAsia="Calibri" w:hAnsi="Calibri"/>
          <w:color w:val="333333"/>
          <w:sz w:val="24"/>
          <w:szCs w:val="24"/>
        </w:rPr>
        <w:t xml:space="preserve">Legal/Privacy shall maintain this register identifying each applicable obligation. A list of framework names alone is not an applicability conclusion.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gridCol w:w="100"/>
        <w:gridCol w:w="100"/>
        <w:gridCol w:w="100"/>
      </w:tblGrid>
      <w:tr>
        <w:tc>
          <w:tcPr>
            <w:tcW w:type="dxa" w:w="14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Obligation Source</w:t>
            </w:r>
          </w:p>
        </w:tc>
        <w:tc>
          <w:tcPr>
            <w:tcW w:type="dxa" w:w="7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Type</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Applicability</w:t>
            </w:r>
          </w:p>
        </w:tc>
        <w:tc>
          <w:tcPr>
            <w:tcW w:type="dxa" w:w="9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Owner</w:t>
            </w:r>
          </w:p>
        </w:tc>
        <w:tc>
          <w:tcPr>
            <w:tcW w:type="dxa" w:w="1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Policy Mapping</w:t>
            </w:r>
          </w:p>
        </w:tc>
        <w:tc>
          <w:tcPr>
            <w:tcW w:type="dxa" w:w="1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Evidence</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Notification Requirements</w:t>
            </w:r>
          </w:p>
        </w:tc>
        <w:tc>
          <w:tcPr>
            <w:tcW w:type="dxa" w:w="1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Flow-Down</w:t>
            </w:r>
          </w:p>
        </w:tc>
        <w:tc>
          <w:tcPr>
            <w:tcW w:type="dxa" w:w="9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Review Cadence</w:t>
            </w:r>
          </w:p>
        </w:tc>
      </w:tr>
      <w:tr>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[State Data Breach Notification Statutes]</w:t>
            </w:r>
          </w:p>
        </w:tc>
        <w:tc>
          <w:tcPr>
            <w:tcW w:type="dxa" w:w="7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Legal</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[Entities, data types, jurisdictions]</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[Legal/Privacy]</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Sections 12, 14</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[Evidence reference]</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[Timeline, contacts, content]</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[Vendor requirements]</w:t>
            </w:r>
          </w:p>
        </w:tc>
        <w:tc>
          <w:tcPr>
            <w:tcW w:type="dxa" w:w="9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[ANNUAL]</w:t>
            </w:r>
          </w:p>
        </w:tc>
      </w:tr>
      <w:tr>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[HIPAA / HITECH]</w:t>
            </w:r>
          </w:p>
        </w:tc>
        <w:tc>
          <w:tcPr>
            <w:tcW w:type="dxa" w:w="7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Regulatory</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[If applicable: covered entity or BA status]</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[Privacy Officer]</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Sections 4, 5, 9, 12</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[BAA, risk assessment]</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[60-day rule, HHS, individuals]</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[BAA required]</w:t>
            </w:r>
          </w:p>
        </w:tc>
        <w:tc>
          <w:tcPr>
            <w:tcW w:type="dxa" w:w="9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[ANNUAL]</w:t>
            </w:r>
          </w:p>
        </w:tc>
      </w:tr>
      <w:tr>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[PCI DSS v4.0]</w:t>
            </w:r>
          </w:p>
        </w:tc>
        <w:tc>
          <w:tcPr>
            <w:tcW w:type="dxa" w:w="7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Industry</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[If applicable: cardholder data environment]</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[PCI Coordinator]</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Sections 5, 6, 9</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[AOC, SAQ, scan reports]</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[Acquirer, brands]</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[Merchant agreement]</w:t>
            </w:r>
          </w:p>
        </w:tc>
        <w:tc>
          <w:tcPr>
            <w:tcW w:type="dxa" w:w="9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[ANNUAL]</w:t>
            </w:r>
          </w:p>
        </w:tc>
      </w:tr>
      <w:tr>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[SOC 2 Type II]</w:t>
            </w:r>
          </w:p>
        </w:tc>
        <w:tc>
          <w:tcPr>
            <w:tcW w:type="dxa" w:w="7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Contractual</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[Trust service criteria in scope]</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[Security Leader]</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All sections</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[Audit report, letter]</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[Customer notification]</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[N/A]</w:t>
            </w:r>
          </w:p>
        </w:tc>
        <w:tc>
          <w:tcPr>
            <w:tcW w:type="dxa" w:w="9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[ANNUAL]</w:t>
            </w:r>
          </w:p>
        </w:tc>
      </w:tr>
      <w:tr>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[ISO 27001:2022]</w:t>
            </w:r>
          </w:p>
        </w:tc>
        <w:tc>
          <w:tcPr>
            <w:tcW w:type="dxa" w:w="7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Voluntary</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[Statement of Applicability scope]</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[Security Leader]</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All sections</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[Certificate, SoA]</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[Certification body]</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[N/A]</w:t>
            </w:r>
          </w:p>
        </w:tc>
        <w:tc>
          <w:tcPr>
            <w:tcW w:type="dxa" w:w="9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[ANNUAL + surveillance]</w:t>
            </w:r>
          </w:p>
        </w:tc>
      </w:tr>
      <w:tr>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[Customer Contract: ___]</w:t>
            </w:r>
          </w:p>
        </w:tc>
        <w:tc>
          <w:tcPr>
            <w:tcW w:type="dxa" w:w="7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Contractual</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[Specific requirements]</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[Account Owner]</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[Mapped sections]</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[Questionnaire, audit]</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[Per contract terms]</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[Subprocessor notice]</w:t>
            </w:r>
          </w:p>
        </w:tc>
        <w:tc>
          <w:tcPr>
            <w:tcW w:type="dxa" w:w="9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[Per contract]</w:t>
            </w:r>
          </w:p>
        </w:tc>
      </w:tr>
      <w:tr>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[NIST CSF 2.0]</w:t>
            </w:r>
          </w:p>
        </w:tc>
        <w:tc>
          <w:tcPr>
            <w:tcW w:type="dxa" w:w="7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Framework</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[Organizational profile]</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[Security Leader]</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All sections</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[Profile, maturity]</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[N/A — voluntary]</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[N/A]</w:t>
            </w:r>
          </w:p>
        </w:tc>
        <w:tc>
          <w:tcPr>
            <w:tcW w:type="dxa" w:w="9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[ANNUAL]</w:t>
            </w:r>
          </w:p>
        </w:tc>
      </w:tr>
      <w:tr>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[INSERT ADDITIONAL]</w:t>
            </w:r>
          </w:p>
        </w:tc>
        <w:tc>
          <w:tcPr>
            <w:tcW w:type="dxa" w:w="7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[Type]</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[Applicability]</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[Owner]</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[Sections]</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[Evidence]</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[Requirements]</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[Flow-down]</w:t>
            </w:r>
          </w:p>
        </w:tc>
        <w:tc>
          <w:tcPr>
            <w:tcW w:type="dxa" w:w="9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[Cadence]</w:t>
            </w:r>
          </w:p>
        </w:tc>
      </w:tr>
    </w:tbl>
    <w:p>
      <w:r>
        <w:br w:type="page"/>
      </w:r>
    </w:p>
    <w:p>
      <w:pPr>
        <w:pStyle w:val="Heading1"/>
        <w:spacing w:after="120" w:before="360"/>
      </w:pPr>
      <w:r>
        <w:rPr>
          <w:rFonts w:ascii="Calibri" w:cs="Calibri" w:eastAsia="Calibri" w:hAnsi="Calibri"/>
          <w:b/>
          <w:bCs/>
          <w:color w:val="1B2A4A"/>
          <w:sz w:val="28"/>
          <w:szCs w:val="28"/>
        </w:rPr>
        <w:t xml:space="preserve">Exhibit B — Data Classification Quick Reference</w:t>
      </w:r>
    </w:p>
    <w:p>
      <w:pPr>
        <w:spacing w:after="120" w:line="276"/>
      </w:pPr>
      <w:r>
        <w:rPr>
          <w:rFonts w:ascii="Calibri" w:cs="Calibri" w:eastAsia="Calibri" w:hAnsi="Calibri"/>
          <w:color w:val="333333"/>
          <w:sz w:val="24"/>
          <w:szCs w:val="24"/>
        </w:rPr>
        <w:t xml:space="preserve">See Table 1 (Section 4) for the complete Data Classification Matrix. This exhibit provides a quick-reference summary for training and desk reference.</w:t>
      </w:r>
    </w:p>
    <w:p>
      <w:pPr>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dxa" w:w="15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Level</w:t>
            </w:r>
          </w:p>
        </w:tc>
        <w:tc>
          <w:tcPr>
            <w:tcW w:type="dxa" w:w="15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Color Code</w:t>
            </w:r>
          </w:p>
        </w:tc>
        <w:tc>
          <w:tcPr>
            <w:tcW w:type="dxa" w:w="63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Handling Summary</w:t>
            </w:r>
          </w:p>
        </w:tc>
      </w:tr>
      <w:tr>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Public</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Green</w:t>
            </w:r>
          </w:p>
        </w:tc>
        <w:tc>
          <w:tcPr>
            <w:tcW w:type="dxa" w:w="6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 special handling required. Approved for public release.</w:t>
            </w:r>
          </w:p>
        </w:tc>
      </w:tr>
      <w:tr>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Internal</w:t>
            </w:r>
          </w:p>
        </w:tc>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Blue</w:t>
            </w:r>
          </w:p>
        </w:tc>
        <w:tc>
          <w:tcPr>
            <w:tcW w:type="dxa" w:w="6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Default company information. Internal distribution. NDA for external sharing.</w:t>
            </w:r>
          </w:p>
        </w:tc>
      </w:tr>
      <w:tr>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Confidential</w:t>
            </w:r>
          </w:p>
        </w:tc>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Orange</w:t>
            </w:r>
          </w:p>
        </w:tc>
        <w:tc>
          <w:tcPr>
            <w:tcW w:type="dxa" w:w="6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Need-to-know access. Encrypted storage and transmission. DLP monitored.</w:t>
            </w:r>
          </w:p>
        </w:tc>
      </w:tr>
      <w:tr>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Restricted</w:t>
            </w:r>
          </w:p>
        </w:tc>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Red</w:t>
            </w:r>
          </w:p>
        </w:tc>
        <w:tc>
          <w:tcPr>
            <w:tcW w:type="dxa" w:w="6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Named individuals only. Dual approval. End-to-end encryption. Full audit logging. No printing without Security Leader approval.</w:t>
            </w:r>
          </w:p>
        </w:tc>
      </w:tr>
    </w:tbl>
    <w:p>
      <w:r>
        <w:br w:type="page"/>
      </w:r>
    </w:p>
    <w:p>
      <w:pPr>
        <w:pStyle w:val="Heading1"/>
        <w:spacing w:after="120" w:before="360"/>
      </w:pPr>
      <w:r>
        <w:rPr>
          <w:rFonts w:ascii="Calibri" w:cs="Calibri" w:eastAsia="Calibri" w:hAnsi="Calibri"/>
          <w:b/>
          <w:bCs/>
          <w:color w:val="1B2A4A"/>
          <w:sz w:val="28"/>
          <w:szCs w:val="28"/>
        </w:rPr>
        <w:t xml:space="preserve">Exhibit C — Business Continuity Schedule</w:t>
      </w:r>
    </w:p>
    <w:p>
      <w:pPr>
        <w:spacing w:after="120" w:line="276"/>
      </w:pPr>
      <w:r>
        <w:rPr>
          <w:rFonts w:ascii="Calibri" w:cs="Calibri" w:eastAsia="Calibri" w:hAnsi="Calibri"/>
          <w:color w:val="333333"/>
          <w:sz w:val="24"/>
          <w:szCs w:val="24"/>
        </w:rPr>
        <w:t xml:space="preserve">Complete the following for each Critical Service identified in the Business Impact Analysis.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W w:type="dxa" w:w="3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Field</w:t>
            </w:r>
          </w:p>
        </w:tc>
        <w:tc>
          <w:tcPr>
            <w:tcW w:type="dxa" w:w="61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Value</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Critical Service Name</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[SERVICE NAME]</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Service Owner</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[NAME / ROLE]</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Description</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[Brief description of the service and its business function]</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Upstream Dependencies</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[Systems, data, vendors, personnel the service depends on]</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Downstream Dependencies</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[Systems, processes, customers that depend on this service]</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Maximum Tolerable Downtime (MTD)</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[HOURS / DAYS]</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Recovery Time Objective (RTO)</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[HOURS / DAYS]</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Recovery Point Objective (RPO)</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[HOURS / DAYS]</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Minimum Viable Service Level</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[Description of degraded-mode acceptable operation]</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Backup Method and Frequency</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[Method, frequency, location, immutable/offline status]</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Backup Credentials Location</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[Separate from backup media; documented recovery procedure]</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Alternate Processing / Failover</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[Cloud failover, alternate site, manual procedures]</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Communication Channel (Primary)</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[Primary crisis communication method]</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Communication Channel (Alternate)</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[Alternate if primary unavailable]</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Crisis Authority Delegation</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[Who has authority if primary owner unavailable]</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Restoration Priority Order</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[1 = highest priority in recovery sequence]</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Last DR Test Date</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[DATE]</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Last DR Test Result</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[PASS / PARTIAL / FAIL — with corrective actions]</w:t>
            </w:r>
          </w:p>
        </w:tc>
      </w:tr>
      <w:tr>
        <w:tc>
          <w:tcPr>
            <w:tcW w:type="dxa" w:w="3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Key Vendor Dependencies</w:t>
            </w:r>
          </w:p>
        </w:tc>
        <w:tc>
          <w:tcPr>
            <w:tcW w:type="dxa" w:w="61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[Vendor name, SLA, alternate, contact]</w:t>
            </w:r>
          </w:p>
        </w:tc>
      </w:tr>
      <w:tr>
        <w:tc>
          <w:tcPr>
            <w:tcW w:type="dxa" w:w="3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Regulatory / Contractual Impact</w:t>
            </w:r>
          </w:p>
        </w:tc>
        <w:tc>
          <w:tcPr>
            <w:tcW w:type="dxa" w:w="61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[Impact of unavailability on compliance obligations]</w:t>
            </w:r>
          </w:p>
        </w:tc>
      </w:tr>
    </w:tbl>
    <w:p>
      <w:r>
        <w:br w:type="page"/>
      </w:r>
    </w:p>
    <w:p>
      <w:pPr>
        <w:pStyle w:val="Heading1"/>
        <w:spacing w:after="120" w:before="360"/>
      </w:pPr>
      <w:r>
        <w:rPr>
          <w:rFonts w:ascii="Calibri" w:cs="Calibri" w:eastAsia="Calibri" w:hAnsi="Calibri"/>
          <w:b/>
          <w:bCs/>
          <w:color w:val="1B2A4A"/>
          <w:sz w:val="28"/>
          <w:szCs w:val="28"/>
        </w:rPr>
        <w:t xml:space="preserve">Exhibit D — Access Control Standards Reference</w:t>
      </w:r>
    </w:p>
    <w:p>
      <w:pPr>
        <w:spacing w:after="120" w:line="276"/>
      </w:pPr>
      <w:r>
        <w:rPr>
          <w:rFonts w:ascii="Calibri" w:cs="Calibri" w:eastAsia="Calibri" w:hAnsi="Calibri"/>
          <w:color w:val="333333"/>
          <w:sz w:val="24"/>
          <w:szCs w:val="24"/>
        </w:rPr>
        <w:t xml:space="preserve">This exhibit summarizes measurable access control standards. Each standard shall have an owner, evidence source, review cadence, and exception process.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c>
          <w:tcPr>
            <w:tcW w:type="dxa" w:w="15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Control Area</w:t>
            </w:r>
          </w:p>
        </w:tc>
        <w:tc>
          <w:tcPr>
            <w:tcW w:type="dxa" w:w="26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Standard</w:t>
            </w:r>
          </w:p>
        </w:tc>
        <w:tc>
          <w:tcPr>
            <w:tcW w:type="dxa" w:w="1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Cadence / Deadline</w:t>
            </w:r>
          </w:p>
        </w:tc>
        <w:tc>
          <w:tcPr>
            <w:tcW w:type="dxa" w:w="1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Evidence</w:t>
            </w:r>
          </w:p>
        </w:tc>
        <w:tc>
          <w:tcPr>
            <w:tcW w:type="dxa" w:w="16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Owner</w:t>
            </w:r>
          </w:p>
        </w:tc>
      </w:tr>
      <w:tr>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MFA Enrollment</w:t>
            </w:r>
          </w:p>
        </w:tc>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All systems in MFA Inventory shall require MFA</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Continuous; new systems within [30 DAYS]</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MFA system report</w:t>
            </w:r>
          </w:p>
        </w:tc>
        <w:tc>
          <w:tcPr>
            <w:tcW w:type="dxa" w:w="16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[IT / Security]</w:t>
            </w:r>
          </w:p>
        </w:tc>
      </w:tr>
      <w:tr>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Password Policy</w:t>
            </w:r>
          </w:p>
        </w:tc>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Minimum [14] characters; [12] password history; lockout after [5] attempts</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Continuous enforcement</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IAM configuration export</w:t>
            </w:r>
          </w:p>
        </w:tc>
        <w:tc>
          <w:tcPr>
            <w:tcW w:type="dxa" w:w="16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[IT]</w:t>
            </w:r>
          </w:p>
        </w:tc>
      </w:tr>
      <w:tr>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Access Reviews</w:t>
            </w:r>
          </w:p>
        </w:tc>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Review all access rights with Asset Owners</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[QUARTERLY]</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Signed review reports</w:t>
            </w:r>
          </w:p>
        </w:tc>
        <w:tc>
          <w:tcPr>
            <w:tcW w:type="dxa" w:w="16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[Asset Owners]</w:t>
            </w:r>
          </w:p>
        </w:tc>
      </w:tr>
      <w:tr>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Privileged Access Reviews</w:t>
            </w:r>
          </w:p>
        </w:tc>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Review all privileged/admin accounts</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[MONTHLY]</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PAM system report</w:t>
            </w:r>
          </w:p>
        </w:tc>
        <w:tc>
          <w:tcPr>
            <w:tcW w:type="dxa" w:w="16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[Security Leader]</w:t>
            </w:r>
          </w:p>
        </w:tc>
      </w:tr>
      <w:tr>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Separation / Offboarding</w:t>
            </w:r>
          </w:p>
        </w:tc>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Revoke standard access within [24 HOURS]; high-risk within [4 HOURS]</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Per event</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HR/IT ticket timestamps</w:t>
            </w:r>
          </w:p>
        </w:tc>
        <w:tc>
          <w:tcPr>
            <w:tcW w:type="dxa" w:w="16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[HR + IT]</w:t>
            </w:r>
          </w:p>
        </w:tc>
      </w:tr>
      <w:tr>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Service Account Review</w:t>
            </w:r>
          </w:p>
        </w:tc>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Validate necessity, permissions, and ownership</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[QUARTERLY]</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Service account inventory</w:t>
            </w:r>
          </w:p>
        </w:tc>
        <w:tc>
          <w:tcPr>
            <w:tcW w:type="dxa" w:w="16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[IT]</w:t>
            </w:r>
          </w:p>
        </w:tc>
      </w:tr>
      <w:tr>
        <w:tc>
          <w:tcPr>
            <w:tcW w:type="dxa" w:w="1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Joiner-Mover-Leaver</w:t>
            </w:r>
          </w:p>
        </w:tc>
        <w:tc>
          <w:tcPr>
            <w:tcW w:type="dxa" w:w="2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Provisioning, role change, and deprovisioning per procedure</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Per event</w:t>
            </w:r>
          </w:p>
        </w:tc>
        <w:tc>
          <w:tcPr>
            <w:tcW w:type="dxa" w:w="1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IAM workflow logs</w:t>
            </w:r>
          </w:p>
        </w:tc>
        <w:tc>
          <w:tcPr>
            <w:tcW w:type="dxa" w:w="16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[HR + IT]</w:t>
            </w:r>
          </w:p>
        </w:tc>
      </w:tr>
      <w:tr>
        <w:tc>
          <w:tcPr>
            <w:tcW w:type="dxa" w:w="1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Emergency Access</w:t>
            </w:r>
          </w:p>
        </w:tc>
        <w:tc>
          <w:tcPr>
            <w:tcW w:type="dxa" w:w="2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Break-glass used and audited post-use</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Per event</w:t>
            </w:r>
          </w:p>
        </w:tc>
        <w:tc>
          <w:tcPr>
            <w:tcW w:type="dxa" w:w="1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Session recording, post-use report</w:t>
            </w:r>
          </w:p>
        </w:tc>
        <w:tc>
          <w:tcPr>
            <w:tcW w:type="dxa" w:w="16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[Security Leader]</w:t>
            </w:r>
          </w:p>
        </w:tc>
      </w:tr>
    </w:tbl>
    <w:p>
      <w:r>
        <w:br w:type="page"/>
      </w:r>
    </w:p>
    <w:p>
      <w:pPr>
        <w:pStyle w:val="Heading1"/>
        <w:spacing w:after="120" w:before="360"/>
      </w:pPr>
      <w:r>
        <w:rPr>
          <w:rFonts w:ascii="Calibri" w:cs="Calibri" w:eastAsia="Calibri" w:hAnsi="Calibri"/>
          <w:b/>
          <w:bCs/>
          <w:color w:val="1B2A4A"/>
          <w:sz w:val="28"/>
          <w:szCs w:val="28"/>
        </w:rPr>
        <w:t xml:space="preserve">Exhibit E — Asset Inventory Template</w:t>
      </w:r>
    </w:p>
    <w:p>
      <w:pPr>
        <w:spacing w:after="120" w:line="276"/>
      </w:pPr>
      <w:r>
        <w:rPr>
          <w:rFonts w:ascii="Calibri" w:cs="Calibri" w:eastAsia="Calibri" w:hAnsi="Calibri"/>
          <w:color w:val="333333"/>
          <w:sz w:val="24"/>
          <w:szCs w:val="24"/>
        </w:rPr>
        <w:t xml:space="preserve">Maintain this inventory for all information assets. Review at least [ANNUALLY] and update upon material changes.</w:t>
      </w:r>
    </w:p>
    <w:p>
      <w:pPr>
        <w:pStyle w:val="Heading3"/>
        <w:spacing w:after="60" w:before="200"/>
      </w:pPr>
      <w:r>
        <w:rPr>
          <w:rFonts w:ascii="Calibri" w:cs="Calibri" w:eastAsia="Calibri" w:hAnsi="Calibri"/>
          <w:b/>
          <w:bCs/>
          <w:color w:val="1B2A4A"/>
          <w:sz w:val="22"/>
          <w:szCs w:val="22"/>
        </w:rPr>
        <w:t xml:space="preserve">Table 5: Asset Inventory Template</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gridCol w:w="100"/>
        <w:gridCol w:w="100"/>
        <w:gridCol w:w="100"/>
      </w:tblGrid>
      <w:tr>
        <w:tc>
          <w:tcPr>
            <w:tcW w:type="dxa" w:w="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Asset ID</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Asset Name</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Type</w:t>
            </w:r>
          </w:p>
        </w:tc>
        <w:tc>
          <w:tcPr>
            <w:tcW w:type="dxa" w:w="1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Owner</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Classification</w:t>
            </w:r>
          </w:p>
        </w:tc>
        <w:tc>
          <w:tcPr>
            <w:tcW w:type="dxa" w:w="11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Location</w:t>
            </w:r>
          </w:p>
        </w:tc>
        <w:tc>
          <w:tcPr>
            <w:tcW w:type="dxa" w:w="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MFA Tier</w:t>
            </w:r>
          </w:p>
        </w:tc>
        <w:tc>
          <w:tcPr>
            <w:tcW w:type="dxa" w:w="11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Status</w:t>
            </w:r>
          </w:p>
        </w:tc>
        <w:tc>
          <w:tcPr>
            <w:tcW w:type="dxa" w:w="9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Last Review</w:t>
            </w:r>
          </w:p>
        </w:tc>
      </w:tr>
      <w:tr>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[A-001]</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[Asset Name]</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[Hardware / Software / Cloud / Data / Network]</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[Owner Name]</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[Public / Internal / Confidential / Restricted]</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[On-prem / Cloud / Hybrid]</w:t>
            </w:r>
          </w:p>
        </w:tc>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[Tier 1-3]</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[Active / Decommissioned / Planned]</w:t>
            </w:r>
          </w:p>
        </w:tc>
        <w:tc>
          <w:tcPr>
            <w:tcW w:type="dxa" w:w="9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[DATE]</w:t>
            </w:r>
          </w:p>
        </w:tc>
      </w:tr>
      <w:tr>
        <w:tc>
          <w:tcPr>
            <w:tcW w:type="dxa" w:w="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[A-002]</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[Asset Name]</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[Type]</w:t>
            </w:r>
          </w:p>
        </w:tc>
        <w:tc>
          <w:tcPr>
            <w:tcW w:type="dxa" w:w="1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[Classification]</w:t>
            </w:r>
          </w:p>
        </w:tc>
        <w:tc>
          <w:tcPr>
            <w:tcW w:type="dxa" w:w="11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[Location]</w:t>
            </w:r>
          </w:p>
        </w:tc>
        <w:tc>
          <w:tcPr>
            <w:tcW w:type="dxa" w:w="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[Tier]</w:t>
            </w:r>
          </w:p>
        </w:tc>
        <w:tc>
          <w:tcPr>
            <w:tcW w:type="dxa" w:w="11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[Status]</w:t>
            </w:r>
          </w:p>
        </w:tc>
        <w:tc>
          <w:tcPr>
            <w:tcW w:type="dxa" w:w="9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[DATE]</w:t>
            </w:r>
          </w:p>
        </w:tc>
      </w:tr>
      <w:tr>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[A-003]</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[Asset Name]</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[Type]</w:t>
            </w:r>
          </w:p>
        </w:tc>
        <w:tc>
          <w:tcPr>
            <w:tcW w:type="dxa" w:w="1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[Classification]</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[Location]</w:t>
            </w:r>
          </w:p>
        </w:tc>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[Tier]</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[Status]</w:t>
            </w:r>
          </w:p>
        </w:tc>
        <w:tc>
          <w:tcPr>
            <w:tcW w:type="dxa" w:w="9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[DATE]</w:t>
            </w:r>
          </w:p>
        </w:tc>
      </w:tr>
    </w:tbl>
    <w:p>
      <w:r>
        <w:br w:type="page"/>
      </w:r>
    </w:p>
    <w:p>
      <w:pPr>
        <w:pStyle w:val="Heading1"/>
        <w:spacing w:after="120" w:before="360"/>
      </w:pPr>
      <w:r>
        <w:rPr>
          <w:rFonts w:ascii="Calibri" w:cs="Calibri" w:eastAsia="Calibri" w:hAnsi="Calibri"/>
          <w:b/>
          <w:bCs/>
          <w:color w:val="1B2A4A"/>
          <w:sz w:val="28"/>
          <w:szCs w:val="28"/>
        </w:rPr>
        <w:t xml:space="preserve">Exhibit F — Vendor Security Checklist</w:t>
      </w:r>
    </w:p>
    <w:p>
      <w:pPr>
        <w:spacing w:after="120" w:line="276"/>
      </w:pPr>
      <w:r>
        <w:rPr>
          <w:rFonts w:ascii="Calibri" w:cs="Calibri" w:eastAsia="Calibri" w:hAnsi="Calibri"/>
          <w:color w:val="333333"/>
          <w:sz w:val="24"/>
          <w:szCs w:val="24"/>
        </w:rPr>
        <w:t xml:space="preserve">Complete before granting vendor access to Company systems or information. Depth of assessment shall be proportionate to the assigned Vendor Risk Tier.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c>
          <w:tcPr>
            <w:tcW w:type="dxa" w:w="16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Assessment Area</w:t>
            </w:r>
          </w:p>
        </w:tc>
        <w:tc>
          <w:tcPr>
            <w:tcW w:type="dxa" w:w="30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Questions / Requirements</w:t>
            </w:r>
          </w:p>
        </w:tc>
        <w:tc>
          <w:tcPr>
            <w:tcW w:type="dxa" w:w="24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Evidence Requested</w:t>
            </w:r>
          </w:p>
        </w:tc>
        <w:tc>
          <w:tcPr>
            <w:tcW w:type="dxa" w:w="23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Status</w:t>
            </w:r>
          </w:p>
        </w:tc>
      </w:tr>
      <w:tr>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Risk Tier Assignment</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What data types will the vendor access? What systems? What is the criticality?</w:t>
            </w:r>
          </w:p>
        </w:tc>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Data flow diagram, scope description</w:t>
            </w:r>
          </w:p>
        </w:tc>
        <w:tc>
          <w:tcPr>
            <w:tcW w:type="dxa" w:w="2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[HIGH / MEDIUM / LOW]</w:t>
            </w:r>
          </w:p>
        </w:tc>
      </w:tr>
      <w:tr>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Security Certifications</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Does the vendor hold SOC 2, ISO 27001, or equivalent certifications?</w:t>
            </w:r>
          </w:p>
        </w:tc>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certificate or audit report</w:t>
            </w:r>
          </w:p>
        </w:tc>
        <w:tc>
          <w:tcPr>
            <w:tcW w:type="dxa" w:w="2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[YES / NO / PARTIAL]</w:t>
            </w:r>
          </w:p>
        </w:tc>
      </w:tr>
      <w:tr>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Access Controls</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How does the vendor manage authentication, authorization, and privileged access?</w:t>
            </w:r>
          </w:p>
        </w:tc>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IAM policy, MFA configuration</w:t>
            </w:r>
          </w:p>
        </w:tc>
        <w:tc>
          <w:tcPr>
            <w:tcW w:type="dxa" w:w="2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[ADEQUATE / NEEDS REVIEW]</w:t>
            </w:r>
          </w:p>
        </w:tc>
      </w:tr>
      <w:tr>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Data Protection</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How is Company data encrypted, stored, transmitted, and destroyed?</w:t>
            </w:r>
          </w:p>
        </w:tc>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Encryption standards, DLP policy</w:t>
            </w:r>
          </w:p>
        </w:tc>
        <w:tc>
          <w:tcPr>
            <w:tcW w:type="dxa" w:w="2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[ADEQUATE / NEEDS REVIEW]</w:t>
            </w:r>
          </w:p>
        </w:tc>
      </w:tr>
      <w:tr>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Incident Response</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What is the vendor’s incident notification timeline and process?</w:t>
            </w:r>
          </w:p>
        </w:tc>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IR plan, notification SLA</w:t>
            </w:r>
          </w:p>
        </w:tc>
        <w:tc>
          <w:tcPr>
            <w:tcW w:type="dxa" w:w="2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[ADEQUATE / NEEDS REVIEW]</w:t>
            </w:r>
          </w:p>
        </w:tc>
      </w:tr>
      <w:tr>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Subprocessors</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Does the vendor use subprocessors? What notice/approval rights exist?</w:t>
            </w:r>
          </w:p>
        </w:tc>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Subprocessor list, contract terms</w:t>
            </w:r>
          </w:p>
        </w:tc>
        <w:tc>
          <w:tcPr>
            <w:tcW w:type="dxa" w:w="2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[DOCUMENTED / NOT DOCUMENTED]</w:t>
            </w:r>
          </w:p>
        </w:tc>
      </w:tr>
      <w:tr>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Business Continuity</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Does the vendor have tested BC/DR plans?</w:t>
            </w:r>
          </w:p>
        </w:tc>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BCP, DR test results</w:t>
            </w:r>
          </w:p>
        </w:tc>
        <w:tc>
          <w:tcPr>
            <w:tcW w:type="dxa" w:w="2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[ADEQUATE / NEEDS REVIEW]</w:t>
            </w:r>
          </w:p>
        </w:tc>
      </w:tr>
      <w:tr>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Contract Terms</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Are security, privacy, audit, and exit terms adequate?</w:t>
            </w:r>
          </w:p>
        </w:tc>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Contract redline, DPA</w:t>
            </w:r>
          </w:p>
        </w:tc>
        <w:tc>
          <w:tcPr>
            <w:tcW w:type="dxa" w:w="2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[COMPLETE / IN PROGRESS]</w:t>
            </w:r>
          </w:p>
        </w:tc>
      </w:tr>
      <w:tr>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Data Return / Destruction</w:t>
            </w:r>
          </w:p>
        </w:tc>
        <w:tc>
          <w:tcPr>
            <w:tcW w:type="dxa" w:w="3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What is the vendor’s process at contract exit?</w:t>
            </w:r>
          </w:p>
        </w:tc>
        <w:tc>
          <w:tcPr>
            <w:tcW w:type="dxa" w:w="2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Exit procedure, destruction certificate template</w:t>
            </w:r>
          </w:p>
        </w:tc>
        <w:tc>
          <w:tcPr>
            <w:tcW w:type="dxa" w:w="2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[DOCUMENTED / NOT DOCUMENTED]</w:t>
            </w:r>
          </w:p>
        </w:tc>
      </w:tr>
      <w:tr>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Overall Risk Assessment</w:t>
            </w:r>
          </w:p>
        </w:tc>
        <w:tc>
          <w:tcPr>
            <w:tcW w:type="dxa" w:w="3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Summary risk determination with compensating controls if needed</w:t>
            </w:r>
          </w:p>
        </w:tc>
        <w:tc>
          <w:tcPr>
            <w:tcW w:type="dxa" w:w="2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Risk assessment report</w:t>
            </w:r>
          </w:p>
        </w:tc>
        <w:tc>
          <w:tcPr>
            <w:tcW w:type="dxa" w:w="2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[APPROVED / CONDITIONAL / REJECTED]</w:t>
            </w:r>
          </w:p>
        </w:tc>
      </w:tr>
    </w:tbl>
    <w:p>
      <w:r>
        <w:br w:type="page"/>
      </w:r>
    </w:p>
    <w:p>
      <w:pPr>
        <w:pStyle w:val="Heading1"/>
        <w:spacing w:after="120" w:before="360"/>
      </w:pPr>
      <w:r>
        <w:rPr>
          <w:rFonts w:ascii="Calibri" w:cs="Calibri" w:eastAsia="Calibri" w:hAnsi="Calibri"/>
          <w:b/>
          <w:bCs/>
          <w:color w:val="1B2A4A"/>
          <w:sz w:val="28"/>
          <w:szCs w:val="28"/>
        </w:rPr>
        <w:t xml:space="preserve">Exhibit G — Revision History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tblGrid>
      <w:tr>
        <w:tc>
          <w:tcPr>
            <w:tcW w:type="dxa" w:w="9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Version</w:t>
            </w:r>
          </w:p>
        </w:tc>
        <w:tc>
          <w:tcPr>
            <w:tcW w:type="dxa" w:w="11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Date</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Author</w:t>
            </w:r>
          </w:p>
        </w:tc>
        <w:tc>
          <w:tcPr>
            <w:tcW w:type="dxa" w:w="45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Description of Changes</w:t>
            </w:r>
          </w:p>
        </w:tc>
        <w:tc>
          <w:tcPr>
            <w:tcW w:type="dxa" w:w="16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Approved By</w:t>
            </w:r>
          </w:p>
        </w:tc>
      </w:tr>
      <w:tr>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1.0</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[DATE]</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[AUTHOR]</w:t>
            </w:r>
          </w:p>
        </w:tc>
        <w:tc>
          <w:tcPr>
            <w:tcW w:type="dxa" w:w="4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Initial policy release</w:t>
            </w:r>
          </w:p>
        </w:tc>
        <w:tc>
          <w:tcPr>
            <w:tcW w:type="dxa" w:w="16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[APPROVER]</w:t>
            </w:r>
          </w:p>
        </w:tc>
      </w:tr>
      <w:tr>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2.0</w:t>
            </w:r>
          </w:p>
        </w:tc>
        <w:tc>
          <w:tcPr>
            <w:tcW w:type="dxa" w:w="11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[DATE]</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[AUTHOR]</w:t>
            </w:r>
          </w:p>
        </w:tc>
        <w:tc>
          <w:tcPr>
            <w:tcW w:type="dxa" w:w="45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Major revision: practitioner master edition; restructured governance, classification, access control, incident response, vendor management, and continuity sections</w:t>
            </w:r>
          </w:p>
        </w:tc>
        <w:tc>
          <w:tcPr>
            <w:tcW w:type="dxa" w:w="16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[APPROVER]</w:t>
            </w:r>
          </w:p>
        </w:tc>
      </w:tr>
      <w:tr>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[NEXT]</w:t>
            </w:r>
          </w:p>
        </w:tc>
        <w:tc>
          <w:tcPr>
            <w:tcW w:type="dxa" w:w="11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[DATE]</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[AUTHOR]</w:t>
            </w:r>
          </w:p>
        </w:tc>
        <w:tc>
          <w:tcPr>
            <w:tcW w:type="dxa" w:w="45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[DESCRIPTION]</w:t>
            </w:r>
          </w:p>
        </w:tc>
        <w:tc>
          <w:tcPr>
            <w:tcW w:type="dxa" w:w="16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[APPROVER]</w:t>
            </w:r>
          </w:p>
        </w:tc>
      </w:tr>
    </w:tbl>
    <w:p>
      <w:r>
        <w:br w:type="page"/>
      </w:r>
    </w:p>
    <w:p>
      <w:pPr>
        <w:pStyle w:val="Heading1"/>
        <w:spacing w:after="120" w:before="360"/>
      </w:pPr>
      <w:r>
        <w:rPr>
          <w:rFonts w:ascii="Calibri" w:cs="Calibri" w:eastAsia="Calibri" w:hAnsi="Calibri"/>
          <w:b/>
          <w:bCs/>
          <w:color w:val="1B2A4A"/>
          <w:sz w:val="28"/>
          <w:szCs w:val="28"/>
        </w:rPr>
        <w:t xml:space="preserve">Control Ledger</w:t>
      </w:r>
    </w:p>
    <w:p>
      <w:pPr>
        <w:spacing w:after="120" w:line="276"/>
      </w:pPr>
      <w:r>
        <w:rPr>
          <w:rFonts w:ascii="Calibri" w:cs="Calibri" w:eastAsia="Calibri" w:hAnsi="Calibri"/>
          <w:color w:val="333333"/>
          <w:sz w:val="24"/>
          <w:szCs w:val="24"/>
        </w:rPr>
        <w:t xml:space="preserve">For each policy requirement, record the following. An unsupported policy promise creates its own legal and diligence risk. Controls marked PLANNED must include a target date and owner.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gridCol w:w="100"/>
        <w:gridCol w:w="100"/>
        <w:gridCol w:w="100"/>
        <w:gridCol w:w="100"/>
      </w:tblGrid>
      <w:tr>
        <w:tc>
          <w:tcPr>
            <w:tcW w:type="dxa" w:w="8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Policy Ref</w:t>
            </w:r>
          </w:p>
        </w:tc>
        <w:tc>
          <w:tcPr>
            <w:tcW w:type="dxa" w:w="16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Requirement</w:t>
            </w:r>
          </w:p>
        </w:tc>
        <w:tc>
          <w:tcPr>
            <w:tcW w:type="dxa" w:w="9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Owner</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System / Tool</w:t>
            </w:r>
          </w:p>
        </w:tc>
        <w:tc>
          <w:tcPr>
            <w:tcW w:type="dxa" w:w="12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Evidence</w:t>
            </w:r>
          </w:p>
        </w:tc>
        <w:tc>
          <w:tcPr>
            <w:tcW w:type="dxa" w:w="9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Review Freq.</w:t>
            </w:r>
          </w:p>
        </w:tc>
        <w:tc>
          <w:tcPr>
            <w:tcW w:type="dxa" w:w="140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Status</w:t>
            </w:r>
          </w:p>
        </w:tc>
        <w:tc>
          <w:tcPr>
            <w:tcW w:type="dxa" w:w="1360"/>
            <w:tcBorders>
              <w:top w:val="single" w:color="BFBFBF" w:sz="1"/>
              <w:left w:val="single" w:color="BFBFBF" w:sz="1"/>
              <w:bottom w:val="single" w:color="BFBFBF" w:sz="1"/>
              <w:right w:val="single" w:color="BFBFBF" w:sz="1"/>
            </w:tcBorders>
            <w:shd w:fill="1B2A4A" w:color="1B2A4A" w:val="solid"/>
          </w:tcPr>
          <w:p>
            <w:pPr>
              <w:spacing w:after="40" w:before="40"/>
              <w:jc w:val="left"/>
            </w:pPr>
            <w:r>
              <w:rPr>
                <w:rFonts w:ascii="Calibri" w:cs="Calibri" w:eastAsia="Calibri" w:hAnsi="Calibri"/>
                <w:b/>
                <w:bCs/>
                <w:color w:val="FFFFFF"/>
                <w:sz w:val="22"/>
                <w:szCs w:val="22"/>
              </w:rPr>
              <w:t xml:space="preserve">Exception / Notes</w:t>
            </w:r>
          </w:p>
        </w:tc>
      </w:tr>
      <w:tr>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4.1</w:t>
            </w:r>
          </w:p>
        </w:tc>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Data classification applied</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[System]</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[Evidence ref]</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[ANNUAL]</w:t>
            </w:r>
          </w:p>
        </w:tc>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5.2</w:t>
            </w:r>
          </w:p>
        </w:tc>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MFA on defined systems</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[IAM Platform]</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[MFA report]</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[QUARTERLY]</w:t>
            </w:r>
          </w:p>
        </w:tc>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5.4</w:t>
            </w:r>
          </w:p>
        </w:tc>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Privileged access reviewed</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[PAM Tool]</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[Review report]</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[MONTHLY]</w:t>
            </w:r>
          </w:p>
        </w:tc>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6.3</w:t>
            </w:r>
          </w:p>
        </w:tc>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Centralized logging</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[SIEM]</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[Log report]</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[QUARTERLY]</w:t>
            </w:r>
          </w:p>
        </w:tc>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7.1</w:t>
            </w:r>
          </w:p>
        </w:tc>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Full-disk encryption</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[MDM/EDR]</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[Compliance report]</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[QUARTERLY]</w:t>
            </w:r>
          </w:p>
        </w:tc>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8.4</w:t>
            </w:r>
          </w:p>
        </w:tc>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Vulnerability scanning</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[Scanner]</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[Scan reports]</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[MONTHLY]</w:t>
            </w:r>
          </w:p>
        </w:tc>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9.3</w:t>
            </w:r>
          </w:p>
        </w:tc>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Backup restoration tested</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[Backup system]</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[Test report]</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[QUARTERLY]</w:t>
            </w:r>
          </w:p>
        </w:tc>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12.2</w:t>
            </w:r>
          </w:p>
        </w:tc>
        <w:tc>
          <w:tcPr>
            <w:tcW w:type="dxa" w:w="16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Incident response plan</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[IR Platform]</w:t>
            </w:r>
          </w:p>
        </w:tc>
        <w:tc>
          <w:tcPr>
            <w:tcW w:type="dxa" w:w="12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[Plan doc, exercise]</w:t>
            </w:r>
          </w:p>
        </w:tc>
        <w:tc>
          <w:tcPr>
            <w:tcW w:type="dxa" w:w="9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[ANNUAL]</w:t>
            </w:r>
          </w:p>
        </w:tc>
        <w:tc>
          <w:tcPr>
            <w:tcW w:type="dxa" w:w="14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[CURRENT / PLANNED / N/A]</w:t>
            </w:r>
          </w:p>
        </w:tc>
        <w:tc>
          <w:tcPr>
            <w:tcW w:type="dxa" w:w="136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[Notes]</w:t>
            </w:r>
          </w:p>
        </w:tc>
      </w:tr>
      <w:tr>
        <w:tc>
          <w:tcPr>
            <w:tcW w:type="dxa" w:w="8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[REF]</w:t>
            </w:r>
          </w:p>
        </w:tc>
        <w:tc>
          <w:tcPr>
            <w:tcW w:type="dxa" w:w="16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[Requirement]</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[Owner]</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[System]</w:t>
            </w:r>
          </w:p>
        </w:tc>
        <w:tc>
          <w:tcPr>
            <w:tcW w:type="dxa" w:w="12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[Evidence]</w:t>
            </w:r>
          </w:p>
        </w:tc>
        <w:tc>
          <w:tcPr>
            <w:tcW w:type="dxa" w:w="9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[Frequency]</w:t>
            </w:r>
          </w:p>
        </w:tc>
        <w:tc>
          <w:tcPr>
            <w:tcW w:type="dxa" w:w="14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[Status]</w:t>
            </w:r>
          </w:p>
        </w:tc>
        <w:tc>
          <w:tcPr>
            <w:tcW w:type="dxa" w:w="136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[Notes]</w:t>
            </w:r>
          </w:p>
        </w:tc>
      </w:tr>
    </w:tbl>
    <w:p>
      <w:r>
        <w:br w:type="page"/>
      </w:r>
    </w:p>
    <w:p>
      <w:pPr>
        <w:pStyle w:val="Heading1"/>
        <w:spacing w:after="120" w:before="360"/>
      </w:pPr>
      <w:r>
        <w:rPr>
          <w:rFonts w:ascii="Calibri" w:cs="Calibri" w:eastAsia="Calibri" w:hAnsi="Calibri"/>
          <w:b/>
          <w:bCs/>
          <w:color w:val="1B2A4A"/>
          <w:sz w:val="28"/>
          <w:szCs w:val="28"/>
        </w:rPr>
        <w:t xml:space="preserve">Acknowledgment</w:t>
      </w:r>
    </w:p>
    <w:p>
      <w:pPr>
        <w:spacing w:after="120" w:line="276"/>
      </w:pPr>
      <w:r>
        <w:rPr>
          <w:rFonts w:ascii="Calibri" w:cs="Calibri" w:eastAsia="Calibri" w:hAnsi="Calibri"/>
          <w:color w:val="333333"/>
          <w:sz w:val="24"/>
          <w:szCs w:val="24"/>
        </w:rPr>
        <w:t xml:space="preserve">I acknowledge that I have received, read, and understand the [COMPANY] Information Security Policy. I agree to comply with this Policy and all subsidiary standards, procedures, and guidelines. I understand that violations may result in disciplinary action, up to and including termination of employment or contract.</w:t>
      </w:r>
    </w:p>
    <w:p>
      <w:pPr>
        <w:spacing w:after="0"/>
      </w:pPr>
    </w:p>
    <w:tbl>
      <w:tblPr>
        <w:tblW w:type="dxa" w:w="6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Name (Print)</w:t>
            </w:r>
          </w:p>
        </w:tc>
        <w:tc>
          <w:tcPr>
            <w:tcW w:type="dxa" w:w="4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____________________________</w:t>
            </w:r>
          </w:p>
        </w:tc>
      </w:tr>
      <w:tr>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Signature</w:t>
            </w:r>
          </w:p>
        </w:tc>
        <w:tc>
          <w:tcPr>
            <w:tcW w:type="dxa" w:w="4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____________________________</w:t>
            </w:r>
          </w:p>
        </w:tc>
      </w:tr>
      <w:tr>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Title / Department</w:t>
            </w:r>
          </w:p>
        </w:tc>
        <w:tc>
          <w:tcPr>
            <w:tcW w:type="dxa" w:w="4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____________________________</w:t>
            </w:r>
          </w:p>
        </w:tc>
      </w:tr>
      <w:tr>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Date</w:t>
            </w:r>
          </w:p>
        </w:tc>
        <w:tc>
          <w:tcPr>
            <w:tcW w:type="dxa" w:w="4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____________________________</w:t>
            </w:r>
          </w:p>
        </w:tc>
      </w:tr>
      <w:tr>
        <w:tc>
          <w:tcPr>
            <w:tcW w:type="dxa" w:w="2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b/>
                <w:bCs/>
                <w:color w:val="333333"/>
                <w:sz w:val="22"/>
                <w:szCs w:val="22"/>
              </w:rPr>
              <w:t xml:space="preserve">Manager Name</w:t>
            </w:r>
          </w:p>
        </w:tc>
        <w:tc>
          <w:tcPr>
            <w:tcW w:type="dxa" w:w="4000"/>
            <w:tcBorders>
              <w:top w:val="single" w:color="BFBFBF" w:sz="1"/>
              <w:left w:val="single" w:color="BFBFBF" w:sz="1"/>
              <w:bottom w:val="single" w:color="BFBFBF" w:sz="1"/>
              <w:right w:val="single" w:color="BFBFBF" w:sz="1"/>
            </w:tcBorders>
            <w:shd w:fill="EDF2F9" w:color="EDF2F9" w:val="solid"/>
          </w:tcPr>
          <w:p>
            <w:pPr>
              <w:spacing w:after="30" w:before="30"/>
            </w:pPr>
            <w:r>
              <w:rPr>
                <w:rFonts w:ascii="Calibri" w:cs="Calibri" w:eastAsia="Calibri" w:hAnsi="Calibri"/>
                <w:color w:val="333333"/>
                <w:sz w:val="22"/>
                <w:szCs w:val="22"/>
              </w:rPr>
              <w:t xml:space="preserve">____________________________</w:t>
            </w:r>
          </w:p>
        </w:tc>
      </w:tr>
      <w:tr>
        <w:tc>
          <w:tcPr>
            <w:tcW w:type="dxa" w:w="2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b/>
                <w:bCs/>
                <w:color w:val="333333"/>
                <w:sz w:val="22"/>
                <w:szCs w:val="22"/>
              </w:rPr>
              <w:t xml:space="preserve">Manager Signature</w:t>
            </w:r>
          </w:p>
        </w:tc>
        <w:tc>
          <w:tcPr>
            <w:tcW w:type="dxa" w:w="4000"/>
            <w:tcBorders>
              <w:top w:val="single" w:color="BFBFBF" w:sz="1"/>
              <w:left w:val="single" w:color="BFBFBF" w:sz="1"/>
              <w:bottom w:val="single" w:color="BFBFBF" w:sz="1"/>
              <w:right w:val="single" w:color="BFBFBF" w:sz="1"/>
            </w:tcBorders>
          </w:tcPr>
          <w:p>
            <w:pPr>
              <w:spacing w:after="30" w:before="30"/>
            </w:pPr>
            <w:r>
              <w:rPr>
                <w:rFonts w:ascii="Calibri" w:cs="Calibri" w:eastAsia="Calibri" w:hAnsi="Calibri"/>
                <w:color w:val="333333"/>
                <w:sz w:val="22"/>
                <w:szCs w:val="22"/>
              </w:rPr>
              <w:t xml:space="preserve">____________________________</w:t>
            </w:r>
          </w:p>
        </w:tc>
      </w:tr>
    </w:tbl>
    <w:p>
      <w:pPr>
        <w:spacing w:after="0"/>
      </w:pPr>
    </w:p>
    <w:p>
      <w:pPr>
        <w:spacing w:after="0"/>
      </w:pPr>
    </w:p>
    <w:p>
      <w:pPr>
        <w:spacing w:before="400"/>
        <w:jc w:val="center"/>
      </w:pPr>
      <w:r>
        <w:rPr>
          <w:rFonts w:ascii="Calibri" w:cs="Calibri" w:eastAsia="Calibri" w:hAnsi="Calibri"/>
          <w:i/>
          <w:iCs/>
          <w:color w:val="888888"/>
          <w:sz w:val="22"/>
          <w:szCs w:val="22"/>
        </w:rPr>
        <w:t xml:space="preserve">— End of Policy —</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680"/>
        <w:tab w:val="right" w:pos="9360"/>
      </w:tabs>
    </w:pPr>
    <w:r>
      <w:rPr>
        <w:rFonts w:ascii="Calibri" w:cs="Calibri" w:eastAsia="Calibri" w:hAnsi="Calibri"/>
        <w:color w:val="888888"/>
        <w:sz w:val="16"/>
        <w:szCs w:val="16"/>
      </w:rPr>
      <w:t xml:space="preserve">Montague Law — For Informational Purposes Only</w:t>
    </w:r>
    <w:r>
      <w:rPr>
        <w:rFonts w:ascii="Calibri" w:cs="Calibri" w:eastAsia="Calibri" w:hAnsi="Calibri"/>
      </w:rPr>
      <w:t xml:space="preserve">	</w:t>
    </w:r>
    <w:r>
      <w:rPr>
        <w:rFonts w:ascii="Calibri" w:cs="Calibri" w:eastAsia="Calibri" w:hAnsi="Calibri"/>
      </w:rPr>
      <w:t xml:space="preserv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i/>
        <w:iCs/>
        <w:color w:val="888888"/>
        <w:sz w:val="18"/>
        <w:szCs w:val="18"/>
      </w:rPr>
      <w:t xml:space="preserve">Information Security Policy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33333"/>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after="120" w:before="360"/>
    </w:pPr>
    <w:rPr>
      <w:rFonts w:ascii="Calibri" w:cs="Calibri" w:eastAsia="Calibri" w:hAnsi="Calibri"/>
      <w:b/>
      <w:bCs/>
      <w:color w:val="1B2A4A"/>
      <w:sz w:val="28"/>
      <w:szCs w:val="28"/>
    </w:rPr>
  </w:style>
  <w:style w:type="paragraph" w:styleId="Heading2">
    <w:name w:val="Heading 2"/>
    <w:basedOn w:val="Normal"/>
    <w:next w:val="Normal"/>
    <w:qFormat/>
    <w:pPr>
      <w:spacing w:after="80" w:before="280"/>
    </w:pPr>
    <w:rPr>
      <w:rFonts w:ascii="Calibri" w:cs="Calibri" w:eastAsia="Calibri" w:hAnsi="Calibri"/>
      <w:b/>
      <w:bCs/>
      <w:color w:val="2E5090"/>
      <w:sz w:val="24"/>
      <w:szCs w:val="24"/>
    </w:rPr>
  </w:style>
  <w:style w:type="paragraph" w:styleId="Heading3">
    <w:name w:val="Heading 3"/>
    <w:basedOn w:val="Normal"/>
    <w:next w:val="Normal"/>
    <w:qFormat/>
    <w:pPr>
      <w:spacing w:after="60" w:before="200"/>
    </w:pPr>
    <w:rPr>
      <w:rFonts w:ascii="Calibri" w:cs="Calibri" w:eastAsia="Calibri" w:hAnsi="Calibri"/>
      <w:b/>
      <w:bCs/>
      <w:color w:val="1B2A4A"/>
      <w:sz w:val="22"/>
      <w:szCs w:val="22"/>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rPr>
      <w:rFonts w:ascii="Calibri" w:cs="Calibri" w:eastAsia="Calibri" w:hAnsi="Calibri"/>
      <w:color w:val="333333"/>
      <w:sz w:val="24"/>
      <w:szCs w:val="24"/>
    </w:r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2026-08-22T22:00:03.450Z</dcterms:created>
  <dcterms:modified xsi:type="dcterms:W3CDTF">2026-08-22T22:00:03.450Z</dcterms:modified>
</cp:coreProperties>
</file>

<file path=docProps/custom.xml><?xml version="1.0" encoding="utf-8"?>
<Properties xmlns="http://schemas.openxmlformats.org/officeDocument/2006/custom-properties" xmlns:vt="http://schemas.openxmlformats.org/officeDocument/2006/docPropsVTypes"/>
</file>