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0"/>
      </w:pPr>
    </w:p>
    <w:p>
      <w:pPr>
        <w:spacing w:after="40"/>
        <w:jc w:val="center"/>
      </w:pPr>
      <w:r>
        <w:rPr>
          <w:rFonts w:ascii="Calibri" w:cs="Calibri" w:eastAsia="Calibri" w:hAnsi="Calibri"/>
          <w:b/>
          <w:bCs/>
          <w:color w:val="1B3A5C"/>
          <w:sz w:val="52"/>
          <w:szCs w:val="52"/>
        </w:rPr>
        <w:t xml:space="preserve">EQUITY GRANT</w:t>
      </w:r>
    </w:p>
    <w:p>
      <w:pPr>
        <w:spacing w:after="200"/>
        <w:jc w:val="center"/>
      </w:pPr>
      <w:r>
        <w:rPr>
          <w:rFonts w:ascii="Calibri" w:cs="Calibri" w:eastAsia="Calibri" w:hAnsi="Calibri"/>
          <w:b/>
          <w:bCs/>
          <w:color w:val="1B3A5C"/>
          <w:sz w:val="52"/>
          <w:szCs w:val="52"/>
        </w:rPr>
        <w:t xml:space="preserve">BOARD CONSENT PACKAGE</w:t>
      </w:r>
    </w:p>
    <w:p>
      <w:pPr>
        <w:pBdr>
          <w:bottom w:val="single" w:color="CCCCCC" w:sz="1"/>
        </w:pBdr>
        <w:spacing w:after="120" w:before="120"/>
      </w:pPr>
    </w:p>
    <w:p>
      <w:pPr>
        <w:spacing w:after="80"/>
        <w:jc w:val="center"/>
      </w:pPr>
      <w:r>
        <w:rPr>
          <w:rFonts w:ascii="Calibri" w:cs="Calibri" w:eastAsia="Calibri" w:hAnsi="Calibri"/>
          <w:i/>
          <w:iCs/>
          <w:color w:val="666666"/>
          <w:sz w:val="26"/>
          <w:szCs w:val="26"/>
        </w:rPr>
        <w:t xml:space="preserve">Unanimous Written Consent of the Board of Directors</w:t>
      </w:r>
    </w:p>
    <w:p>
      <w:pPr>
        <w:spacing w:after="80"/>
        <w:jc w:val="center"/>
      </w:pPr>
      <w:r>
        <w:rPr>
          <w:rFonts w:ascii="Calibri" w:cs="Calibri" w:eastAsia="Calibri" w:hAnsi="Calibri"/>
          <w:i/>
          <w:iCs/>
          <w:color w:val="666666"/>
          <w:sz w:val="26"/>
          <w:szCs w:val="26"/>
        </w:rPr>
        <w:t xml:space="preserve">of</w:t>
      </w:r>
    </w:p>
    <w:p>
      <w:pPr>
        <w:spacing w:after="200"/>
        <w:jc w:val="center"/>
      </w:pPr>
      <w:r>
        <w:rPr>
          <w:rFonts w:ascii="Calibri" w:cs="Calibri" w:eastAsia="Calibri" w:hAnsi="Calibri"/>
          <w:b/>
          <w:bCs/>
          <w:color w:val="1B3A5C"/>
          <w:sz w:val="30"/>
          <w:szCs w:val="30"/>
        </w:rPr>
        <w:t xml:space="preserve">[COMPANY NAME], Inc.</w:t>
      </w:r>
    </w:p>
    <w:p>
      <w:pPr>
        <w:pBdr>
          <w:bottom w:val="single" w:color="CCCCCC" w:sz="1"/>
        </w:pBdr>
        <w:spacing w:after="120" w:before="120"/>
      </w:pPr>
    </w:p>
    <w:p>
      <w:pPr>
        <w:spacing w:after="200"/>
      </w:pPr>
    </w:p>
    <w:p>
      <w:pPr>
        <w:spacing w:after="60"/>
        <w:jc w:val="center"/>
      </w:pPr>
      <w:r>
        <w:rPr>
          <w:rFonts w:ascii="Calibri" w:cs="Calibri" w:eastAsia="Calibri" w:hAnsi="Calibri"/>
          <w:b/>
          <w:bCs/>
          <w:color w:val="3B6E9E"/>
          <w:sz w:val="22"/>
          <w:szCs w:val="22"/>
        </w:rPr>
        <w:t xml:space="preserve">EF-034</w:t>
      </w:r>
    </w:p>
    <w:p>
      <w:pPr>
        <w:spacing w:after="200"/>
        <w:jc w:val="center"/>
      </w:pPr>
      <w:r>
        <w:rPr>
          <w:rFonts w:ascii="Calibri" w:cs="Calibri" w:eastAsia="Calibri" w:hAnsi="Calibri"/>
          <w:i/>
          <w:iCs/>
          <w:color w:val="666666"/>
          <w:sz w:val="20"/>
          <w:szCs w:val="20"/>
        </w:rPr>
        <w:t xml:space="preserve">Montague Law Entrepreneur Forms Library</w:t>
      </w:r>
    </w:p>
    <w:p>
      <w:pPr>
        <w:spacing w:after="100"/>
      </w:pPr>
    </w:p>
    <w:p>
      <w:pPr>
        <w:spacing w:after="160" w:before="0" w:line="276"/>
        <w:jc w:val="center"/>
      </w:pPr>
      <w:r>
        <w:rPr>
          <w:rFonts w:ascii="Calibri" w:cs="Calibri" w:eastAsia="Calibri" w:hAnsi="Calibri"/>
          <w:b w:val="false"/>
          <w:bCs w:val="false"/>
          <w:i w:val="false"/>
          <w:iCs w:val="false"/>
          <w:color w:val="666666"/>
          <w:sz w:val="22"/>
          <w:szCs w:val="22"/>
        </w:rPr>
        <w:t xml:space="preserve">Effective Date: [EFFECTIVE DATE]</w:t>
      </w:r>
    </w:p>
    <w:p>
      <w:pPr>
        <w:spacing w:after="100"/>
      </w:pPr>
    </w:p>
    <w:p>
      <w:pPr>
        <w:spacing w:after="60"/>
        <w:jc w:val="center"/>
      </w:pPr>
      <w:r>
        <w:rPr>
          <w:rFonts w:ascii="Calibri" w:cs="Calibri" w:eastAsia="Calibri" w:hAnsi="Calibri"/>
          <w:b/>
          <w:bCs/>
          <w:color w:val="CC0000"/>
          <w:sz w:val="20"/>
          <w:szCs w:val="20"/>
        </w:rPr>
        <w:t xml:space="preserve">CONFIDENTIAL</w:t>
      </w:r>
    </w:p>
    <w:p>
      <w:pPr>
        <w:spacing w:after="200"/>
        <w:jc w:val="center"/>
      </w:pPr>
      <w:r>
        <w:rPr>
          <w:rFonts w:ascii="Calibri" w:cs="Calibri" w:eastAsia="Calibri" w:hAnsi="Calibri"/>
          <w:i/>
          <w:iCs/>
          <w:color w:val="666666"/>
          <w:sz w:val="18"/>
          <w:szCs w:val="18"/>
        </w:rPr>
        <w:t xml:space="preserve">This document is provided for informational purposes only and does not constitute legal advice. Consult qualified legal counsel before use.</w:t>
      </w:r>
    </w:p>
    <w:p>
      <w:r>
        <w:br w:type="page"/>
      </w:r>
    </w:p>
    <w:p>
      <w:pPr>
        <w:pStyle w:val="Heading1"/>
        <w:spacing w:after="160" w:before="360"/>
        <w:jc w:val="center"/>
      </w:pPr>
      <w:r>
        <w:rPr>
          <w:rFonts w:ascii="Calibri" w:cs="Calibri" w:eastAsia="Calibri" w:hAnsi="Calibri"/>
          <w:b/>
          <w:bCs/>
          <w:color w:val="1B3A5C"/>
          <w:sz w:val="32"/>
          <w:szCs w:val="32"/>
        </w:rPr>
        <w:t xml:space="preserve">TABLE OF CONTENTS</w:t>
      </w:r>
    </w:p>
    <w:p>
      <w:pPr>
        <w:spacing w:after="80"/>
      </w:pP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spacing w:after="160" w:before="360"/>
        <w:jc w:val="center"/>
      </w:pPr>
      <w:r>
        <w:rPr>
          <w:rFonts w:ascii="Calibri" w:cs="Calibri" w:eastAsia="Calibri" w:hAnsi="Calibri"/>
          <w:b/>
          <w:bCs/>
          <w:color w:val="1B3A5C"/>
          <w:sz w:val="32"/>
          <w:szCs w:val="32"/>
        </w:rPr>
        <w:t xml:space="preserve">SECTION 1: CONSENT FRAMEWORK</w:t>
      </w:r>
    </w:p>
    <w:p>
      <w:pPr>
        <w:pStyle w:val="Heading2"/>
        <w:spacing w:after="160" w:before="280"/>
        <w:jc w:val="left"/>
      </w:pPr>
      <w:r>
        <w:rPr>
          <w:rFonts w:ascii="Calibri" w:cs="Calibri" w:eastAsia="Calibri" w:hAnsi="Calibri"/>
          <w:b/>
          <w:bCs/>
          <w:color w:val="1B3A5C"/>
          <w:sz w:val="26"/>
          <w:szCs w:val="26"/>
        </w:rPr>
        <w:t xml:space="preserve">1.1 Written Consent Authority</w:t>
      </w:r>
    </w:p>
    <w:p>
      <w:pPr>
        <w:spacing w:after="160" w:before="0" w:line="276"/>
        <w:jc w:val="both"/>
      </w:pPr>
      <w:r>
        <w:rPr>
          <w:rFonts w:ascii="Calibri" w:cs="Calibri" w:eastAsia="Calibri" w:hAnsi="Calibri"/>
          <w:b w:val="false"/>
          <w:bCs w:val="false"/>
          <w:i w:val="false"/>
          <w:iCs w:val="false"/>
          <w:color w:val="2D2D2D"/>
          <w:sz w:val="22"/>
          <w:szCs w:val="22"/>
        </w:rPr>
        <w:t xml:space="preserve">The undersigned, constituting [all / a majority] of the members of the Board of Directors (the "Board") of [COMPANY NAME], a [STATE OF INCORPORATION] corporation (the "Company"), acting pursuant to [Section 141(f) of the Delaware General Corporation Law / Section 607.0821 of the Florida Business Corporation Act / APPLICABLE STATUTE], hereby adopt the following resolutions by unanimous written consent, effective without a meeting, without prior notice, and without a vote.</w:t>
      </w:r>
    </w:p>
    <w:p>
      <w:pPr>
        <w:spacing w:after="160" w:before="0" w:line="276"/>
        <w:jc w:val="both"/>
      </w:pPr>
      <w:r>
        <w:rPr>
          <w:rFonts w:ascii="Calibri" w:cs="Calibri" w:eastAsia="Calibri" w:hAnsi="Calibri"/>
          <w:b w:val="false"/>
          <w:bCs w:val="false"/>
          <w:i w:val="false"/>
          <w:iCs w:val="false"/>
          <w:color w:val="2D2D2D"/>
          <w:sz w:val="22"/>
          <w:szCs w:val="22"/>
        </w:rPr>
        <w:t xml:space="preserve">This written consent may be executed in one or more counterparts, each of which shall be deemed an original, but all of which together shall constitute one and the same instrument. Delivery of an executed counterpart by electronic transmission (including PDF, DocuSign, or similar platform) shall be equally as effective as delivery of a manually executed counterpart.</w:t>
      </w:r>
    </w:p>
    <w:p>
      <w:pPr>
        <w:pStyle w:val="Heading2"/>
        <w:spacing w:after="160" w:before="280"/>
        <w:jc w:val="left"/>
      </w:pPr>
      <w:r>
        <w:rPr>
          <w:rFonts w:ascii="Calibri" w:cs="Calibri" w:eastAsia="Calibri" w:hAnsi="Calibri"/>
          <w:b/>
          <w:bCs/>
          <w:color w:val="1B3A5C"/>
          <w:sz w:val="26"/>
          <w:szCs w:val="26"/>
        </w:rPr>
        <w:t xml:space="preserve">1.2 Plan Identification</w:t>
      </w:r>
    </w:p>
    <w:p>
      <w:pPr>
        <w:spacing w:after="160" w:before="0" w:line="276"/>
        <w:jc w:val="both"/>
      </w:pPr>
      <w:r>
        <w:rPr>
          <w:rFonts w:ascii="Calibri" w:cs="Calibri" w:eastAsia="Calibri" w:hAnsi="Calibri"/>
          <w:b w:val="false"/>
          <w:bCs w:val="false"/>
          <w:i w:val="false"/>
          <w:iCs w:val="false"/>
          <w:color w:val="2D2D2D"/>
          <w:sz w:val="22"/>
          <w:szCs w:val="22"/>
        </w:rPr>
        <w:t xml:space="preserve">The equity grants authorized herein are made pursuant to the [COMPANY NAME] [YEAR] Equity Incentive Plan, as amended (the "Plan"), which was adopted by the Board on [PLAN ADOPTION DATE] and approved by the stockholders of the Company on [STOCKHOLDER APPROVAL DATE]. All capitalized terms used but not defined herein shall have the meanings ascribed to them in the Plan.</w:t>
      </w:r>
    </w:p>
    <w:p>
      <w:pPr>
        <w:spacing w:after="160" w:before="0" w:line="276"/>
        <w:jc w:val="both"/>
      </w:pPr>
      <w:r>
        <w:rPr>
          <w:rFonts w:ascii="Calibri" w:cs="Calibri" w:eastAsia="Calibri" w:hAnsi="Calibri"/>
          <w:b w:val="false"/>
          <w:bCs w:val="false"/>
          <w:i w:val="false"/>
          <w:iCs w:val="false"/>
          <w:color w:val="2D2D2D"/>
          <w:sz w:val="22"/>
          <w:szCs w:val="22"/>
        </w:rPr>
        <w:t xml:space="preserve">The Plan document governing this consent is the version dated [PLAN VERSION DATE], incorporating all amendments through [LAST AMENDMENT DATE], a copy of which is on file with the Secretary of the Company.</w:t>
      </w:r>
    </w:p>
    <w:p>
      <w:pPr>
        <w:pStyle w:val="Heading2"/>
        <w:spacing w:after="160" w:before="280"/>
        <w:jc w:val="left"/>
      </w:pPr>
      <w:r>
        <w:rPr>
          <w:rFonts w:ascii="Calibri" w:cs="Calibri" w:eastAsia="Calibri" w:hAnsi="Calibri"/>
          <w:b/>
          <w:bCs/>
          <w:color w:val="1B3A5C"/>
          <w:sz w:val="26"/>
          <w:szCs w:val="26"/>
        </w:rPr>
        <w:t xml:space="preserve">1.3 Committee Delegation</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to the extent the Board has established a Compensation Committee (the "Committee") pursuant to the Company's Bylaws and the Committee Charter adopted on [COMMITTEE CHARTER DATE], the Board hereby [ratifies the Committee's recommendation to approve / directly approves, without delegation to the Committee,] the equity grants set forth in this consent.</w:t>
      </w:r>
    </w:p>
    <w:p>
      <w:pPr>
        <w:spacing w:after="160" w:before="0" w:line="276"/>
        <w:jc w:val="both"/>
      </w:pPr>
      <w:r>
        <w:rPr>
          <w:rFonts w:ascii="Calibri" w:cs="Calibri" w:eastAsia="Calibri" w:hAnsi="Calibri"/>
          <w:b w:val="false"/>
          <w:bCs w:val="false"/>
          <w:i w:val="false"/>
          <w:iCs w:val="false"/>
          <w:color w:val="2D2D2D"/>
          <w:sz w:val="22"/>
          <w:szCs w:val="22"/>
        </w:rPr>
        <w:t xml:space="preserve">The Committee, if applicable, consists of the following independent directors: [COMMITTEE MEMBER 1], [COMMITTEE MEMBER 2], and [COMMITTEE MEMBER 3]. Each Committee member has confirmed that he or she (a) qualifies as a "non-employee director" under Rule 16b-3 of the Securities Exchange Act of 1934, as amended, and (b) satisfies the independence requirements of [APPLICABLE STOCK EXCHANGE / the Company's governance standards].</w:t>
      </w:r>
    </w:p>
    <w:p>
      <w:pPr>
        <w:pStyle w:val="Heading2"/>
        <w:spacing w:after="160" w:before="280"/>
        <w:jc w:val="left"/>
      </w:pPr>
      <w:r>
        <w:rPr>
          <w:rFonts w:ascii="Calibri" w:cs="Calibri" w:eastAsia="Calibri" w:hAnsi="Calibri"/>
          <w:b/>
          <w:bCs/>
          <w:color w:val="1B3A5C"/>
          <w:sz w:val="26"/>
          <w:szCs w:val="26"/>
        </w:rPr>
        <w:t xml:space="preserve">1.4 Quorum and Voting</w:t>
      </w:r>
    </w:p>
    <w:p>
      <w:pPr>
        <w:spacing w:after="160" w:before="0" w:line="276"/>
        <w:jc w:val="both"/>
      </w:pPr>
      <w:r>
        <w:rPr>
          <w:rFonts w:ascii="Calibri" w:cs="Calibri" w:eastAsia="Calibri" w:hAnsi="Calibri"/>
          <w:b w:val="false"/>
          <w:bCs w:val="false"/>
          <w:i w:val="false"/>
          <w:iCs w:val="false"/>
          <w:color w:val="2D2D2D"/>
          <w:sz w:val="22"/>
          <w:szCs w:val="22"/>
        </w:rPr>
        <w:t xml:space="preserve">The undersigned constitute [all / a sufficient number] of the directors of the Company to satisfy the quorum requirements set forth in Section [BYLAW SECTION] of the Company's Bylaws. This written consent satisfies the voting threshold required under [applicable corporate statute] for Board action without a meeting.</w:t>
      </w:r>
    </w:p>
    <w:p>
      <w:pPr>
        <w:spacing w:after="160" w:before="0" w:line="276"/>
        <w:jc w:val="both"/>
      </w:pPr>
      <w:r>
        <w:rPr>
          <w:rFonts w:ascii="Calibri" w:cs="Calibri" w:eastAsia="Calibri" w:hAnsi="Calibri"/>
          <w:b w:val="false"/>
          <w:bCs w:val="false"/>
          <w:i w:val="false"/>
          <w:iCs w:val="false"/>
          <w:color w:val="2D2D2D"/>
          <w:sz w:val="22"/>
          <w:szCs w:val="22"/>
        </w:rPr>
        <w:t xml:space="preserve">As of the date hereof, the Board consists of [NUMBER] directors, and the signatures of [NUMBER] directors appear below, constituting [unanimous consent / the consent of a majority of the total number of authorized directors].</w:t>
      </w:r>
    </w:p>
    <w:p>
      <w:pPr>
        <w:pStyle w:val="Heading2"/>
        <w:spacing w:after="160" w:before="280"/>
        <w:jc w:val="left"/>
      </w:pPr>
      <w:r>
        <w:rPr>
          <w:rFonts w:ascii="Calibri" w:cs="Calibri" w:eastAsia="Calibri" w:hAnsi="Calibri"/>
          <w:b/>
          <w:bCs/>
          <w:color w:val="1B3A5C"/>
          <w:sz w:val="26"/>
          <w:szCs w:val="26"/>
        </w:rPr>
        <w:t xml:space="preserve">1.5 Effective Date</w:t>
      </w:r>
    </w:p>
    <w:p>
      <w:pPr>
        <w:spacing w:after="160" w:before="0" w:line="276"/>
        <w:jc w:val="both"/>
      </w:pPr>
      <w:r>
        <w:rPr>
          <w:rFonts w:ascii="Calibri" w:cs="Calibri" w:eastAsia="Calibri" w:hAnsi="Calibri"/>
          <w:b w:val="false"/>
          <w:bCs w:val="false"/>
          <w:i w:val="false"/>
          <w:iCs w:val="false"/>
          <w:color w:val="2D2D2D"/>
          <w:sz w:val="22"/>
          <w:szCs w:val="22"/>
        </w:rPr>
        <w:t xml:space="preserve">This consent shall be effective as of [EFFECTIVE DATE] (the "Effective Date"), which date shall be deemed the date of the Board's approval for all purposes under the Plan, the Internal Revenue Code of 1986, as amended (the "Code"), and applicable securities laws. If any director executes this consent on a date after the Effective Date, such director's consent shall relate back to the Effective Date.</w:t>
      </w:r>
    </w:p>
    <w:p>
      <w:pPr>
        <w:pStyle w:val="Heading2"/>
        <w:spacing w:after="160" w:before="280"/>
        <w:jc w:val="left"/>
      </w:pPr>
      <w:r>
        <w:rPr>
          <w:rFonts w:ascii="Calibri" w:cs="Calibri" w:eastAsia="Calibri" w:hAnsi="Calibri"/>
          <w:b/>
          <w:bCs/>
          <w:color w:val="1B3A5C"/>
          <w:sz w:val="26"/>
          <w:szCs w:val="26"/>
        </w:rPr>
        <w:t xml:space="preserve">1.6 Filing and Recordkeeping</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the Secretary of the Company is hereby directed to file this consent with the minutes of the proceedings of the Board, together with all exhibits and attachments hereto, and to maintain such records as required under the Company's Bylaws and applicable law.</w:t>
      </w:r>
    </w:p>
    <w:p>
      <w:pPr>
        <w:spacing w:after="160" w:before="0" w:line="276"/>
        <w:jc w:val="both"/>
      </w:pPr>
      <w:r>
        <w:rPr>
          <w:rFonts w:ascii="Calibri" w:cs="Calibri" w:eastAsia="Calibri" w:hAnsi="Calibri"/>
          <w:b w:val="false"/>
          <w:bCs w:val="false"/>
          <w:i w:val="false"/>
          <w:iCs w:val="false"/>
          <w:color w:val="2D2D2D"/>
          <w:sz w:val="22"/>
          <w:szCs w:val="22"/>
        </w:rPr>
        <w:t xml:space="preserve">The Secretary shall also update the Company's stock ledger, capitalization table, and all records maintained under Section 6039 of the Code (relating to Incentive Stock Options) within [NUMBER] business days of the Effective Date.</w:t>
      </w:r>
    </w:p>
    <w:p>
      <w:r>
        <w:br w:type="page"/>
      </w:r>
    </w:p>
    <w:p>
      <w:pPr>
        <w:pStyle w:val="Heading1"/>
        <w:spacing w:after="160" w:before="360"/>
        <w:jc w:val="center"/>
      </w:pPr>
      <w:r>
        <w:rPr>
          <w:rFonts w:ascii="Calibri" w:cs="Calibri" w:eastAsia="Calibri" w:hAnsi="Calibri"/>
          <w:b/>
          <w:bCs/>
          <w:color w:val="1B3A5C"/>
          <w:sz w:val="32"/>
          <w:szCs w:val="32"/>
        </w:rPr>
        <w:t xml:space="preserve">SECTION 2: RECITALS AND AUTHORITY</w:t>
      </w:r>
    </w:p>
    <w:p>
      <w:pPr>
        <w:pStyle w:val="Heading2"/>
        <w:spacing w:after="160" w:before="280"/>
        <w:jc w:val="left"/>
      </w:pPr>
      <w:r>
        <w:rPr>
          <w:rFonts w:ascii="Calibri" w:cs="Calibri" w:eastAsia="Calibri" w:hAnsi="Calibri"/>
          <w:b/>
          <w:bCs/>
          <w:color w:val="1B3A5C"/>
          <w:sz w:val="26"/>
          <w:szCs w:val="26"/>
        </w:rPr>
        <w:t xml:space="preserve">2.1 Plan Adoption and Stockholder Approval</w:t>
      </w:r>
    </w:p>
    <w:p>
      <w:pPr>
        <w:spacing w:after="160" w:before="0" w:line="276"/>
        <w:jc w:val="both"/>
      </w:pPr>
      <w:r>
        <w:rPr>
          <w:rFonts w:ascii="Calibri" w:cs="Calibri" w:eastAsia="Calibri" w:hAnsi="Calibri"/>
          <w:b w:val="false"/>
          <w:bCs w:val="false"/>
          <w:i w:val="false"/>
          <w:iCs w:val="false"/>
          <w:color w:val="2D2D2D"/>
          <w:sz w:val="22"/>
          <w:szCs w:val="22"/>
        </w:rPr>
        <w:t xml:space="preserve">WHEREAS, the Board adopted the Plan on [PLAN ADOPTION DATE], reserving an aggregate of [TOTAL SHARES RESERVED] shares of Common Stock, par value $[PAR VALUE] per share (the "Common Stock"), for issuance pursuant to equity awards granted under the Plan;</w:t>
      </w:r>
    </w:p>
    <w:p>
      <w:pPr>
        <w:spacing w:after="160" w:before="0" w:line="276"/>
        <w:jc w:val="both"/>
      </w:pPr>
      <w:r>
        <w:rPr>
          <w:rFonts w:ascii="Calibri" w:cs="Calibri" w:eastAsia="Calibri" w:hAnsi="Calibri"/>
          <w:b w:val="false"/>
          <w:bCs w:val="false"/>
          <w:i w:val="false"/>
          <w:iCs w:val="false"/>
          <w:color w:val="2D2D2D"/>
          <w:sz w:val="22"/>
          <w:szCs w:val="22"/>
        </w:rPr>
        <w:t xml:space="preserve">WHEREAS, the stockholders of the Company approved the Plan on [STOCKHOLDER APPROVAL DATE] by the requisite vote under the Company's Certificate of Incorporation and applicable law;</w:t>
      </w:r>
    </w:p>
    <w:p>
      <w:pPr>
        <w:spacing w:after="160" w:before="0" w:line="276"/>
        <w:jc w:val="both"/>
      </w:pPr>
      <w:r>
        <w:rPr>
          <w:rFonts w:ascii="Calibri" w:cs="Calibri" w:eastAsia="Calibri" w:hAnsi="Calibri"/>
          <w:b w:val="false"/>
          <w:bCs w:val="false"/>
          <w:i w:val="false"/>
          <w:iCs w:val="false"/>
          <w:color w:val="2D2D2D"/>
          <w:sz w:val="22"/>
          <w:szCs w:val="22"/>
        </w:rPr>
        <w:t xml:space="preserve">WHEREAS, the Plan was subsequently amended on [AMENDMENT DATE(S)] to [DESCRIPTION OF AMENDMENT(S)], and each such amendment was approved by the stockholders to the extent required under applicable law and the terms of the Plan;</w:t>
      </w:r>
    </w:p>
    <w:p>
      <w:pPr>
        <w:pStyle w:val="Heading2"/>
        <w:spacing w:after="160" w:before="280"/>
        <w:jc w:val="left"/>
      </w:pPr>
      <w:r>
        <w:rPr>
          <w:rFonts w:ascii="Calibri" w:cs="Calibri" w:eastAsia="Calibri" w:hAnsi="Calibri"/>
          <w:b/>
          <w:bCs/>
          <w:color w:val="1B3A5C"/>
          <w:sz w:val="26"/>
          <w:szCs w:val="26"/>
        </w:rPr>
        <w:t xml:space="preserve">2.2 Share Reserve and Availability</w:t>
      </w:r>
    </w:p>
    <w:p>
      <w:pPr>
        <w:spacing w:after="160" w:before="0" w:line="276"/>
        <w:jc w:val="both"/>
      </w:pPr>
      <w:r>
        <w:rPr>
          <w:rFonts w:ascii="Calibri" w:cs="Calibri" w:eastAsia="Calibri" w:hAnsi="Calibri"/>
          <w:b w:val="false"/>
          <w:bCs w:val="false"/>
          <w:i w:val="false"/>
          <w:iCs w:val="false"/>
          <w:color w:val="2D2D2D"/>
          <w:sz w:val="22"/>
          <w:szCs w:val="22"/>
        </w:rPr>
        <w:t xml:space="preserve">WHEREAS, as of [DETERMINATION DATE], the share reserve and availability under the Plan is as follows:</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200"/>
        <w:gridCol w:w="2800"/>
        <w:gridCol w:w="2360"/>
      </w:tblGrid>
      <w:tr>
        <w:trPr>
          <w:tblHeader/>
        </w:trPr>
        <w:tc>
          <w:tcPr>
            <w:tcW w:type="dxa" w:w="42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Category</w:t>
            </w:r>
          </w:p>
        </w:tc>
        <w:tc>
          <w:tcPr>
            <w:tcW w:type="dxa" w:w="28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Number of Shares</w:t>
            </w:r>
          </w:p>
        </w:tc>
        <w:tc>
          <w:tcPr>
            <w:tcW w:type="dxa" w:w="236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Percentage of Reserve</w:t>
            </w:r>
          </w:p>
        </w:tc>
      </w:tr>
      <w:tr>
        <w:tc>
          <w:tcPr>
            <w:tcW w:type="dxa" w:w="42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Total shares reserved under the Plan</w:t>
            </w:r>
          </w:p>
        </w:tc>
        <w:tc>
          <w:tcPr>
            <w:tcW w:type="dxa" w:w="2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[TOTAL SHARES RESERVED]</w:t>
            </w:r>
          </w:p>
        </w:tc>
        <w:tc>
          <w:tcPr>
            <w:tcW w:type="dxa" w:w="2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100%</w:t>
            </w:r>
          </w:p>
        </w:tc>
      </w:tr>
      <w:tr>
        <w:tc>
          <w:tcPr>
            <w:tcW w:type="dxa" w:w="42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Shares subject to outstanding options</w:t>
            </w:r>
          </w:p>
        </w:tc>
        <w:tc>
          <w:tcPr>
            <w:tcW w:type="dxa" w:w="2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[OUTSTANDING OPTIONS]</w:t>
            </w:r>
          </w:p>
        </w:tc>
        <w:tc>
          <w:tcPr>
            <w:tcW w:type="dxa" w:w="2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r>
      <w:tr>
        <w:tc>
          <w:tcPr>
            <w:tcW w:type="dxa" w:w="42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Shares subject to outstanding RSAs</w:t>
            </w:r>
          </w:p>
        </w:tc>
        <w:tc>
          <w:tcPr>
            <w:tcW w:type="dxa" w:w="2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[OUTSTANDING RSAs]</w:t>
            </w:r>
          </w:p>
        </w:tc>
        <w:tc>
          <w:tcPr>
            <w:tcW w:type="dxa" w:w="2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r>
      <w:tr>
        <w:tc>
          <w:tcPr>
            <w:tcW w:type="dxa" w:w="42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Shares subject to outstanding RSUs</w:t>
            </w:r>
          </w:p>
        </w:tc>
        <w:tc>
          <w:tcPr>
            <w:tcW w:type="dxa" w:w="2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[OUTSTANDING RSUs]</w:t>
            </w:r>
          </w:p>
        </w:tc>
        <w:tc>
          <w:tcPr>
            <w:tcW w:type="dxa" w:w="2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r>
      <w:tr>
        <w:tc>
          <w:tcPr>
            <w:tcW w:type="dxa" w:w="42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Shares previously exercised or settled</w:t>
            </w:r>
          </w:p>
        </w:tc>
        <w:tc>
          <w:tcPr>
            <w:tcW w:type="dxa" w:w="2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[EXERCISED/SETTLED]</w:t>
            </w:r>
          </w:p>
        </w:tc>
        <w:tc>
          <w:tcPr>
            <w:tcW w:type="dxa" w:w="2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r>
      <w:tr>
        <w:tc>
          <w:tcPr>
            <w:tcW w:type="dxa" w:w="42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Shares returned to reserve (forfeitures)</w:t>
            </w:r>
          </w:p>
        </w:tc>
        <w:tc>
          <w:tcPr>
            <w:tcW w:type="dxa" w:w="2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[FORFEITURES]</w:t>
            </w:r>
          </w:p>
        </w:tc>
        <w:tc>
          <w:tcPr>
            <w:tcW w:type="dxa" w:w="2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r>
      <w:tr>
        <w:tc>
          <w:tcPr>
            <w:tcW w:type="dxa" w:w="42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Shares available for new grants</w:t>
            </w:r>
          </w:p>
        </w:tc>
        <w:tc>
          <w:tcPr>
            <w:tcW w:type="dxa" w:w="2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[AVAILABLE SHARES]</w:t>
            </w:r>
          </w:p>
        </w:tc>
        <w:tc>
          <w:tcPr>
            <w:tcW w:type="dxa" w:w="2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r>
    </w:tbl>
    <w:p>
      <w:pPr>
        <w:spacing w:after="80"/>
      </w:pPr>
    </w:p>
    <w:p>
      <w:pPr>
        <w:pStyle w:val="Heading2"/>
        <w:spacing w:after="160" w:before="280"/>
        <w:jc w:val="left"/>
      </w:pPr>
      <w:r>
        <w:rPr>
          <w:rFonts w:ascii="Calibri" w:cs="Calibri" w:eastAsia="Calibri" w:hAnsi="Calibri"/>
          <w:b/>
          <w:bCs/>
          <w:color w:val="1B3A5C"/>
          <w:sz w:val="26"/>
          <w:szCs w:val="26"/>
        </w:rPr>
        <w:t xml:space="preserve">2.3 Prior Grant History</w:t>
      </w:r>
    </w:p>
    <w:p>
      <w:pPr>
        <w:spacing w:after="160" w:before="0" w:line="276"/>
        <w:jc w:val="both"/>
      </w:pPr>
      <w:r>
        <w:rPr>
          <w:rFonts w:ascii="Calibri" w:cs="Calibri" w:eastAsia="Calibri" w:hAnsi="Calibri"/>
          <w:b w:val="false"/>
          <w:bCs w:val="false"/>
          <w:i w:val="false"/>
          <w:iCs w:val="false"/>
          <w:color w:val="2D2D2D"/>
          <w:sz w:val="22"/>
          <w:szCs w:val="22"/>
        </w:rPr>
        <w:t xml:space="preserve">WHEREAS, the Board has previously approved equity grants under the Plan on the following dates: [LIST OF PRIOR GRANT DATES], and the aggregate number of shares subject to awards granted on each such date is reflected in the Company's equity records maintained by the Secretary;</w:t>
      </w:r>
    </w:p>
    <w:p>
      <w:pPr>
        <w:spacing w:after="160" w:before="0" w:line="276"/>
        <w:jc w:val="both"/>
      </w:pPr>
      <w:r>
        <w:rPr>
          <w:rFonts w:ascii="Calibri" w:cs="Calibri" w:eastAsia="Calibri" w:hAnsi="Calibri"/>
          <w:b w:val="false"/>
          <w:bCs w:val="false"/>
          <w:i w:val="false"/>
          <w:iCs w:val="false"/>
          <w:color w:val="2D2D2D"/>
          <w:sz w:val="22"/>
          <w:szCs w:val="22"/>
        </w:rPr>
        <w:t xml:space="preserve">WHEREAS, the grants contemplated hereby, together with all prior grants under the Plan, do not and will not exceed the aggregate share reserve under the Plan, and sufficient shares remain available in the Plan's share reserve to accommodate the grants set forth herein;</w:t>
      </w:r>
    </w:p>
    <w:p>
      <w:pPr>
        <w:pStyle w:val="Heading2"/>
        <w:spacing w:after="160" w:before="280"/>
        <w:jc w:val="left"/>
      </w:pPr>
      <w:r>
        <w:rPr>
          <w:rFonts w:ascii="Calibri" w:cs="Calibri" w:eastAsia="Calibri" w:hAnsi="Calibri"/>
          <w:b/>
          <w:bCs/>
          <w:color w:val="1B3A5C"/>
          <w:sz w:val="26"/>
          <w:szCs w:val="26"/>
        </w:rPr>
        <w:t xml:space="preserve">2.4 ISO Sub-Limit</w:t>
      </w:r>
    </w:p>
    <w:p>
      <w:pPr>
        <w:spacing w:after="160" w:before="0" w:line="276"/>
        <w:jc w:val="both"/>
      </w:pPr>
      <w:r>
        <w:rPr>
          <w:rFonts w:ascii="Calibri" w:cs="Calibri" w:eastAsia="Calibri" w:hAnsi="Calibri"/>
          <w:b w:val="false"/>
          <w:bCs w:val="false"/>
          <w:i w:val="false"/>
          <w:iCs w:val="false"/>
          <w:color w:val="2D2D2D"/>
          <w:sz w:val="22"/>
          <w:szCs w:val="22"/>
        </w:rPr>
        <w:t xml:space="preserve">WHEREAS, the Plan provides that a maximum of [ISO SUB-LIMIT] shares may be issued pursuant to the exercise of Incentive Stock Options ("ISOs") granted under the Plan, and as of the date hereof, [NUMBER] shares have been issued or are subject to outstanding ISOs, leaving [REMAINING ISO SHARES] shares available for ISO grants;</w:t>
      </w:r>
    </w:p>
    <w:p>
      <w:pPr>
        <w:pStyle w:val="Heading2"/>
        <w:spacing w:after="160" w:before="280"/>
        <w:jc w:val="left"/>
      </w:pPr>
      <w:r>
        <w:rPr>
          <w:rFonts w:ascii="Calibri" w:cs="Calibri" w:eastAsia="Calibri" w:hAnsi="Calibri"/>
          <w:b/>
          <w:bCs/>
          <w:color w:val="1B3A5C"/>
          <w:sz w:val="26"/>
          <w:szCs w:val="26"/>
        </w:rPr>
        <w:t xml:space="preserve">2.5 Committee Charter and Delegation Authority</w:t>
      </w:r>
    </w:p>
    <w:p>
      <w:pPr>
        <w:spacing w:after="160" w:before="0" w:line="276"/>
        <w:jc w:val="both"/>
      </w:pPr>
      <w:r>
        <w:rPr>
          <w:rFonts w:ascii="Calibri" w:cs="Calibri" w:eastAsia="Calibri" w:hAnsi="Calibri"/>
          <w:b w:val="false"/>
          <w:bCs w:val="false"/>
          <w:i w:val="false"/>
          <w:iCs w:val="false"/>
          <w:color w:val="2D2D2D"/>
          <w:sz w:val="22"/>
          <w:szCs w:val="22"/>
        </w:rPr>
        <w:t xml:space="preserve">WHEREAS, [the Committee / the Board] has the authority under Section [PLAN SECTION] of the Plan to determine the persons eligible to receive awards, the type and number of awards, the terms and conditions thereof (including exercise price, vesting schedule, and term), and all other matters necessary for the administration of the Plan;</w:t>
      </w:r>
    </w:p>
    <w:p>
      <w:pPr>
        <w:spacing w:after="160" w:before="0" w:line="276"/>
        <w:jc w:val="both"/>
      </w:pPr>
      <w:r>
        <w:rPr>
          <w:rFonts w:ascii="Calibri" w:cs="Calibri" w:eastAsia="Calibri" w:hAnsi="Calibri"/>
          <w:b w:val="false"/>
          <w:bCs w:val="false"/>
          <w:i w:val="false"/>
          <w:iCs w:val="false"/>
          <w:color w:val="2D2D2D"/>
          <w:sz w:val="22"/>
          <w:szCs w:val="22"/>
        </w:rPr>
        <w:t xml:space="preserve">WHEREAS, the Committee Charter, adopted on [COMMITTEE CHARTER DATE], grants the Committee authority to approve awards to all eligible service providers, subject to the limitations set forth in the Plan and the Company's Certificate of Incorporation;</w:t>
      </w:r>
    </w:p>
    <w:p>
      <w:pPr>
        <w:pStyle w:val="Heading2"/>
        <w:spacing w:after="160" w:before="280"/>
        <w:jc w:val="left"/>
      </w:pPr>
      <w:r>
        <w:rPr>
          <w:rFonts w:ascii="Calibri" w:cs="Calibri" w:eastAsia="Calibri" w:hAnsi="Calibri"/>
          <w:b/>
          <w:bCs/>
          <w:color w:val="1B3A5C"/>
          <w:sz w:val="26"/>
          <w:szCs w:val="26"/>
        </w:rPr>
        <w:t xml:space="preserve">2.6 Section 409A and ISO Compliance Framework</w:t>
      </w:r>
    </w:p>
    <w:p>
      <w:pPr>
        <w:spacing w:after="160" w:before="0" w:line="276"/>
        <w:jc w:val="both"/>
      </w:pPr>
      <w:r>
        <w:rPr>
          <w:rFonts w:ascii="Calibri" w:cs="Calibri" w:eastAsia="Calibri" w:hAnsi="Calibri"/>
          <w:b w:val="false"/>
          <w:bCs w:val="false"/>
          <w:i w:val="false"/>
          <w:iCs w:val="false"/>
          <w:color w:val="2D2D2D"/>
          <w:sz w:val="22"/>
          <w:szCs w:val="22"/>
        </w:rPr>
        <w:t xml:space="preserve">WHEREAS, the Board intends that all stock options granted hereunder be exempt from or comply with Section 409A of the Code, and that options designated as ISOs shall meet the requirements of Section 422 of the Code to the maximum extent permitted by law;</w:t>
      </w:r>
    </w:p>
    <w:p>
      <w:pPr>
        <w:spacing w:after="160" w:before="0" w:line="276"/>
        <w:jc w:val="both"/>
      </w:pPr>
      <w:r>
        <w:rPr>
          <w:rFonts w:ascii="Calibri" w:cs="Calibri" w:eastAsia="Calibri" w:hAnsi="Calibri"/>
          <w:b w:val="false"/>
          <w:bCs w:val="false"/>
          <w:i w:val="false"/>
          <w:iCs w:val="false"/>
          <w:color w:val="2D2D2D"/>
          <w:sz w:val="22"/>
          <w:szCs w:val="22"/>
        </w:rPr>
        <w:t xml:space="preserve">WHEREAS, the Board has reviewed the Plan's compliance framework for Section 409A, including without limitation the requirements that (a) the exercise price of each option must not be less than the fair market value of the underlying Common Stock on the date of grant, (b) options must not contain any feature that would constitute a deferral of compensation within the meaning of Treasury Regulation Section 1.409A-1(b)(5), and (c) options must be granted with respect to "service recipient stock" within the meaning of Treasury Regulation Section 1.409A-1(b)(5)(iii);</w:t>
      </w:r>
    </w:p>
    <w:p>
      <w:r>
        <w:br w:type="page"/>
      </w:r>
    </w:p>
    <w:p>
      <w:pPr>
        <w:pStyle w:val="Heading1"/>
        <w:spacing w:after="160" w:before="360"/>
        <w:jc w:val="center"/>
      </w:pPr>
      <w:r>
        <w:rPr>
          <w:rFonts w:ascii="Calibri" w:cs="Calibri" w:eastAsia="Calibri" w:hAnsi="Calibri"/>
          <w:b/>
          <w:bCs/>
          <w:color w:val="1B3A5C"/>
          <w:sz w:val="32"/>
          <w:szCs w:val="32"/>
        </w:rPr>
        <w:t xml:space="preserve">SECTION 3: GRANT SCHEDULE</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the Board hereby approves and authorizes the following equity awards to the individuals listed below, upon the terms and conditions set forth in this consent and the applicable award agreements:</w:t>
      </w:r>
    </w:p>
    <w:p>
      <w:pPr>
        <w:pStyle w:val="Heading2"/>
        <w:spacing w:after="160" w:before="280"/>
        <w:jc w:val="left"/>
      </w:pPr>
      <w:r>
        <w:rPr>
          <w:rFonts w:ascii="Calibri" w:cs="Calibri" w:eastAsia="Calibri" w:hAnsi="Calibri"/>
          <w:b/>
          <w:bCs/>
          <w:color w:val="1B3A5C"/>
          <w:sz w:val="26"/>
          <w:szCs w:val="26"/>
        </w:rPr>
        <w:t xml:space="preserve">3.1 Option Grants</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700"/>
        <w:gridCol w:w="800"/>
        <w:gridCol w:w="900"/>
        <w:gridCol w:w="1000"/>
        <w:gridCol w:w="700"/>
        <w:gridCol w:w="1100"/>
        <w:gridCol w:w="560"/>
        <w:gridCol w:w="1300"/>
      </w:tblGrid>
      <w:tr>
        <w:trPr>
          <w:tblHeader/>
        </w:trPr>
        <w:tc>
          <w:tcPr>
            <w:tcW w:type="dxa" w:w="15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Recipient Name / Role</w:t>
            </w:r>
          </w:p>
        </w:tc>
        <w:tc>
          <w:tcPr>
            <w:tcW w:type="dxa" w:w="8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Type</w:t>
            </w:r>
          </w:p>
        </w:tc>
        <w:tc>
          <w:tcPr>
            <w:tcW w:type="dxa" w:w="7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Shares</w:t>
            </w:r>
          </w:p>
        </w:tc>
        <w:tc>
          <w:tcPr>
            <w:tcW w:type="dxa" w:w="8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Exercise Price</w:t>
            </w:r>
          </w:p>
        </w:tc>
        <w:tc>
          <w:tcPr>
            <w:tcW w:type="dxa" w:w="9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Vest Start</w:t>
            </w:r>
          </w:p>
        </w:tc>
        <w:tc>
          <w:tcPr>
            <w:tcW w:type="dxa" w:w="10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Vest Schedule</w:t>
            </w:r>
          </w:p>
        </w:tc>
        <w:tc>
          <w:tcPr>
            <w:tcW w:type="dxa" w:w="7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Cliff</w:t>
            </w:r>
          </w:p>
        </w:tc>
        <w:tc>
          <w:tcPr>
            <w:tcW w:type="dxa" w:w="11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Acceleration</w:t>
            </w:r>
          </w:p>
        </w:tc>
        <w:tc>
          <w:tcPr>
            <w:tcW w:type="dxa" w:w="56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Early Ex.</w:t>
            </w:r>
          </w:p>
        </w:tc>
        <w:tc>
          <w:tcPr>
            <w:tcW w:type="dxa" w:w="13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Expiration</w:t>
            </w:r>
          </w:p>
        </w:tc>
      </w:tr>
      <w:tr>
        <w:tc>
          <w:tcPr>
            <w:tcW w:type="dxa" w:w="15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[RECIPIENT 1 NAME]
[TITLE/ROLE]</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ISO</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$[PRICE]</w:t>
            </w:r>
          </w:p>
        </w:tc>
        <w:tc>
          <w:tcPr>
            <w:tcW w:type="dxa" w:w="9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w:t>
            </w:r>
          </w:p>
        </w:tc>
        <w:tc>
          <w:tcPr>
            <w:tcW w:type="dxa" w:w="1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[SCHEDULE]</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[CLIFF]</w:t>
            </w:r>
          </w:p>
        </w:tc>
        <w:tc>
          <w:tcPr>
            <w:tcW w:type="dxa" w:w="11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[PROVISIONS]</w:t>
            </w:r>
          </w:p>
        </w:tc>
        <w:tc>
          <w:tcPr>
            <w:tcW w:type="dxa" w:w="5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13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w:t>
            </w:r>
          </w:p>
        </w:tc>
      </w:tr>
      <w:tr>
        <w:tc>
          <w:tcPr>
            <w:tcW w:type="dxa" w:w="15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[RECIPIENT 2 NAME]
[TITLE/ROLE]</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NQSO</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$[PRICE]</w:t>
            </w:r>
          </w:p>
        </w:tc>
        <w:tc>
          <w:tcPr>
            <w:tcW w:type="dxa" w:w="9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w:t>
            </w:r>
          </w:p>
        </w:tc>
        <w:tc>
          <w:tcPr>
            <w:tcW w:type="dxa" w:w="1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[SCHEDULE]</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[CLIFF]</w:t>
            </w:r>
          </w:p>
        </w:tc>
        <w:tc>
          <w:tcPr>
            <w:tcW w:type="dxa" w:w="11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[PROVISIONS]</w:t>
            </w:r>
          </w:p>
        </w:tc>
        <w:tc>
          <w:tcPr>
            <w:tcW w:type="dxa" w:w="5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13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w:t>
            </w:r>
          </w:p>
        </w:tc>
      </w:tr>
      <w:tr>
        <w:tc>
          <w:tcPr>
            <w:tcW w:type="dxa" w:w="15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[RECIPIENT 3 NAME]
[TITLE/ROLE]</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ISO</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$[PRICE]</w:t>
            </w:r>
          </w:p>
        </w:tc>
        <w:tc>
          <w:tcPr>
            <w:tcW w:type="dxa" w:w="9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w:t>
            </w:r>
          </w:p>
        </w:tc>
        <w:tc>
          <w:tcPr>
            <w:tcW w:type="dxa" w:w="1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[SCHEDULE]</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[CLIFF]</w:t>
            </w:r>
          </w:p>
        </w:tc>
        <w:tc>
          <w:tcPr>
            <w:tcW w:type="dxa" w:w="11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[PROVISIONS]</w:t>
            </w:r>
          </w:p>
        </w:tc>
        <w:tc>
          <w:tcPr>
            <w:tcW w:type="dxa" w:w="5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13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w:t>
            </w:r>
          </w:p>
        </w:tc>
      </w:tr>
      <w:tr>
        <w:tc>
          <w:tcPr>
            <w:tcW w:type="dxa" w:w="15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[ADDITIONAL RECIPIENTS]</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[TYPE]</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$[PRICE]</w:t>
            </w:r>
          </w:p>
        </w:tc>
        <w:tc>
          <w:tcPr>
            <w:tcW w:type="dxa" w:w="9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w:t>
            </w:r>
          </w:p>
        </w:tc>
        <w:tc>
          <w:tcPr>
            <w:tcW w:type="dxa" w:w="1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[SCHEDULE]</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[CLIFF]</w:t>
            </w:r>
          </w:p>
        </w:tc>
        <w:tc>
          <w:tcPr>
            <w:tcW w:type="dxa" w:w="11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[PROVISIONS]</w:t>
            </w:r>
          </w:p>
        </w:tc>
        <w:tc>
          <w:tcPr>
            <w:tcW w:type="dxa" w:w="5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13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w:t>
            </w:r>
          </w:p>
        </w:tc>
      </w:tr>
    </w:tbl>
    <w:p>
      <w:pPr>
        <w:spacing w:after="120"/>
      </w:pPr>
    </w:p>
    <w:p>
      <w:pPr>
        <w:pStyle w:val="Heading2"/>
        <w:spacing w:after="160" w:before="280"/>
        <w:jc w:val="left"/>
      </w:pPr>
      <w:r>
        <w:rPr>
          <w:rFonts w:ascii="Calibri" w:cs="Calibri" w:eastAsia="Calibri" w:hAnsi="Calibri"/>
          <w:b/>
          <w:bCs/>
          <w:color w:val="1B3A5C"/>
          <w:sz w:val="26"/>
          <w:szCs w:val="26"/>
        </w:rPr>
        <w:t xml:space="preserve">3.2 Restricted Stock Awards</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700"/>
        <w:gridCol w:w="800"/>
        <w:gridCol w:w="900"/>
        <w:gridCol w:w="1000"/>
        <w:gridCol w:w="700"/>
        <w:gridCol w:w="1100"/>
        <w:gridCol w:w="560"/>
        <w:gridCol w:w="1300"/>
      </w:tblGrid>
      <w:tr>
        <w:trPr>
          <w:tblHeader/>
        </w:trPr>
        <w:tc>
          <w:tcPr>
            <w:tcW w:type="dxa" w:w="15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Recipient Name / Role</w:t>
            </w:r>
          </w:p>
        </w:tc>
        <w:tc>
          <w:tcPr>
            <w:tcW w:type="dxa" w:w="8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Type</w:t>
            </w:r>
          </w:p>
        </w:tc>
        <w:tc>
          <w:tcPr>
            <w:tcW w:type="dxa" w:w="7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Shares</w:t>
            </w:r>
          </w:p>
        </w:tc>
        <w:tc>
          <w:tcPr>
            <w:tcW w:type="dxa" w:w="8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Purchase Price</w:t>
            </w:r>
          </w:p>
        </w:tc>
        <w:tc>
          <w:tcPr>
            <w:tcW w:type="dxa" w:w="9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Vest Start</w:t>
            </w:r>
          </w:p>
        </w:tc>
        <w:tc>
          <w:tcPr>
            <w:tcW w:type="dxa" w:w="10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Vest Schedule</w:t>
            </w:r>
          </w:p>
        </w:tc>
        <w:tc>
          <w:tcPr>
            <w:tcW w:type="dxa" w:w="7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Cliff</w:t>
            </w:r>
          </w:p>
        </w:tc>
        <w:tc>
          <w:tcPr>
            <w:tcW w:type="dxa" w:w="11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Acceleration</w:t>
            </w:r>
          </w:p>
        </w:tc>
        <w:tc>
          <w:tcPr>
            <w:tcW w:type="dxa" w:w="56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83(b)</w:t>
            </w:r>
          </w:p>
        </w:tc>
        <w:tc>
          <w:tcPr>
            <w:tcW w:type="dxa" w:w="13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Repurchase</w:t>
            </w:r>
          </w:p>
        </w:tc>
      </w:tr>
      <w:tr>
        <w:tc>
          <w:tcPr>
            <w:tcW w:type="dxa" w:w="15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[RECIPIENT NAME]
[TITLE/ROLE]</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RSA</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$[PRICE]</w:t>
            </w:r>
          </w:p>
        </w:tc>
        <w:tc>
          <w:tcPr>
            <w:tcW w:type="dxa" w:w="9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w:t>
            </w:r>
          </w:p>
        </w:tc>
        <w:tc>
          <w:tcPr>
            <w:tcW w:type="dxa" w:w="1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[SCHEDULE]</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[CLIFF]</w:t>
            </w:r>
          </w:p>
        </w:tc>
        <w:tc>
          <w:tcPr>
            <w:tcW w:type="dxa" w:w="11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[PROVISIONS]</w:t>
            </w:r>
          </w:p>
        </w:tc>
        <w:tc>
          <w:tcPr>
            <w:tcW w:type="dxa" w:w="5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13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[FMV/COST]</w:t>
            </w:r>
          </w:p>
        </w:tc>
      </w:tr>
      <w:tr>
        <w:tc>
          <w:tcPr>
            <w:tcW w:type="dxa" w:w="15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[RECIPIENT NAME]
[TITLE/ROLE]</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RSA</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$[PRICE]</w:t>
            </w:r>
          </w:p>
        </w:tc>
        <w:tc>
          <w:tcPr>
            <w:tcW w:type="dxa" w:w="9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w:t>
            </w:r>
          </w:p>
        </w:tc>
        <w:tc>
          <w:tcPr>
            <w:tcW w:type="dxa" w:w="1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[SCHEDULE]</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[CLIFF]</w:t>
            </w:r>
          </w:p>
        </w:tc>
        <w:tc>
          <w:tcPr>
            <w:tcW w:type="dxa" w:w="11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[PROVISIONS]</w:t>
            </w:r>
          </w:p>
        </w:tc>
        <w:tc>
          <w:tcPr>
            <w:tcW w:type="dxa" w:w="5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13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[FMV/COST]</w:t>
            </w:r>
          </w:p>
        </w:tc>
      </w:tr>
      <w:tr>
        <w:tc>
          <w:tcPr>
            <w:tcW w:type="dxa" w:w="15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[ADDITIONAL RECIPIENTS]</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RSA</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$[PRICE]</w:t>
            </w:r>
          </w:p>
        </w:tc>
        <w:tc>
          <w:tcPr>
            <w:tcW w:type="dxa" w:w="9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w:t>
            </w:r>
          </w:p>
        </w:tc>
        <w:tc>
          <w:tcPr>
            <w:tcW w:type="dxa" w:w="1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[SCHEDULE]</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[CLIFF]</w:t>
            </w:r>
          </w:p>
        </w:tc>
        <w:tc>
          <w:tcPr>
            <w:tcW w:type="dxa" w:w="11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[PROVISIONS]</w:t>
            </w:r>
          </w:p>
        </w:tc>
        <w:tc>
          <w:tcPr>
            <w:tcW w:type="dxa" w:w="5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13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[FMV/COST]</w:t>
            </w:r>
          </w:p>
        </w:tc>
      </w:tr>
    </w:tbl>
    <w:p>
      <w:pPr>
        <w:spacing w:after="120"/>
      </w:pPr>
    </w:p>
    <w:p>
      <w:pPr>
        <w:pStyle w:val="Heading2"/>
        <w:spacing w:after="160" w:before="280"/>
        <w:jc w:val="left"/>
      </w:pPr>
      <w:r>
        <w:rPr>
          <w:rFonts w:ascii="Calibri" w:cs="Calibri" w:eastAsia="Calibri" w:hAnsi="Calibri"/>
          <w:b/>
          <w:bCs/>
          <w:color w:val="1B3A5C"/>
          <w:sz w:val="26"/>
          <w:szCs w:val="26"/>
        </w:rPr>
        <w:t xml:space="preserve">3.3 RSU Awards</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800"/>
        <w:gridCol w:w="700"/>
        <w:gridCol w:w="800"/>
        <w:gridCol w:w="900"/>
        <w:gridCol w:w="1000"/>
        <w:gridCol w:w="700"/>
        <w:gridCol w:w="1100"/>
        <w:gridCol w:w="560"/>
        <w:gridCol w:w="1300"/>
      </w:tblGrid>
      <w:tr>
        <w:trPr>
          <w:tblHeader/>
        </w:trPr>
        <w:tc>
          <w:tcPr>
            <w:tcW w:type="dxa" w:w="15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Recipient Name / Role</w:t>
            </w:r>
          </w:p>
        </w:tc>
        <w:tc>
          <w:tcPr>
            <w:tcW w:type="dxa" w:w="8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Type</w:t>
            </w:r>
          </w:p>
        </w:tc>
        <w:tc>
          <w:tcPr>
            <w:tcW w:type="dxa" w:w="7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Shares</w:t>
            </w:r>
          </w:p>
        </w:tc>
        <w:tc>
          <w:tcPr>
            <w:tcW w:type="dxa" w:w="8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N/A</w:t>
            </w:r>
          </w:p>
        </w:tc>
        <w:tc>
          <w:tcPr>
            <w:tcW w:type="dxa" w:w="9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Vest Start</w:t>
            </w:r>
          </w:p>
        </w:tc>
        <w:tc>
          <w:tcPr>
            <w:tcW w:type="dxa" w:w="10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Vest Schedule</w:t>
            </w:r>
          </w:p>
        </w:tc>
        <w:tc>
          <w:tcPr>
            <w:tcW w:type="dxa" w:w="7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Cliff</w:t>
            </w:r>
          </w:p>
        </w:tc>
        <w:tc>
          <w:tcPr>
            <w:tcW w:type="dxa" w:w="11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Acceleration</w:t>
            </w:r>
          </w:p>
        </w:tc>
        <w:tc>
          <w:tcPr>
            <w:tcW w:type="dxa" w:w="56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Trigger</w:t>
            </w:r>
          </w:p>
        </w:tc>
        <w:tc>
          <w:tcPr>
            <w:tcW w:type="dxa" w:w="13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Settlement</w:t>
            </w:r>
          </w:p>
        </w:tc>
      </w:tr>
      <w:tr>
        <w:tc>
          <w:tcPr>
            <w:tcW w:type="dxa" w:w="15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[RECIPIENT NAME]
[TITLE/ROLE]</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RSU</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w:t>
            </w:r>
          </w:p>
        </w:tc>
        <w:tc>
          <w:tcPr>
            <w:tcW w:type="dxa" w:w="9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w:t>
            </w:r>
          </w:p>
        </w:tc>
        <w:tc>
          <w:tcPr>
            <w:tcW w:type="dxa" w:w="1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[SCHEDULE]</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[CLIFF]</w:t>
            </w:r>
          </w:p>
        </w:tc>
        <w:tc>
          <w:tcPr>
            <w:tcW w:type="dxa" w:w="11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[PROVISIONS]</w:t>
            </w:r>
          </w:p>
        </w:tc>
        <w:tc>
          <w:tcPr>
            <w:tcW w:type="dxa" w:w="5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[SINGLE/ DOUBLE]</w:t>
            </w:r>
          </w:p>
        </w:tc>
        <w:tc>
          <w:tcPr>
            <w:tcW w:type="dxa" w:w="13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[DATE/EVENT]</w:t>
            </w:r>
          </w:p>
        </w:tc>
      </w:tr>
      <w:tr>
        <w:tc>
          <w:tcPr>
            <w:tcW w:type="dxa" w:w="15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[RECIPIENT NAME]
[TITLE/ROLE]</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RSU</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w:t>
            </w:r>
          </w:p>
        </w:tc>
        <w:tc>
          <w:tcPr>
            <w:tcW w:type="dxa" w:w="9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w:t>
            </w:r>
          </w:p>
        </w:tc>
        <w:tc>
          <w:tcPr>
            <w:tcW w:type="dxa" w:w="1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[SCHEDULE]</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[CLIFF]</w:t>
            </w:r>
          </w:p>
        </w:tc>
        <w:tc>
          <w:tcPr>
            <w:tcW w:type="dxa" w:w="11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[PROVISIONS]</w:t>
            </w:r>
          </w:p>
        </w:tc>
        <w:tc>
          <w:tcPr>
            <w:tcW w:type="dxa" w:w="5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[SINGLE/ DOUBLE]</w:t>
            </w:r>
          </w:p>
        </w:tc>
        <w:tc>
          <w:tcPr>
            <w:tcW w:type="dxa" w:w="13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[DATE/EVENT]</w:t>
            </w:r>
          </w:p>
        </w:tc>
      </w:tr>
      <w:tr>
        <w:tc>
          <w:tcPr>
            <w:tcW w:type="dxa" w:w="15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[ADDITIONAL RECIPIENTS]</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RSU</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w:t>
            </w:r>
          </w:p>
        </w:tc>
        <w:tc>
          <w:tcPr>
            <w:tcW w:type="dxa" w:w="9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w:t>
            </w:r>
          </w:p>
        </w:tc>
        <w:tc>
          <w:tcPr>
            <w:tcW w:type="dxa" w:w="1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[SCHEDULE]</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[CLIFF]</w:t>
            </w:r>
          </w:p>
        </w:tc>
        <w:tc>
          <w:tcPr>
            <w:tcW w:type="dxa" w:w="11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[PROVISIONS]</w:t>
            </w:r>
          </w:p>
        </w:tc>
        <w:tc>
          <w:tcPr>
            <w:tcW w:type="dxa" w:w="5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[SINGLE/ DOUBLE]</w:t>
            </w:r>
          </w:p>
        </w:tc>
        <w:tc>
          <w:tcPr>
            <w:tcW w:type="dxa" w:w="13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[DATE/EVENT]</w:t>
            </w:r>
          </w:p>
        </w:tc>
      </w:tr>
    </w:tbl>
    <w:p>
      <w:pPr>
        <w:spacing w:after="80"/>
      </w:pPr>
    </w:p>
    <w:p>
      <w:pPr>
        <w:pStyle w:val="Heading2"/>
        <w:spacing w:after="160" w:before="280"/>
        <w:jc w:val="left"/>
      </w:pPr>
      <w:r>
        <w:rPr>
          <w:rFonts w:ascii="Calibri" w:cs="Calibri" w:eastAsia="Calibri" w:hAnsi="Calibri"/>
          <w:b/>
          <w:bCs/>
          <w:color w:val="1B3A5C"/>
          <w:sz w:val="26"/>
          <w:szCs w:val="26"/>
        </w:rPr>
        <w:t xml:space="preserve">3.4 Grant Summary</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Award Type</w:t>
            </w:r>
          </w:p>
        </w:tc>
        <w:tc>
          <w:tcPr>
            <w:tcW w:type="dxa" w:w="234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Number of Recipients</w:t>
            </w:r>
          </w:p>
        </w:tc>
        <w:tc>
          <w:tcPr>
            <w:tcW w:type="dxa" w:w="234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Total Shares</w:t>
            </w:r>
          </w:p>
        </w:tc>
        <w:tc>
          <w:tcPr>
            <w:tcW w:type="dxa" w:w="234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Weighted Avg. Exercise/Purchase Price</w:t>
            </w:r>
          </w:p>
        </w:tc>
      </w:tr>
      <w:tr>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ISOs</w:t>
            </w:r>
          </w:p>
        </w:tc>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[TOTAL ISO SHARES]</w:t>
            </w:r>
          </w:p>
        </w:tc>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$[WEIGHTED AVG]</w:t>
            </w:r>
          </w:p>
        </w:tc>
      </w:tr>
      <w:tr>
        <w:tc>
          <w:tcPr>
            <w:tcW w:type="dxa" w:w="23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NQSOs</w:t>
            </w:r>
          </w:p>
        </w:tc>
        <w:tc>
          <w:tcPr>
            <w:tcW w:type="dxa" w:w="23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23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[TOTAL NQSO SHARES]</w:t>
            </w:r>
          </w:p>
        </w:tc>
        <w:tc>
          <w:tcPr>
            <w:tcW w:type="dxa" w:w="23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$[WEIGHTED AVG]</w:t>
            </w:r>
          </w:p>
        </w:tc>
      </w:tr>
      <w:tr>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RSAs</w:t>
            </w:r>
          </w:p>
        </w:tc>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[TOTAL RSA SHARES]</w:t>
            </w:r>
          </w:p>
        </w:tc>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$[WEIGHTED AVG]</w:t>
            </w:r>
          </w:p>
        </w:tc>
      </w:tr>
      <w:tr>
        <w:tc>
          <w:tcPr>
            <w:tcW w:type="dxa" w:w="23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RSUs</w:t>
            </w:r>
          </w:p>
        </w:tc>
        <w:tc>
          <w:tcPr>
            <w:tcW w:type="dxa" w:w="23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23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[TOTAL RSU SHARES]</w:t>
            </w:r>
          </w:p>
        </w:tc>
        <w:tc>
          <w:tcPr>
            <w:tcW w:type="dxa" w:w="23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w:t>
            </w:r>
          </w:p>
        </w:tc>
      </w:tr>
      <w:tr>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Total</w:t>
            </w:r>
          </w:p>
        </w:tc>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[TOTAL RECIPIENTS]</w:t>
            </w:r>
          </w:p>
        </w:tc>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[TOTAL SHARES GRANTED]</w:t>
            </w:r>
          </w:p>
        </w:tc>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
            </w:r>
          </w:p>
        </w:tc>
      </w:tr>
    </w:tbl>
    <w:p>
      <w:pPr>
        <w:spacing w:after="80"/>
      </w:pPr>
    </w:p>
    <w:p>
      <w:pPr>
        <w:spacing w:after="160" w:before="0" w:line="276"/>
        <w:jc w:val="both"/>
      </w:pPr>
      <w:r>
        <w:rPr>
          <w:rFonts w:ascii="Calibri" w:cs="Calibri" w:eastAsia="Calibri" w:hAnsi="Calibri"/>
          <w:b w:val="false"/>
          <w:bCs w:val="false"/>
          <w:i w:val="false"/>
          <w:iCs w:val="false"/>
          <w:color w:val="2D2D2D"/>
          <w:sz w:val="22"/>
          <w:szCs w:val="22"/>
        </w:rPr>
        <w:t xml:space="preserve">Each grant set forth above is subject to the recipient's execution of the applicable form of award agreement (as set forth in Section 10 hereof) and the recipient's continued service to the Company through each applicable vesting date.</w:t>
      </w:r>
    </w:p>
    <w:p>
      <w:r>
        <w:br w:type="page"/>
      </w:r>
    </w:p>
    <w:p>
      <w:pPr>
        <w:pStyle w:val="Heading1"/>
        <w:spacing w:after="160" w:before="360"/>
        <w:jc w:val="center"/>
      </w:pPr>
      <w:r>
        <w:rPr>
          <w:rFonts w:ascii="Calibri" w:cs="Calibri" w:eastAsia="Calibri" w:hAnsi="Calibri"/>
          <w:b/>
          <w:bCs/>
          <w:color w:val="1B3A5C"/>
          <w:sz w:val="32"/>
          <w:szCs w:val="32"/>
        </w:rPr>
        <w:t xml:space="preserve">SECTION 4: FAIR MARKET VALUE DETERMINATION</w:t>
      </w:r>
    </w:p>
    <w:p>
      <w:pPr>
        <w:pStyle w:val="Heading2"/>
        <w:spacing w:after="160" w:before="280"/>
        <w:jc w:val="left"/>
      </w:pPr>
      <w:r>
        <w:rPr>
          <w:rFonts w:ascii="Calibri" w:cs="Calibri" w:eastAsia="Calibri" w:hAnsi="Calibri"/>
          <w:b/>
          <w:bCs/>
          <w:color w:val="1B3A5C"/>
          <w:sz w:val="26"/>
          <w:szCs w:val="26"/>
        </w:rPr>
        <w:t xml:space="preserve">4.1 Section 409A Valuation Reference</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the Board has received and reviewed an independent valuation of the Company's Common Stock prepared by [VALUATION FIRM NAME] (the "Valuation Firm"), dated [VALUATION REPORT DATE] (the "Valuation Report"), a copy of which is attached hereto as Exhibit B, or incorporated by reference.</w:t>
      </w:r>
    </w:p>
    <w:p>
      <w:pPr>
        <w:spacing w:after="160" w:before="0" w:line="276"/>
        <w:jc w:val="both"/>
      </w:pPr>
      <w:r>
        <w:rPr>
          <w:rFonts w:ascii="Calibri" w:cs="Calibri" w:eastAsia="Calibri" w:hAnsi="Calibri"/>
          <w:b w:val="false"/>
          <w:bCs w:val="false"/>
          <w:i w:val="false"/>
          <w:iCs w:val="false"/>
          <w:color w:val="2D2D2D"/>
          <w:sz w:val="22"/>
          <w:szCs w:val="22"/>
        </w:rPr>
        <w:t xml:space="preserve">The Valuation Report was prepared in accordance with the requirements of Section 409A of the Code and the guidance set forth in IRS Notice 2005-1, the proposed and final Treasury Regulations under Section 409A, and the American Institute of Certified Public Accountants (AICPA) Practice Aid on the valuation of privately held company equity securities issued as compensation.</w:t>
      </w:r>
    </w:p>
    <w:p>
      <w:pPr>
        <w:pStyle w:val="Heading2"/>
        <w:spacing w:after="160" w:before="280"/>
        <w:jc w:val="left"/>
      </w:pPr>
      <w:r>
        <w:rPr>
          <w:rFonts w:ascii="Calibri" w:cs="Calibri" w:eastAsia="Calibri" w:hAnsi="Calibri"/>
          <w:b/>
          <w:bCs/>
          <w:color w:val="1B3A5C"/>
          <w:sz w:val="26"/>
          <w:szCs w:val="26"/>
        </w:rPr>
        <w:t xml:space="preserve">4.2 Board Good-Faith Determination</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after reviewing the Valuation Report and considering all relevant factors, including without limitation the Company's financial condition and business prospects, the Company's revenue and earnings history, the market conditions for comparable companies, and the illiquidity discount applicable to the Company's securities, the Board hereby determines in good faith that the fair market value of one share of Common Stock as of the date of grant is $[FAIR MARKET VALUE PER SHARE] (the "FMV").</w:t>
      </w:r>
    </w:p>
    <w:p>
      <w:pPr>
        <w:spacing w:after="160" w:before="0" w:line="276"/>
        <w:jc w:val="both"/>
      </w:pPr>
      <w:r>
        <w:rPr>
          <w:rFonts w:ascii="Calibri" w:cs="Calibri" w:eastAsia="Calibri" w:hAnsi="Calibri"/>
          <w:b w:val="false"/>
          <w:bCs w:val="false"/>
          <w:i w:val="false"/>
          <w:iCs w:val="false"/>
          <w:color w:val="2D2D2D"/>
          <w:sz w:val="22"/>
          <w:szCs w:val="22"/>
        </w:rPr>
        <w:t xml:space="preserve">The Board has considered the following factors in making this determination:</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The Valuation Report's concluded value of $[CONCLUDED VALUE] per share as of [VALUATION DATE];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Any material events occurring between the Valuation Report date and the grant date, including [DESCRIPTION OF MATERIAL EVENTS, IF ANY / "no material events"];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The financial performance of the Company since the Valuation Report date;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Recent arm's-length transactions in the Company's securities, if any; and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(e) The recommendations of [MANAGEMENT / THE COMMITTEE / OUTSIDE COUNSEL].</w:t>
      </w:r>
    </w:p>
    <w:p>
      <w:pPr>
        <w:pStyle w:val="Heading2"/>
        <w:spacing w:after="160" w:before="280"/>
        <w:jc w:val="left"/>
      </w:pPr>
      <w:r>
        <w:rPr>
          <w:rFonts w:ascii="Calibri" w:cs="Calibri" w:eastAsia="Calibri" w:hAnsi="Calibri"/>
          <w:b/>
          <w:bCs/>
          <w:color w:val="1B3A5C"/>
          <w:sz w:val="26"/>
          <w:szCs w:val="26"/>
        </w:rPr>
        <w:t xml:space="preserve">4.3 Valuation Report Details</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0"/>
        <w:gridCol w:w="5360"/>
      </w:tblGrid>
      <w:tr>
        <w:trPr>
          <w:tblHeader/>
        </w:trPr>
        <w:tc>
          <w:tcPr>
            <w:tcW w:type="dxa" w:w="40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Valuation Parameter</w:t>
            </w:r>
          </w:p>
        </w:tc>
        <w:tc>
          <w:tcPr>
            <w:tcW w:type="dxa" w:w="536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Detail</w:t>
            </w:r>
          </w:p>
        </w:tc>
      </w:tr>
      <w:tr>
        <w:tc>
          <w:tcPr>
            <w:tcW w:type="dxa" w:w="4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Valuation Firm</w:t>
            </w:r>
          </w:p>
        </w:tc>
        <w:tc>
          <w:tcPr>
            <w:tcW w:type="dxa" w:w="5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[VALUATION FIRM NAME]</w:t>
            </w:r>
          </w:p>
        </w:tc>
      </w:tr>
      <w:tr>
        <w:tc>
          <w:tcPr>
            <w:tcW w:type="dxa" w:w="4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Report Date</w:t>
            </w:r>
          </w:p>
        </w:tc>
        <w:tc>
          <w:tcPr>
            <w:tcW w:type="dxa" w:w="5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[VALUATION REPORT DATE]</w:t>
            </w:r>
          </w:p>
        </w:tc>
      </w:tr>
      <w:tr>
        <w:tc>
          <w:tcPr>
            <w:tcW w:type="dxa" w:w="4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Effective Date of Valuation</w:t>
            </w:r>
          </w:p>
        </w:tc>
        <w:tc>
          <w:tcPr>
            <w:tcW w:type="dxa" w:w="5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[VALUATION EFFECTIVE DATE]</w:t>
            </w:r>
          </w:p>
        </w:tc>
      </w:tr>
      <w:tr>
        <w:tc>
          <w:tcPr>
            <w:tcW w:type="dxa" w:w="4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Methodologies Employed</w:t>
            </w:r>
          </w:p>
        </w:tc>
        <w:tc>
          <w:tcPr>
            <w:tcW w:type="dxa" w:w="5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[INCOME APPROACH / MARKET APPROACH / ASSET APPROACH / COMBINATION]</w:t>
            </w:r>
          </w:p>
        </w:tc>
      </w:tr>
      <w:tr>
        <w:tc>
          <w:tcPr>
            <w:tcW w:type="dxa" w:w="4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Enterprise Value (Concluded)</w:t>
            </w:r>
          </w:p>
        </w:tc>
        <w:tc>
          <w:tcPr>
            <w:tcW w:type="dxa" w:w="5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$[ENTERPRISE VALUE]</w:t>
            </w:r>
          </w:p>
        </w:tc>
      </w:tr>
      <w:tr>
        <w:tc>
          <w:tcPr>
            <w:tcW w:type="dxa" w:w="4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Equity Value (Concluded)</w:t>
            </w:r>
          </w:p>
        </w:tc>
        <w:tc>
          <w:tcPr>
            <w:tcW w:type="dxa" w:w="5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$[EQUITY VALUE]</w:t>
            </w:r>
          </w:p>
        </w:tc>
      </w:tr>
      <w:tr>
        <w:tc>
          <w:tcPr>
            <w:tcW w:type="dxa" w:w="4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Common Stock Value Per Share</w:t>
            </w:r>
          </w:p>
        </w:tc>
        <w:tc>
          <w:tcPr>
            <w:tcW w:type="dxa" w:w="5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$[CONCLUDED VALUE PER SHARE]</w:t>
            </w:r>
          </w:p>
        </w:tc>
      </w:tr>
      <w:tr>
        <w:tc>
          <w:tcPr>
            <w:tcW w:type="dxa" w:w="4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Discount for Lack of Marketability</w:t>
            </w:r>
          </w:p>
        </w:tc>
        <w:tc>
          <w:tcPr>
            <w:tcW w:type="dxa" w:w="5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r>
      <w:tr>
        <w:tc>
          <w:tcPr>
            <w:tcW w:type="dxa" w:w="4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Minority Interest Discount</w:t>
            </w:r>
          </w:p>
        </w:tc>
        <w:tc>
          <w:tcPr>
            <w:tcW w:type="dxa" w:w="5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r>
      <w:tr>
        <w:tc>
          <w:tcPr>
            <w:tcW w:type="dxa" w:w="4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Shares Outstanding (Fully Diluted)</w:t>
            </w:r>
          </w:p>
        </w:tc>
        <w:tc>
          <w:tcPr>
            <w:tcW w:type="dxa" w:w="5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[FULLY DILUTED SHARES]</w:t>
            </w:r>
          </w:p>
        </w:tc>
      </w:tr>
      <w:tr>
        <w:tc>
          <w:tcPr>
            <w:tcW w:type="dxa" w:w="4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Option Pricing Model Used</w:t>
            </w:r>
          </w:p>
        </w:tc>
        <w:tc>
          <w:tcPr>
            <w:tcW w:type="dxa" w:w="5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[BLACK-SCHOLES / BINOMIAL / BACKSOLVE / PWERM]</w:t>
            </w:r>
          </w:p>
        </w:tc>
      </w:tr>
      <w:tr>
        <w:tc>
          <w:tcPr>
            <w:tcW w:type="dxa" w:w="4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Volatility Assumption</w:t>
            </w:r>
          </w:p>
        </w:tc>
        <w:tc>
          <w:tcPr>
            <w:tcW w:type="dxa" w:w="5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r>
      <w:tr>
        <w:tc>
          <w:tcPr>
            <w:tcW w:type="dxa" w:w="4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Risk-Free Rate</w:t>
            </w:r>
          </w:p>
        </w:tc>
        <w:tc>
          <w:tcPr>
            <w:tcW w:type="dxa" w:w="5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r>
      <w:tr>
        <w:tc>
          <w:tcPr>
            <w:tcW w:type="dxa" w:w="4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Expected Term</w:t>
            </w:r>
          </w:p>
        </w:tc>
        <w:tc>
          <w:tcPr>
            <w:tcW w:type="dxa" w:w="5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 years</w:t>
            </w:r>
          </w:p>
        </w:tc>
      </w:tr>
    </w:tbl>
    <w:p>
      <w:pPr>
        <w:spacing w:after="80"/>
      </w:pPr>
    </w:p>
    <w:p>
      <w:pPr>
        <w:pStyle w:val="Heading2"/>
        <w:spacing w:after="160" w:before="280"/>
        <w:jc w:val="left"/>
      </w:pPr>
      <w:r>
        <w:rPr>
          <w:rFonts w:ascii="Calibri" w:cs="Calibri" w:eastAsia="Calibri" w:hAnsi="Calibri"/>
          <w:b/>
          <w:bCs/>
          <w:color w:val="1B3A5C"/>
          <w:sz w:val="26"/>
          <w:szCs w:val="26"/>
        </w:rPr>
        <w:t xml:space="preserve">4.4 Prospective Grant Pricing</w:t>
      </w:r>
    </w:p>
    <w:p>
      <w:pPr>
        <w:spacing w:after="160" w:before="0" w:line="276"/>
        <w:jc w:val="both"/>
      </w:pPr>
      <w:r>
        <w:rPr>
          <w:rFonts w:ascii="Calibri" w:cs="Calibri" w:eastAsia="Calibri" w:hAnsi="Calibri"/>
          <w:b w:val="false"/>
          <w:bCs w:val="false"/>
          <w:i w:val="false"/>
          <w:iCs w:val="false"/>
          <w:color w:val="2D2D2D"/>
          <w:sz w:val="22"/>
          <w:szCs w:val="22"/>
        </w:rPr>
        <w:t xml:space="preserve">The Board hereby determines that the exercise price for each option granted pursuant to this consent shall be not less than the FMV of $[FAIR MARKET VALUE PER SHARE] per share as of the Effective Date. This exercise price satisfies the requirements of Section 409A of the Code (for all options) and Section 422(b)(4) of the Code (for ISOs granted to non-10% stockholders).</w:t>
      </w:r>
    </w:p>
    <w:p>
      <w:pPr>
        <w:spacing w:after="160" w:before="0" w:line="276"/>
        <w:jc w:val="both"/>
      </w:pPr>
      <w:r>
        <w:rPr>
          <w:rFonts w:ascii="Calibri" w:cs="Calibri" w:eastAsia="Calibri" w:hAnsi="Calibri"/>
          <w:b w:val="false"/>
          <w:bCs w:val="false"/>
          <w:i w:val="false"/>
          <w:iCs w:val="false"/>
          <w:color w:val="2D2D2D"/>
          <w:sz w:val="22"/>
          <w:szCs w:val="22"/>
        </w:rPr>
        <w:t xml:space="preserve">For any recipient who is a Ten Percent Stockholder (as defined in the Plan), the exercise price of any ISO granted to such recipient shall be not less than 110% of FMV, or $[110% FMV PRICE] per share.</w:t>
      </w:r>
    </w:p>
    <w:p>
      <w:pPr>
        <w:pStyle w:val="Heading2"/>
        <w:spacing w:after="160" w:before="280"/>
        <w:jc w:val="left"/>
      </w:pPr>
      <w:r>
        <w:rPr>
          <w:rFonts w:ascii="Calibri" w:cs="Calibri" w:eastAsia="Calibri" w:hAnsi="Calibri"/>
          <w:b/>
          <w:bCs/>
          <w:color w:val="1B3A5C"/>
          <w:sz w:val="26"/>
          <w:szCs w:val="26"/>
        </w:rPr>
        <w:t xml:space="preserve">4.5 Re-Valuation Triggers</w:t>
      </w:r>
    </w:p>
    <w:p>
      <w:pPr>
        <w:spacing w:after="160" w:before="0" w:line="276"/>
        <w:jc w:val="both"/>
      </w:pPr>
      <w:r>
        <w:rPr>
          <w:rFonts w:ascii="Calibri" w:cs="Calibri" w:eastAsia="Calibri" w:hAnsi="Calibri"/>
          <w:b w:val="false"/>
          <w:bCs w:val="false"/>
          <w:i w:val="false"/>
          <w:iCs w:val="false"/>
          <w:color w:val="2D2D2D"/>
          <w:sz w:val="22"/>
          <w:szCs w:val="22"/>
        </w:rPr>
        <w:t xml:space="preserve">The Board acknowledges that a new Section 409A valuation will be required upon the occurrence of any of the following events, and no new option grants shall be made after such event until a new valuation has been obtained: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The passage of twelve (12) months from the date of the Valuation Report;</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A material event that could reasonably be expected to affect the Company's valuation, including without limitation: (i) the closing of a new financing round; (ii) a material change in the Company's financial condition or business prospects; (iii) the resolution of material litigation; (iv) the issuance of a new patent or material intellectual property development; or (v) a bona fide offer to acquire the Company;</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A change in the Company's capital structure (other than pursuant to grants under the Plan);</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The filing of a registration statement under the Securities Act of 1933, as amended; or</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(e) Any other event that the Board or the Committee determines would make the existing valuation unreliable.</w:t>
      </w:r>
    </w:p>
    <w:p>
      <w:r>
        <w:br w:type="page"/>
      </w:r>
    </w:p>
    <w:p>
      <w:pPr>
        <w:pStyle w:val="Heading1"/>
        <w:spacing w:after="160" w:before="360"/>
        <w:jc w:val="center"/>
      </w:pPr>
      <w:r>
        <w:rPr>
          <w:rFonts w:ascii="Calibri" w:cs="Calibri" w:eastAsia="Calibri" w:hAnsi="Calibri"/>
          <w:b/>
          <w:bCs/>
          <w:color w:val="1B3A5C"/>
          <w:sz w:val="32"/>
          <w:szCs w:val="32"/>
        </w:rPr>
        <w:t xml:space="preserve">SECTION 5: OPTION TERMS</w:t>
      </w:r>
    </w:p>
    <w:p>
      <w:pPr>
        <w:pStyle w:val="Heading2"/>
        <w:spacing w:after="160" w:before="280"/>
        <w:jc w:val="left"/>
      </w:pPr>
      <w:r>
        <w:rPr>
          <w:rFonts w:ascii="Calibri" w:cs="Calibri" w:eastAsia="Calibri" w:hAnsi="Calibri"/>
          <w:b/>
          <w:bCs/>
          <w:color w:val="1B3A5C"/>
          <w:sz w:val="26"/>
          <w:szCs w:val="26"/>
        </w:rPr>
        <w:t xml:space="preserve">5.1 Exercise Price</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the exercise price of each option granted hereunder shall be not less than 100% of the FMV of one share of Common Stock on the date of grant (or 110% of FMV in the case of an ISO granted to a Ten Percent Stockholder), as determined by the Board in accordance with Section 4 of this consent and Section [PLAN SECTION] of the Plan.</w:t>
      </w:r>
    </w:p>
    <w:p>
      <w:pPr>
        <w:spacing w:after="160" w:before="0" w:line="276"/>
        <w:jc w:val="both"/>
      </w:pPr>
      <w:r>
        <w:rPr>
          <w:rFonts w:ascii="Calibri" w:cs="Calibri" w:eastAsia="Calibri" w:hAnsi="Calibri"/>
          <w:b w:val="false"/>
          <w:bCs w:val="false"/>
          <w:i w:val="false"/>
          <w:iCs w:val="false"/>
          <w:color w:val="2D2D2D"/>
          <w:sz w:val="22"/>
          <w:szCs w:val="22"/>
        </w:rPr>
        <w:t xml:space="preserve">The exercise price for each option is set forth in the Grant Schedule (Section 3). No option granted hereunder has an exercise price that is less than the FMV determined pursuant to the Valuation Report, and the Board confirms that no "discount" or "spread" has been intentionally created at the time of grant.</w:t>
      </w:r>
    </w:p>
    <w:p>
      <w:pPr>
        <w:pStyle w:val="Heading2"/>
        <w:spacing w:after="160" w:before="280"/>
        <w:jc w:val="left"/>
      </w:pPr>
      <w:r>
        <w:rPr>
          <w:rFonts w:ascii="Calibri" w:cs="Calibri" w:eastAsia="Calibri" w:hAnsi="Calibri"/>
          <w:b/>
          <w:bCs/>
          <w:color w:val="1B3A5C"/>
          <w:sz w:val="26"/>
          <w:szCs w:val="26"/>
        </w:rPr>
        <w:t xml:space="preserve">5.2 Option Term</w:t>
      </w:r>
    </w:p>
    <w:p>
      <w:pPr>
        <w:spacing w:after="160" w:before="0" w:line="276"/>
        <w:jc w:val="both"/>
      </w:pPr>
      <w:r>
        <w:rPr>
          <w:rFonts w:ascii="Calibri" w:cs="Calibri" w:eastAsia="Calibri" w:hAnsi="Calibri"/>
          <w:b w:val="false"/>
          <w:bCs w:val="false"/>
          <w:i w:val="false"/>
          <w:iCs w:val="false"/>
          <w:color w:val="2D2D2D"/>
          <w:sz w:val="22"/>
          <w:szCs w:val="22"/>
        </w:rPr>
        <w:t xml:space="preserve">Each option granted hereunder shall have a maximum term of [ten (10) / OTHER] years from the date of grant, subject to earlier termination in accordance with the terms of the Plan and the applicable option agreement; provided, however, that any ISO granted to a Ten Percent Stockholder shall have a maximum term of five (5) years from the date of grant, as required by Section 422(c)(5) of the Code.</w:t>
      </w:r>
    </w:p>
    <w:p>
      <w:pPr>
        <w:spacing w:after="160" w:before="0" w:line="276"/>
        <w:jc w:val="both"/>
      </w:pPr>
      <w:r>
        <w:rPr>
          <w:rFonts w:ascii="Calibri" w:cs="Calibri" w:eastAsia="Calibri" w:hAnsi="Calibri"/>
          <w:b w:val="false"/>
          <w:bCs w:val="false"/>
          <w:i w:val="false"/>
          <w:iCs w:val="false"/>
          <w:color w:val="2D2D2D"/>
          <w:sz w:val="22"/>
          <w:szCs w:val="22"/>
        </w:rPr>
        <w:t xml:space="preserve">No option may be exercised after its expiration date. The specific expiration date for each option is set forth in the Grant Schedule.</w:t>
      </w:r>
    </w:p>
    <w:p>
      <w:pPr>
        <w:pStyle w:val="Heading2"/>
        <w:spacing w:after="160" w:before="280"/>
        <w:jc w:val="left"/>
      </w:pPr>
      <w:r>
        <w:rPr>
          <w:rFonts w:ascii="Calibri" w:cs="Calibri" w:eastAsia="Calibri" w:hAnsi="Calibri"/>
          <w:b/>
          <w:bCs/>
          <w:color w:val="1B3A5C"/>
          <w:sz w:val="26"/>
          <w:szCs w:val="26"/>
        </w:rPr>
        <w:t xml:space="preserve">5.3 Payment Methods</w:t>
      </w:r>
    </w:p>
    <w:p>
      <w:pPr>
        <w:spacing w:after="160" w:before="0" w:line="276"/>
        <w:jc w:val="both"/>
      </w:pPr>
      <w:r>
        <w:rPr>
          <w:rFonts w:ascii="Calibri" w:cs="Calibri" w:eastAsia="Calibri" w:hAnsi="Calibri"/>
          <w:b w:val="false"/>
          <w:bCs w:val="false"/>
          <w:i w:val="false"/>
          <w:iCs w:val="false"/>
          <w:color w:val="2D2D2D"/>
          <w:sz w:val="22"/>
          <w:szCs w:val="22"/>
        </w:rPr>
        <w:t xml:space="preserve">The exercise price for shares purchased upon exercise of an option may be paid by any one or combination of the following methods, as permitted under the Plan and the applicable option agreement:</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Cash or check payable to the Company;</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Wire transfer of immediately available funds;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Subject to the approval of the Plan Administrator, delivery of shares of Common Stock already owned by the optionee having a fair market value equal to the aggregate exercise price ("stock swap");</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Subject to the approval of the Plan Administrator and compliance with applicable law, a "cashless exercise" through a broker-assisted transaction pursuant to a program approved by the Company;</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(e) Subject to the approval of the Plan Administrator, a "net exercise" arrangement whereby the Company withholds from the shares otherwise issuable upon exercise that number of shares having a fair market value equal to the aggregate exercise price; or</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(f) Any other method approved by the Plan Administrator and permitted under the Plan.</w:t>
      </w:r>
    </w:p>
    <w:p>
      <w:pPr>
        <w:pStyle w:val="Heading2"/>
        <w:spacing w:after="160" w:before="280"/>
        <w:jc w:val="left"/>
      </w:pPr>
      <w:r>
        <w:rPr>
          <w:rFonts w:ascii="Calibri" w:cs="Calibri" w:eastAsia="Calibri" w:hAnsi="Calibri"/>
          <w:b/>
          <w:bCs/>
          <w:color w:val="1B3A5C"/>
          <w:sz w:val="26"/>
          <w:szCs w:val="26"/>
        </w:rPr>
        <w:t xml:space="preserve">5.4 Post-Termination Exercise Periods</w:t>
      </w:r>
    </w:p>
    <w:p>
      <w:pPr>
        <w:spacing w:after="160" w:before="0" w:line="276"/>
        <w:jc w:val="both"/>
      </w:pPr>
      <w:r>
        <w:rPr>
          <w:rFonts w:ascii="Calibri" w:cs="Calibri" w:eastAsia="Calibri" w:hAnsi="Calibri"/>
          <w:b w:val="false"/>
          <w:bCs w:val="false"/>
          <w:i w:val="false"/>
          <w:iCs w:val="false"/>
          <w:color w:val="2D2D2D"/>
          <w:sz w:val="22"/>
          <w:szCs w:val="22"/>
        </w:rPr>
        <w:t xml:space="preserve">Upon termination of a grantee's Continuous Service (as defined in the Plan), the vested portion of each outstanding option shall remain exercisable for the following periods, unless otherwise specified in the individual option agreement:</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600"/>
        <w:gridCol w:w="2640"/>
      </w:tblGrid>
      <w:tr>
        <w:trPr>
          <w:tblHeader/>
        </w:trPr>
        <w:tc>
          <w:tcPr>
            <w:tcW w:type="dxa" w:w="312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Termination Event</w:t>
            </w:r>
          </w:p>
        </w:tc>
        <w:tc>
          <w:tcPr>
            <w:tcW w:type="dxa" w:w="36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Post-Termination Exercise Period</w:t>
            </w:r>
          </w:p>
        </w:tc>
        <w:tc>
          <w:tcPr>
            <w:tcW w:type="dxa" w:w="264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Applicable Code Section</w:t>
            </w:r>
          </w:p>
        </w:tc>
      </w:tr>
      <w:tr>
        <w:tc>
          <w:tcPr>
            <w:tcW w:type="dxa" w:w="312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Voluntary resignation (without Good Reason)</w:t>
            </w:r>
          </w:p>
        </w:tc>
        <w:tc>
          <w:tcPr>
            <w:tcW w:type="dxa" w:w="36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[THREE (3) MONTHS / 90 DAYS]</w:t>
            </w:r>
          </w:p>
        </w:tc>
        <w:tc>
          <w:tcPr>
            <w:tcW w:type="dxa" w:w="26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Section 422(a)(2) (ISO)</w:t>
            </w:r>
          </w:p>
        </w:tc>
      </w:tr>
      <w:tr>
        <w:tc>
          <w:tcPr>
            <w:tcW w:type="dxa" w:w="312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Involuntary termination without Cause</w:t>
            </w:r>
          </w:p>
        </w:tc>
        <w:tc>
          <w:tcPr>
            <w:tcW w:type="dxa" w:w="36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[THREE (3) MONTHS / 90 DAYS]</w:t>
            </w:r>
          </w:p>
        </w:tc>
        <w:tc>
          <w:tcPr>
            <w:tcW w:type="dxa" w:w="26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Section 422(a)(2) (ISO)</w:t>
            </w:r>
          </w:p>
        </w:tc>
      </w:tr>
      <w:tr>
        <w:tc>
          <w:tcPr>
            <w:tcW w:type="dxa" w:w="312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Termination for Cause</w:t>
            </w:r>
          </w:p>
        </w:tc>
        <w:tc>
          <w:tcPr>
            <w:tcW w:type="dxa" w:w="36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[IMMEDIATE TERMINATION / 0 DAYS]</w:t>
            </w:r>
          </w:p>
        </w:tc>
        <w:tc>
          <w:tcPr>
            <w:tcW w:type="dxa" w:w="26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w:t>
            </w:r>
          </w:p>
        </w:tc>
      </w:tr>
      <w:tr>
        <w:tc>
          <w:tcPr>
            <w:tcW w:type="dxa" w:w="312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Termination for Good Reason</w:t>
            </w:r>
          </w:p>
        </w:tc>
        <w:tc>
          <w:tcPr>
            <w:tcW w:type="dxa" w:w="36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[THREE (3) MONTHS / 90 DAYS]</w:t>
            </w:r>
          </w:p>
        </w:tc>
        <w:tc>
          <w:tcPr>
            <w:tcW w:type="dxa" w:w="26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Section 422(a)(2) (ISO)</w:t>
            </w:r>
          </w:p>
        </w:tc>
      </w:tr>
      <w:tr>
        <w:tc>
          <w:tcPr>
            <w:tcW w:type="dxa" w:w="312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Death</w:t>
            </w:r>
          </w:p>
        </w:tc>
        <w:tc>
          <w:tcPr>
            <w:tcW w:type="dxa" w:w="36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[TWELVE (12) MONTHS]</w:t>
            </w:r>
          </w:p>
        </w:tc>
        <w:tc>
          <w:tcPr>
            <w:tcW w:type="dxa" w:w="26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Section 422(a)(2)</w:t>
            </w:r>
          </w:p>
        </w:tc>
      </w:tr>
      <w:tr>
        <w:tc>
          <w:tcPr>
            <w:tcW w:type="dxa" w:w="312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Disability (as defined in Plan)</w:t>
            </w:r>
          </w:p>
        </w:tc>
        <w:tc>
          <w:tcPr>
            <w:tcW w:type="dxa" w:w="36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[TWELVE (12) MONTHS]</w:t>
            </w:r>
          </w:p>
        </w:tc>
        <w:tc>
          <w:tcPr>
            <w:tcW w:type="dxa" w:w="26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Section 422(a)(2)</w:t>
            </w:r>
          </w:p>
        </w:tc>
      </w:tr>
      <w:tr>
        <w:tc>
          <w:tcPr>
            <w:tcW w:type="dxa" w:w="312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Retirement (if applicable)</w:t>
            </w:r>
          </w:p>
        </w:tc>
        <w:tc>
          <w:tcPr>
            <w:tcW w:type="dxa" w:w="36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[THREE (3) MONTHS / AS SPECIFIED]</w:t>
            </w:r>
          </w:p>
        </w:tc>
        <w:tc>
          <w:tcPr>
            <w:tcW w:type="dxa" w:w="26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See Plan definition</w:t>
            </w:r>
          </w:p>
        </w:tc>
      </w:tr>
    </w:tbl>
    <w:p>
      <w:pPr>
        <w:spacing w:after="80"/>
      </w:pPr>
    </w:p>
    <w:p>
      <w:pPr>
        <w:spacing w:after="160" w:before="0" w:line="276"/>
        <w:jc w:val="both"/>
      </w:pPr>
      <w:r>
        <w:rPr>
          <w:rFonts w:ascii="Calibri" w:cs="Calibri" w:eastAsia="Calibri" w:hAnsi="Calibri"/>
          <w:b w:val="false"/>
          <w:bCs w:val="false"/>
          <w:i w:val="false"/>
          <w:iCs w:val="false"/>
          <w:color w:val="2D2D2D"/>
          <w:sz w:val="22"/>
          <w:szCs w:val="22"/>
        </w:rPr>
        <w:t xml:space="preserve">Notwithstanding the foregoing, in no event may any option be exercised after its original expiration date. Any ISO that is not exercised within three (3) months following termination of employment (twelve (12) months in the case of death or disability) shall be treated as an NQSO to the extent it remains outstanding after such period.</w:t>
      </w:r>
    </w:p>
    <w:p>
      <w:pPr>
        <w:pStyle w:val="Heading2"/>
        <w:spacing w:after="160" w:before="280"/>
        <w:jc w:val="left"/>
      </w:pPr>
      <w:r>
        <w:rPr>
          <w:rFonts w:ascii="Calibri" w:cs="Calibri" w:eastAsia="Calibri" w:hAnsi="Calibri"/>
          <w:b/>
          <w:bCs/>
          <w:color w:val="1B3A5C"/>
          <w:sz w:val="26"/>
          <w:szCs w:val="26"/>
        </w:rPr>
        <w:t xml:space="preserve">5.5 ISO Annual Limit</w:t>
      </w:r>
    </w:p>
    <w:p>
      <w:pPr>
        <w:spacing w:after="160" w:before="0" w:line="276"/>
        <w:jc w:val="both"/>
      </w:pPr>
      <w:r>
        <w:rPr>
          <w:rFonts w:ascii="Calibri" w:cs="Calibri" w:eastAsia="Calibri" w:hAnsi="Calibri"/>
          <w:b w:val="false"/>
          <w:bCs w:val="false"/>
          <w:i w:val="false"/>
          <w:iCs w:val="false"/>
          <w:color w:val="2D2D2D"/>
          <w:sz w:val="22"/>
          <w:szCs w:val="22"/>
        </w:rPr>
        <w:t xml:space="preserve">Pursuant to Section 422(d) of the Code, the aggregate fair market value (determined as of the date of grant) of Common Stock with respect to which ISOs are exercisable for the first time by any optionee during any calendar year (under all plans of the Company and its Affiliates) shall not exceed $100,000. To the extent that the aggregate fair market value of Common Stock subject to ISOs that become exercisable for the first time in any calendar year exceeds $100,000, such excess ISOs shall be treated as NQSOs.</w:t>
      </w:r>
    </w:p>
    <w:p>
      <w:pPr>
        <w:spacing w:after="160" w:before="0" w:line="276"/>
        <w:jc w:val="both"/>
      </w:pPr>
      <w:r>
        <w:rPr>
          <w:rFonts w:ascii="Calibri" w:cs="Calibri" w:eastAsia="Calibri" w:hAnsi="Calibri"/>
          <w:b w:val="false"/>
          <w:bCs w:val="false"/>
          <w:i w:val="false"/>
          <w:iCs w:val="false"/>
          <w:color w:val="2D2D2D"/>
          <w:sz w:val="22"/>
          <w:szCs w:val="22"/>
        </w:rPr>
        <w:t xml:space="preserve">The Board has reviewed the $100,000 annual limit with respect to each ISO recipient listed in the Grant Schedule and confirms that, based on information available to the Board, the ISOs granted hereunder, together with any previously granted ISOs, [do not / may] cause the $100,000 limit to be exceeded. [IF APPLICABLE: The Company shall re-designate any excess as NQSOs in accordance with Treasury Regulation Section 1.422-4.]</w:t>
      </w:r>
    </w:p>
    <w:p>
      <w:pPr>
        <w:pStyle w:val="Heading2"/>
        <w:spacing w:after="160" w:before="280"/>
        <w:jc w:val="left"/>
      </w:pPr>
      <w:r>
        <w:rPr>
          <w:rFonts w:ascii="Calibri" w:cs="Calibri" w:eastAsia="Calibri" w:hAnsi="Calibri"/>
          <w:b/>
          <w:bCs/>
          <w:color w:val="1B3A5C"/>
          <w:sz w:val="26"/>
          <w:szCs w:val="26"/>
        </w:rPr>
        <w:t xml:space="preserve">5.6 Ten Percent Stockholder Rules</w:t>
      </w:r>
    </w:p>
    <w:p>
      <w:pPr>
        <w:spacing w:after="160" w:before="0" w:line="276"/>
        <w:jc w:val="both"/>
      </w:pPr>
      <w:r>
        <w:rPr>
          <w:rFonts w:ascii="Calibri" w:cs="Calibri" w:eastAsia="Calibri" w:hAnsi="Calibri"/>
          <w:b w:val="false"/>
          <w:bCs w:val="false"/>
          <w:i w:val="false"/>
          <w:iCs w:val="false"/>
          <w:color w:val="2D2D2D"/>
          <w:sz w:val="22"/>
          <w:szCs w:val="22"/>
        </w:rPr>
        <w:t xml:space="preserve">For any optionee who, at the time of grant, owns (directly or by attribution under Section 424(d) of the Code) stock possessing more than 10% of the total combined voting power of all classes of stock of the Company or any Affiliate (a "Ten Percent Stockholder"):</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The exercise price of any ISO granted to such person must be at least 110% of the FMV per share on the date of grant; and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The term of any ISO granted to such person must not exceed five (5) years from the date of grant.</w:t>
      </w:r>
    </w:p>
    <w:p>
      <w:pPr>
        <w:spacing w:after="160" w:before="0" w:line="276"/>
        <w:jc w:val="both"/>
      </w:pPr>
      <w:r>
        <w:rPr>
          <w:rFonts w:ascii="Calibri" w:cs="Calibri" w:eastAsia="Calibri" w:hAnsi="Calibri"/>
          <w:b w:val="false"/>
          <w:bCs w:val="false"/>
          <w:i w:val="false"/>
          <w:iCs w:val="false"/>
          <w:color w:val="2D2D2D"/>
          <w:sz w:val="22"/>
          <w:szCs w:val="22"/>
        </w:rPr>
        <w:t xml:space="preserve">The Board has identified the following individuals as Ten Percent Stockholders as of the Effective Date: [NAMES OF TEN PERCENT STOCKHOLDERS, OR "None"]. The ISO grants to any such individuals reflected in the Grant Schedule comply with the requirements of this Section 5.6.</w:t>
      </w:r>
    </w:p>
    <w:p>
      <w:r>
        <w:br w:type="page"/>
      </w:r>
    </w:p>
    <w:p>
      <w:pPr>
        <w:pStyle w:val="Heading1"/>
        <w:spacing w:after="160" w:before="360"/>
        <w:jc w:val="center"/>
      </w:pPr>
      <w:r>
        <w:rPr>
          <w:rFonts w:ascii="Calibri" w:cs="Calibri" w:eastAsia="Calibri" w:hAnsi="Calibri"/>
          <w:b/>
          <w:bCs/>
          <w:color w:val="1B3A5C"/>
          <w:sz w:val="32"/>
          <w:szCs w:val="32"/>
        </w:rPr>
        <w:t xml:space="preserve">SECTION 6: RESTRICTED STOCK TERMS</w:t>
      </w:r>
    </w:p>
    <w:p>
      <w:pPr>
        <w:pStyle w:val="Heading2"/>
        <w:spacing w:after="160" w:before="280"/>
        <w:jc w:val="left"/>
      </w:pPr>
      <w:r>
        <w:rPr>
          <w:rFonts w:ascii="Calibri" w:cs="Calibri" w:eastAsia="Calibri" w:hAnsi="Calibri"/>
          <w:b/>
          <w:bCs/>
          <w:color w:val="1B3A5C"/>
          <w:sz w:val="26"/>
          <w:szCs w:val="26"/>
        </w:rPr>
        <w:t xml:space="preserve">6.1 Purchase Price</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each award of restricted stock ("Restricted Stock Award" or "RSA") granted hereunder shall be issued to the recipient in exchange for a purchase price of $[PURCHASE PRICE] per share, which may be equal to the par value of the Common Stock or such other price as determined by the Board. The purchase price for each RSA is set forth in the Grant Schedule.</w:t>
      </w:r>
    </w:p>
    <w:p>
      <w:pPr>
        <w:spacing w:after="160" w:before="0" w:line="276"/>
        <w:jc w:val="both"/>
      </w:pPr>
      <w:r>
        <w:rPr>
          <w:rFonts w:ascii="Calibri" w:cs="Calibri" w:eastAsia="Calibri" w:hAnsi="Calibri"/>
          <w:b w:val="false"/>
          <w:bCs w:val="false"/>
          <w:i w:val="false"/>
          <w:iCs w:val="false"/>
          <w:color w:val="2D2D2D"/>
          <w:sz w:val="22"/>
          <w:szCs w:val="22"/>
        </w:rPr>
        <w:t xml:space="preserve">Payment of the purchase price shall be made by [cash / check / cancellation of indebtedness / past services rendered / promissory note (to the extent permitted by applicable law) / other lawful consideration] at the time of execution of the Restricted Stock Purchase Agreement.</w:t>
      </w:r>
    </w:p>
    <w:p>
      <w:pPr>
        <w:pStyle w:val="Heading2"/>
        <w:spacing w:after="160" w:before="280"/>
        <w:jc w:val="left"/>
      </w:pPr>
      <w:r>
        <w:rPr>
          <w:rFonts w:ascii="Calibri" w:cs="Calibri" w:eastAsia="Calibri" w:hAnsi="Calibri"/>
          <w:b/>
          <w:bCs/>
          <w:color w:val="1B3A5C"/>
          <w:sz w:val="26"/>
          <w:szCs w:val="26"/>
        </w:rPr>
        <w:t xml:space="preserve">6.2 Vesting Schedule</w:t>
      </w:r>
    </w:p>
    <w:p>
      <w:pPr>
        <w:spacing w:after="160" w:before="0" w:line="276"/>
        <w:jc w:val="both"/>
      </w:pPr>
      <w:r>
        <w:rPr>
          <w:rFonts w:ascii="Calibri" w:cs="Calibri" w:eastAsia="Calibri" w:hAnsi="Calibri"/>
          <w:b w:val="false"/>
          <w:bCs w:val="false"/>
          <w:i w:val="false"/>
          <w:iCs w:val="false"/>
          <w:color w:val="2D2D2D"/>
          <w:sz w:val="22"/>
          <w:szCs w:val="22"/>
        </w:rPr>
        <w:t xml:space="preserve">Each RSA shall vest in accordance with the vesting schedule set forth in the Grant Schedule and the applicable Restricted Stock Purchase Agreement. Unless otherwise specified, the standard vesting schedule for RSAs granted hereunder shall be: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[TWENTY-FIVE PERCENT (25%)] of the shares shall vest on the [first (1st)] anniversary of the Vesting Commencement Date (the "Cliff Date");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The remaining [SEVENTY-FIVE PERCENT (75%)] of the shares shall vest in [thirty-six (36)] equal monthly installments over the [three (3)] years following the Cliff Date, subject to the recipient's continued service to the Company through each such vesting date.</w:t>
      </w:r>
    </w:p>
    <w:p>
      <w:pPr>
        <w:spacing w:after="160" w:before="0" w:line="276"/>
        <w:jc w:val="both"/>
      </w:pPr>
      <w:r>
        <w:rPr>
          <w:rFonts w:ascii="Calibri" w:cs="Calibri" w:eastAsia="Calibri" w:hAnsi="Calibri"/>
          <w:b w:val="false"/>
          <w:bCs w:val="false"/>
          <w:i w:val="false"/>
          <w:iCs w:val="false"/>
          <w:color w:val="2D2D2D"/>
          <w:sz w:val="22"/>
          <w:szCs w:val="22"/>
        </w:rPr>
        <w:t xml:space="preserve">The Board may, in its discretion, establish alternative vesting schedules for particular recipients as reflected in the Grant Schedule, including without limitation time-based vesting without a cliff, milestone-based vesting, or performance-based vesting criteria.</w:t>
      </w:r>
    </w:p>
    <w:p>
      <w:pPr>
        <w:pStyle w:val="Heading2"/>
        <w:spacing w:after="160" w:before="280"/>
        <w:jc w:val="left"/>
      </w:pPr>
      <w:r>
        <w:rPr>
          <w:rFonts w:ascii="Calibri" w:cs="Calibri" w:eastAsia="Calibri" w:hAnsi="Calibri"/>
          <w:b/>
          <w:bCs/>
          <w:color w:val="1B3A5C"/>
          <w:sz w:val="26"/>
          <w:szCs w:val="26"/>
        </w:rPr>
        <w:t xml:space="preserve">6.3 Repurchase Right</w:t>
      </w:r>
    </w:p>
    <w:p>
      <w:pPr>
        <w:spacing w:after="160" w:before="0" w:line="276"/>
        <w:jc w:val="both"/>
      </w:pPr>
      <w:r>
        <w:rPr>
          <w:rFonts w:ascii="Calibri" w:cs="Calibri" w:eastAsia="Calibri" w:hAnsi="Calibri"/>
          <w:b w:val="false"/>
          <w:bCs w:val="false"/>
          <w:i w:val="false"/>
          <w:iCs w:val="false"/>
          <w:color w:val="2D2D2D"/>
          <w:sz w:val="22"/>
          <w:szCs w:val="22"/>
        </w:rPr>
        <w:t xml:space="preserve">Unvested shares of Restricted Stock shall be subject to the Company's right to repurchase such shares upon termination of the recipient's Continuous Service, at a repurchase price equal to [the original purchase price paid by the recipient ("cost") / the then-current fair market value of such shares ("FMV")], as specified in the applicable Restricted Stock Purchase Agreement and the Grant Schedule.</w:t>
      </w:r>
    </w:p>
    <w:p>
      <w:pPr>
        <w:spacing w:after="160" w:before="0" w:line="276"/>
        <w:jc w:val="both"/>
      </w:pPr>
      <w:r>
        <w:rPr>
          <w:rFonts w:ascii="Calibri" w:cs="Calibri" w:eastAsia="Calibri" w:hAnsi="Calibri"/>
          <w:b w:val="false"/>
          <w:bCs w:val="false"/>
          <w:i w:val="false"/>
          <w:iCs w:val="false"/>
          <w:color w:val="2D2D2D"/>
          <w:sz w:val="22"/>
          <w:szCs w:val="22"/>
        </w:rPr>
        <w:t xml:space="preserve">The Company's repurchase right shall be exercisable for a period of [NINETY (90) / ONE HUNDRED EIGHTY (180) / THREE HUNDRED SIXTY-FIVE (365)] days following the later of (a) the date of the recipient's termination of Continuous Service and (b) the date on which the Company first becomes aware of such termination. If the Company does not exercise its repurchase right within such period, the repurchase right shall lapse with respect to any unvested shares not repurchased.</w:t>
      </w:r>
    </w:p>
    <w:p>
      <w:pPr>
        <w:spacing w:after="160" w:before="0" w:line="276"/>
        <w:jc w:val="both"/>
      </w:pPr>
      <w:r>
        <w:rPr>
          <w:rFonts w:ascii="Calibri" w:cs="Calibri" w:eastAsia="Calibri" w:hAnsi="Calibri"/>
          <w:b w:val="false"/>
          <w:bCs w:val="false"/>
          <w:i w:val="false"/>
          <w:iCs w:val="false"/>
          <w:color w:val="2D2D2D"/>
          <w:sz w:val="22"/>
          <w:szCs w:val="22"/>
        </w:rPr>
        <w:t xml:space="preserve">The repurchase right shall lapse with respect to shares as they become vested in accordance with the applicable vesting schedule. In the event of a Change of Control, the repurchase right with respect to unvested shares shall [continue in effect and be assignable to the successor entity / automatically lapse / be subject to acceleration as set forth in Section 8].</w:t>
      </w:r>
    </w:p>
    <w:p>
      <w:pPr>
        <w:pStyle w:val="Heading2"/>
        <w:spacing w:after="160" w:before="280"/>
        <w:jc w:val="left"/>
      </w:pPr>
      <w:r>
        <w:rPr>
          <w:rFonts w:ascii="Calibri" w:cs="Calibri" w:eastAsia="Calibri" w:hAnsi="Calibri"/>
          <w:b/>
          <w:bCs/>
          <w:color w:val="1B3A5C"/>
          <w:sz w:val="26"/>
          <w:szCs w:val="26"/>
        </w:rPr>
        <w:t xml:space="preserve">6.4 Section 83(b) Election</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the Board hereby directs the Secretary and the Company's legal counsel to provide each recipient of Restricted Stock with written notice of the availability of an election under Section 83(b) of the Code (an "83(b) Election"). Each recipient shall be informed of the following:</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Deadline: An 83(b) Election must be filed with the Internal Revenue Service within thirty (30) days of the date of transfer (i.e., the date on which the Restricted Stock Purchase Agreement is executed and payment is made). This deadline is strictly enforced and cannot be extended.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Filing: The election must be filed with the IRS Service Center where the recipient files his or her income tax return. A copy must also be attached to the recipient's federal income tax return for the taxable year in which the transfer occurs.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Company Copy: The recipient must deliver a copy of the filed 83(b) Election to the Company within [FIVE (5) / TEN (10)] days of filing.</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Tax Consequences: The Company does not provide tax advice. Each recipient is strongly encouraged to consult with his or her own tax advisor before making (or declining to make) an 83(b) Election.</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(e) Irrevocability: An 83(b) Election, once filed, is irrevocable except with the consent of the IRS.</w:t>
      </w:r>
    </w:p>
    <w:p>
      <w:pPr>
        <w:spacing w:after="160" w:before="0" w:line="276"/>
        <w:jc w:val="both"/>
      </w:pPr>
      <w:r>
        <w:rPr>
          <w:rFonts w:ascii="Calibri" w:cs="Calibri" w:eastAsia="Calibri" w:hAnsi="Calibri"/>
          <w:b w:val="false"/>
          <w:bCs w:val="false"/>
          <w:i w:val="false"/>
          <w:iCs w:val="false"/>
          <w:color w:val="2D2D2D"/>
          <w:sz w:val="22"/>
          <w:szCs w:val="22"/>
        </w:rPr>
        <w:t xml:space="preserve">The form of Section 83(b) Election notice is attached to the Restricted Stock Purchase Agreement as an exhibit. The Company shall retain a copy of each 83(b) Election filed by a recipient in the recipient's personnel file and equity records.</w:t>
      </w:r>
    </w:p>
    <w:p>
      <w:pPr>
        <w:pStyle w:val="Heading2"/>
        <w:spacing w:after="160" w:before="280"/>
        <w:jc w:val="left"/>
      </w:pPr>
      <w:r>
        <w:rPr>
          <w:rFonts w:ascii="Calibri" w:cs="Calibri" w:eastAsia="Calibri" w:hAnsi="Calibri"/>
          <w:b/>
          <w:bCs/>
          <w:color w:val="1B3A5C"/>
          <w:sz w:val="26"/>
          <w:szCs w:val="26"/>
        </w:rPr>
        <w:t xml:space="preserve">6.5 Escrow Arrangements</w:t>
      </w:r>
    </w:p>
    <w:p>
      <w:pPr>
        <w:spacing w:after="160" w:before="0" w:line="276"/>
        <w:jc w:val="both"/>
      </w:pPr>
      <w:r>
        <w:rPr>
          <w:rFonts w:ascii="Calibri" w:cs="Calibri" w:eastAsia="Calibri" w:hAnsi="Calibri"/>
          <w:b w:val="false"/>
          <w:bCs w:val="false"/>
          <w:i w:val="false"/>
          <w:iCs w:val="false"/>
          <w:color w:val="2D2D2D"/>
          <w:sz w:val="22"/>
          <w:szCs w:val="22"/>
        </w:rPr>
        <w:t xml:space="preserve">Shares of Restricted Stock shall be held in escrow by the Company (or its designated transfer agent or escrow agent) pending vesting. The recipient shall execute a stock assignment separate from certificate (a "Stock Power"), in the form attached to the Restricted Stock Purchase Agreement, which shall be held by the Company in escrow and used only in the event the Company exercises its repurchase right.</w:t>
      </w:r>
    </w:p>
    <w:p>
      <w:pPr>
        <w:spacing w:after="160" w:before="0" w:line="276"/>
        <w:jc w:val="both"/>
      </w:pPr>
      <w:r>
        <w:rPr>
          <w:rFonts w:ascii="Calibri" w:cs="Calibri" w:eastAsia="Calibri" w:hAnsi="Calibri"/>
          <w:b w:val="false"/>
          <w:bCs w:val="false"/>
          <w:i w:val="false"/>
          <w:iCs w:val="false"/>
          <w:color w:val="2D2D2D"/>
          <w:sz w:val="22"/>
          <w:szCs w:val="22"/>
        </w:rPr>
        <w:t xml:space="preserve">Upon vesting, shares shall be released from escrow and [delivered to the recipient / credited to the recipient's account with the Company's transfer agent] within [TEN (10)] business days of the applicable vesting date.</w:t>
      </w:r>
    </w:p>
    <w:p>
      <w:pPr>
        <w:pStyle w:val="Heading2"/>
        <w:spacing w:after="160" w:before="280"/>
        <w:jc w:val="left"/>
      </w:pPr>
      <w:r>
        <w:rPr>
          <w:rFonts w:ascii="Calibri" w:cs="Calibri" w:eastAsia="Calibri" w:hAnsi="Calibri"/>
          <w:b/>
          <w:bCs/>
          <w:color w:val="1B3A5C"/>
          <w:sz w:val="26"/>
          <w:szCs w:val="26"/>
        </w:rPr>
        <w:t xml:space="preserve">6.6 Legend Requirements</w:t>
      </w:r>
    </w:p>
    <w:p>
      <w:pPr>
        <w:spacing w:after="160" w:before="0" w:line="276"/>
        <w:jc w:val="both"/>
      </w:pPr>
      <w:r>
        <w:rPr>
          <w:rFonts w:ascii="Calibri" w:cs="Calibri" w:eastAsia="Calibri" w:hAnsi="Calibri"/>
          <w:b w:val="false"/>
          <w:bCs w:val="false"/>
          <w:i w:val="false"/>
          <w:iCs w:val="false"/>
          <w:color w:val="2D2D2D"/>
          <w:sz w:val="22"/>
          <w:szCs w:val="22"/>
        </w:rPr>
        <w:t xml:space="preserve">All certificates representing shares of Restricted Stock (and all book-entry shares) shall bear the following legends (or substantially similar legends):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Securities Law Legend: "THE SHARES REPRESENTED BY THIS CERTIFICATE HAVE NOT BEEN REGISTERED UNDER THE SECURITIES ACT OF 1933, AS AMENDED, OR UNDER ANY STATE SECURITIES LAWS. THESE SHARES MAY NOT BE OFFERED, SOLD, PLEDGED, OR OTHERWISE TRANSFERRED EXCEPT IN COMPLIANCE WITH THE REGISTRATION REQUIREMENTS OF SUCH ACT AND LAWS OR PURSUANT TO AN EXEMPTION THEREFROM."</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Repurchase Legend: "THE SHARES REPRESENTED BY THIS CERTIFICATE ARE SUBJECT TO CERTAIN RESTRICTIONS ON TRANSFER AND A REPURCHASE OPTION IN FAVOR OF THE COMPANY, AS SET FORTH IN A RESTRICTED STOCK PURCHASE AGREEMENT, A COPY OF WHICH IS ON FILE WITH THE SECRETARY OF THE COMPANY."</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Such other legends as may be required under the Company's Certificate of Incorporation, Bylaws, or any applicable stockholders' agreement (including any right of first refusal or co-sale agreement).</w:t>
      </w:r>
    </w:p>
    <w:p>
      <w:r>
        <w:br w:type="page"/>
      </w:r>
    </w:p>
    <w:p>
      <w:pPr>
        <w:pStyle w:val="Heading1"/>
        <w:spacing w:after="160" w:before="360"/>
        <w:jc w:val="center"/>
      </w:pPr>
      <w:r>
        <w:rPr>
          <w:rFonts w:ascii="Calibri" w:cs="Calibri" w:eastAsia="Calibri" w:hAnsi="Calibri"/>
          <w:b/>
          <w:bCs/>
          <w:color w:val="1B3A5C"/>
          <w:sz w:val="32"/>
          <w:szCs w:val="32"/>
        </w:rPr>
        <w:t xml:space="preserve">SECTION 7: RSU TERMS</w:t>
      </w:r>
    </w:p>
    <w:p>
      <w:pPr>
        <w:pStyle w:val="Heading2"/>
        <w:spacing w:after="160" w:before="280"/>
        <w:jc w:val="left"/>
      </w:pPr>
      <w:r>
        <w:rPr>
          <w:rFonts w:ascii="Calibri" w:cs="Calibri" w:eastAsia="Calibri" w:hAnsi="Calibri"/>
          <w:b/>
          <w:bCs/>
          <w:color w:val="1B3A5C"/>
          <w:sz w:val="26"/>
          <w:szCs w:val="26"/>
        </w:rPr>
        <w:t xml:space="preserve">7.1 Settlement Timing</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each Restricted Stock Unit ("RSU") granted hereunder represents the right to receive one share of Common Stock (or, at the election of the Company, a cash payment equal to the fair market value of one share of Common Stock) upon settlement. RSUs shall be settled as follows: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Settlement shall occur within [THIRTY (30) / SIXTY (60) / NINETY (90)] days following the applicable vesting date (or the earliest date permitted under Section 409A of the Code, if later).</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Settlement shall be made in [shares of Common Stock / cash / a combination of shares and cash, as determined by the Plan Administrator in its sole discretion].</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No fractional shares shall be issued. Any fractional share that would otherwise be deliverable shall be [rounded down to the nearest whole share / paid in cash].</w:t>
      </w:r>
    </w:p>
    <w:p>
      <w:pPr>
        <w:spacing w:after="160" w:before="0" w:line="276"/>
        <w:jc w:val="both"/>
      </w:pPr>
      <w:r>
        <w:rPr>
          <w:rFonts w:ascii="Calibri" w:cs="Calibri" w:eastAsia="Calibri" w:hAnsi="Calibri"/>
          <w:b w:val="false"/>
          <w:bCs w:val="false"/>
          <w:i w:val="false"/>
          <w:iCs w:val="false"/>
          <w:color w:val="2D2D2D"/>
          <w:sz w:val="22"/>
          <w:szCs w:val="22"/>
        </w:rPr>
        <w:t xml:space="preserve">No shares shall be issued and no settlement shall occur prior to the satisfaction of applicable tax withholding obligations as set forth in Section 7.5 below.</w:t>
      </w:r>
    </w:p>
    <w:p>
      <w:pPr>
        <w:pStyle w:val="Heading2"/>
        <w:spacing w:after="160" w:before="280"/>
        <w:jc w:val="left"/>
      </w:pPr>
      <w:r>
        <w:rPr>
          <w:rFonts w:ascii="Calibri" w:cs="Calibri" w:eastAsia="Calibri" w:hAnsi="Calibri"/>
          <w:b/>
          <w:bCs/>
          <w:color w:val="1B3A5C"/>
          <w:sz w:val="26"/>
          <w:szCs w:val="26"/>
        </w:rPr>
        <w:t xml:space="preserve">7.2 Single-Trigger vs. Double-Trigger Vesting</w:t>
      </w:r>
    </w:p>
    <w:p>
      <w:pPr>
        <w:spacing w:after="160" w:before="0" w:line="276"/>
        <w:jc w:val="both"/>
      </w:pPr>
      <w:r>
        <w:rPr>
          <w:rFonts w:ascii="Calibri" w:cs="Calibri" w:eastAsia="Calibri" w:hAnsi="Calibri"/>
          <w:b w:val="false"/>
          <w:bCs w:val="false"/>
          <w:i w:val="false"/>
          <w:iCs w:val="false"/>
          <w:color w:val="2D2D2D"/>
          <w:sz w:val="22"/>
          <w:szCs w:val="22"/>
        </w:rPr>
        <w:t xml:space="preserve">The RSU awards granted hereunder shall be subject to the following vesting and settlement structure: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[OPTION A -- SINGLE TRIGGER:] Vesting shall be based solely on the recipient's continued service to the Company through each applicable vesting date. No additional condition (beyond vesting) is required for settlement. Upon vesting, settlement shall occur in accordance with the timing set forth in Section 7.1 above.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[OPTION B -- DOUBLE TRIGGER:] Vesting shall be based on the recipient's continued service to the Company through each applicable vesting date; provided, however, that no settlement shall occur unless and until the earlier of (i) a Change of Control (as defined in the Plan) or (ii) the date that is [SIX (6)] months following an Initial Public Offering (as defined in the Plan) (a "Liquidity Event"). RSUs that have vested but not yet been settled due to the absence of a Liquidity Event shall be settled within [THIRTY (30)] days following the occurrence of a Liquidity Event.</w:t>
      </w:r>
    </w:p>
    <w:p>
      <w:pPr>
        <w:spacing w:after="160" w:before="0" w:line="276"/>
        <w:jc w:val="both"/>
      </w:pPr>
      <w:r>
        <w:rPr>
          <w:rFonts w:ascii="Calibri" w:cs="Calibri" w:eastAsia="Calibri" w:hAnsi="Calibri"/>
          <w:b w:val="false"/>
          <w:bCs w:val="false"/>
          <w:i w:val="false"/>
          <w:iCs w:val="false"/>
          <w:color w:val="2D2D2D"/>
          <w:sz w:val="22"/>
          <w:szCs w:val="22"/>
        </w:rPr>
        <w:t xml:space="preserve">The Board has selected [SINGLE-TRIGGER / DOUBLE-TRIGGER] vesting for the RSU awards granted pursuant to this consent. The specific trigger structure for each RSU award is set forth in the Grant Schedule.</w:t>
      </w:r>
    </w:p>
    <w:p>
      <w:pPr>
        <w:pStyle w:val="Heading2"/>
        <w:spacing w:after="160" w:before="280"/>
        <w:jc w:val="left"/>
      </w:pPr>
      <w:r>
        <w:rPr>
          <w:rFonts w:ascii="Calibri" w:cs="Calibri" w:eastAsia="Calibri" w:hAnsi="Calibri"/>
          <w:b/>
          <w:bCs/>
          <w:color w:val="1B3A5C"/>
          <w:sz w:val="26"/>
          <w:szCs w:val="26"/>
        </w:rPr>
        <w:t xml:space="preserve">7.3 Section 409A Compliance</w:t>
      </w:r>
    </w:p>
    <w:p>
      <w:pPr>
        <w:spacing w:after="160" w:before="0" w:line="276"/>
        <w:jc w:val="both"/>
      </w:pPr>
      <w:r>
        <w:rPr>
          <w:rFonts w:ascii="Calibri" w:cs="Calibri" w:eastAsia="Calibri" w:hAnsi="Calibri"/>
          <w:b w:val="false"/>
          <w:bCs w:val="false"/>
          <w:i w:val="false"/>
          <w:iCs w:val="false"/>
          <w:color w:val="2D2D2D"/>
          <w:sz w:val="22"/>
          <w:szCs w:val="22"/>
        </w:rPr>
        <w:t xml:space="preserve">The Board intends that RSU awards granted hereunder shall comply with the requirements of Section 409A of the Code (or be exempt therefrom). To the extent that any RSU constitutes "nonqualified deferred compensation" within the meaning of Section 409A:</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Settlement shall occur upon a permissible distribution event under Section 409A, including: (i) a specified time or fixed schedule; (ii) separation from service (subject to the six-month delay for "specified employees" of publicly traded companies); (iii) disability (as defined in Section 409A(a)(2)(C)); (iv) death; (v) a change in ownership or effective control (as defined in Treasury Regulation Section 1.409A-3(i)(5)); or (vi) an unforeseeable emergency (as defined in Section 409A(a)(2)(B)(ii)).</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No acceleration of settlement shall be permitted except to the extent specifically permitted under Treasury Regulation Section 1.409A-3(j)(4).</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The RSU agreement shall include such terms and conditions as are necessary to comply with Section 409A, including without limitation provisions regarding the timing and form of distribution, restrictions on the recipient's ability to accelerate or defer distribution, and the six-month delay for specified employees.</w:t>
      </w:r>
    </w:p>
    <w:p>
      <w:pPr>
        <w:pStyle w:val="Heading2"/>
        <w:spacing w:after="160" w:before="280"/>
        <w:jc w:val="left"/>
      </w:pPr>
      <w:r>
        <w:rPr>
          <w:rFonts w:ascii="Calibri" w:cs="Calibri" w:eastAsia="Calibri" w:hAnsi="Calibri"/>
          <w:b/>
          <w:bCs/>
          <w:color w:val="1B3A5C"/>
          <w:sz w:val="26"/>
          <w:szCs w:val="26"/>
        </w:rPr>
        <w:t xml:space="preserve">7.4 Distribution Events</w:t>
      </w:r>
    </w:p>
    <w:p>
      <w:pPr>
        <w:spacing w:after="160" w:before="0" w:line="276"/>
        <w:jc w:val="both"/>
      </w:pPr>
      <w:r>
        <w:rPr>
          <w:rFonts w:ascii="Calibri" w:cs="Calibri" w:eastAsia="Calibri" w:hAnsi="Calibri"/>
          <w:b w:val="false"/>
          <w:bCs w:val="false"/>
          <w:i w:val="false"/>
          <w:iCs w:val="false"/>
          <w:color w:val="2D2D2D"/>
          <w:sz w:val="22"/>
          <w:szCs w:val="22"/>
        </w:rPr>
        <w:t xml:space="preserve">In addition to the vesting and settlement provisions set forth above, the Board may designate specific distribution events for RSU awards, including:</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Fixed date settlement (e.g., settlement on the third anniversary of the grant date);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Installment settlement (e.g., settlement in equal annual installments over [NUMBER] years following the initial vesting date);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Separation from service settlement (with appropriate Section 409A protections); or</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Liquidity event settlement (upon a Change of Control or Initial Public Offering).</w:t>
      </w:r>
    </w:p>
    <w:p>
      <w:pPr>
        <w:spacing w:after="160" w:before="0" w:line="276"/>
        <w:jc w:val="both"/>
      </w:pPr>
      <w:r>
        <w:rPr>
          <w:rFonts w:ascii="Calibri" w:cs="Calibri" w:eastAsia="Calibri" w:hAnsi="Calibri"/>
          <w:b w:val="false"/>
          <w:bCs w:val="false"/>
          <w:i w:val="false"/>
          <w:iCs w:val="false"/>
          <w:color w:val="2D2D2D"/>
          <w:sz w:val="22"/>
          <w:szCs w:val="22"/>
        </w:rPr>
        <w:t xml:space="preserve">The distribution event(s) applicable to each RSU award shall be specified in the applicable RSU Agreement.</w:t>
      </w:r>
    </w:p>
    <w:p>
      <w:pPr>
        <w:pStyle w:val="Heading2"/>
        <w:spacing w:after="160" w:before="280"/>
        <w:jc w:val="left"/>
      </w:pPr>
      <w:r>
        <w:rPr>
          <w:rFonts w:ascii="Calibri" w:cs="Calibri" w:eastAsia="Calibri" w:hAnsi="Calibri"/>
          <w:b/>
          <w:bCs/>
          <w:color w:val="1B3A5C"/>
          <w:sz w:val="26"/>
          <w:szCs w:val="26"/>
        </w:rPr>
        <w:t xml:space="preserve">7.5 Withholding Obligations</w:t>
      </w:r>
    </w:p>
    <w:p>
      <w:pPr>
        <w:spacing w:after="160" w:before="0" w:line="276"/>
        <w:jc w:val="both"/>
      </w:pPr>
      <w:r>
        <w:rPr>
          <w:rFonts w:ascii="Calibri" w:cs="Calibri" w:eastAsia="Calibri" w:hAnsi="Calibri"/>
          <w:b w:val="false"/>
          <w:bCs w:val="false"/>
          <w:i w:val="false"/>
          <w:iCs w:val="false"/>
          <w:color w:val="2D2D2D"/>
          <w:sz w:val="22"/>
          <w:szCs w:val="22"/>
        </w:rPr>
        <w:t xml:space="preserve">The Company's obligation to deliver shares (or cash) upon settlement of RSUs is subject to the satisfaction of all applicable federal, state, local, and foreign tax withholding obligations. The Company shall withhold from the shares otherwise deliverable upon settlement that number of shares having a fair market value equal to the minimum statutory withholding amount (or, at the election of the Company, the maximum statutory rate), unless the recipient elects to satisfy the withholding obligation by one of the following alternative methods: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Payment in cash or by check;</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Delivery of previously owned shares of Common Stock; or</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Any other method approved by the Plan Administrator.</w:t>
      </w:r>
    </w:p>
    <w:p>
      <w:pPr>
        <w:pStyle w:val="Heading2"/>
        <w:spacing w:after="160" w:before="280"/>
        <w:jc w:val="left"/>
      </w:pPr>
      <w:r>
        <w:rPr>
          <w:rFonts w:ascii="Calibri" w:cs="Calibri" w:eastAsia="Calibri" w:hAnsi="Calibri"/>
          <w:b/>
          <w:bCs/>
          <w:color w:val="1B3A5C"/>
          <w:sz w:val="26"/>
          <w:szCs w:val="26"/>
        </w:rPr>
        <w:t xml:space="preserve">7.6 Dividend Equivalent Rights</w:t>
      </w:r>
    </w:p>
    <w:p>
      <w:pPr>
        <w:spacing w:after="160" w:before="0" w:line="276"/>
        <w:jc w:val="both"/>
      </w:pPr>
      <w:r>
        <w:rPr>
          <w:rFonts w:ascii="Calibri" w:cs="Calibri" w:eastAsia="Calibri" w:hAnsi="Calibri"/>
          <w:b w:val="false"/>
          <w:bCs w:val="false"/>
          <w:i w:val="false"/>
          <w:iCs w:val="false"/>
          <w:color w:val="2D2D2D"/>
          <w:sz w:val="22"/>
          <w:szCs w:val="22"/>
        </w:rPr>
        <w:t xml:space="preserve">Unless otherwise specified in the applicable RSU Agreement, RSU awards granted hereunder shall [not carry / carry] dividend equivalent rights. [IF APPLICABLE:] To the extent dividend equivalent rights are granted, such rights shall be subject to the same vesting conditions and forfeiture provisions as the underlying RSU award, and shall be paid or settled at the same time as the underlying RSU (and not on the date any dividend is paid on the Common Stock), in compliance with Section 409A of the Code.</w:t>
      </w:r>
    </w:p>
    <w:p>
      <w:r>
        <w:br w:type="page"/>
      </w:r>
    </w:p>
    <w:p>
      <w:pPr>
        <w:pStyle w:val="Heading1"/>
        <w:spacing w:after="160" w:before="360"/>
        <w:jc w:val="center"/>
      </w:pPr>
      <w:r>
        <w:rPr>
          <w:rFonts w:ascii="Calibri" w:cs="Calibri" w:eastAsia="Calibri" w:hAnsi="Calibri"/>
          <w:b/>
          <w:bCs/>
          <w:color w:val="1B3A5C"/>
          <w:sz w:val="32"/>
          <w:szCs w:val="32"/>
        </w:rPr>
        <w:t xml:space="preserve">SECTION 8: VESTING PROVISIONS</w:t>
      </w:r>
    </w:p>
    <w:p>
      <w:pPr>
        <w:pStyle w:val="Heading2"/>
        <w:spacing w:after="160" w:before="280"/>
        <w:jc w:val="left"/>
      </w:pPr>
      <w:r>
        <w:rPr>
          <w:rFonts w:ascii="Calibri" w:cs="Calibri" w:eastAsia="Calibri" w:hAnsi="Calibri"/>
          <w:b/>
          <w:bCs/>
          <w:color w:val="1B3A5C"/>
          <w:sz w:val="26"/>
          <w:szCs w:val="26"/>
        </w:rPr>
        <w:t xml:space="preserve">8.1 Standard Vesting Schedules</w:t>
      </w:r>
    </w:p>
    <w:p>
      <w:pPr>
        <w:spacing w:after="160" w:before="0" w:line="276"/>
        <w:jc w:val="both"/>
      </w:pPr>
      <w:r>
        <w:rPr>
          <w:rFonts w:ascii="Calibri" w:cs="Calibri" w:eastAsia="Calibri" w:hAnsi="Calibri"/>
          <w:b w:val="false"/>
          <w:bCs w:val="false"/>
          <w:i w:val="false"/>
          <w:iCs w:val="false"/>
          <w:color w:val="2D2D2D"/>
          <w:sz w:val="22"/>
          <w:szCs w:val="22"/>
        </w:rPr>
        <w:t xml:space="preserve">Unless otherwise specified in the Grant Schedule or the applicable award agreement, equity awards granted hereunder shall vest in accordance with the following standard schedules:</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100"/>
        <w:gridCol w:w="2800"/>
        <w:gridCol w:w="2200"/>
        <w:gridCol w:w="2260"/>
      </w:tblGrid>
      <w:tr>
        <w:trPr>
          <w:tblHeader/>
        </w:trPr>
        <w:tc>
          <w:tcPr>
            <w:tcW w:type="dxa" w:w="21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Award Type</w:t>
            </w:r>
          </w:p>
        </w:tc>
        <w:tc>
          <w:tcPr>
            <w:tcW w:type="dxa" w:w="28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Standard Vesting Schedule</w:t>
            </w:r>
          </w:p>
        </w:tc>
        <w:tc>
          <w:tcPr>
            <w:tcW w:type="dxa" w:w="22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Cliff Period</w:t>
            </w:r>
          </w:p>
        </w:tc>
        <w:tc>
          <w:tcPr>
            <w:tcW w:type="dxa" w:w="226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Monthly/Quarterly Vesting</w:t>
            </w:r>
          </w:p>
        </w:tc>
      </w:tr>
      <w:tr>
        <w:tc>
          <w:tcPr>
            <w:tcW w:type="dxa" w:w="21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Stock Options (ISO/NQSO)</w:t>
            </w:r>
          </w:p>
        </w:tc>
        <w:tc>
          <w:tcPr>
            <w:tcW w:type="dxa" w:w="2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4-year vesting</w:t>
            </w:r>
          </w:p>
        </w:tc>
        <w:tc>
          <w:tcPr>
            <w:tcW w:type="dxa" w:w="22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1-year cliff (25%)</w:t>
            </w:r>
          </w:p>
        </w:tc>
        <w:tc>
          <w:tcPr>
            <w:tcW w:type="dxa" w:w="22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1/48th monthly thereafter</w:t>
            </w:r>
          </w:p>
        </w:tc>
      </w:tr>
      <w:tr>
        <w:tc>
          <w:tcPr>
            <w:tcW w:type="dxa" w:w="21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Restricted Stock Awards</w:t>
            </w:r>
          </w:p>
        </w:tc>
        <w:tc>
          <w:tcPr>
            <w:tcW w:type="dxa" w:w="2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4-year vesting</w:t>
            </w:r>
          </w:p>
        </w:tc>
        <w:tc>
          <w:tcPr>
            <w:tcW w:type="dxa" w:w="22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1-year cliff (25%)</w:t>
            </w:r>
          </w:p>
        </w:tc>
        <w:tc>
          <w:tcPr>
            <w:tcW w:type="dxa" w:w="22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1/48th monthly thereafter</w:t>
            </w:r>
          </w:p>
        </w:tc>
      </w:tr>
      <w:tr>
        <w:tc>
          <w:tcPr>
            <w:tcW w:type="dxa" w:w="21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RSU Awards</w:t>
            </w:r>
          </w:p>
        </w:tc>
        <w:tc>
          <w:tcPr>
            <w:tcW w:type="dxa" w:w="2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4-year vesting</w:t>
            </w:r>
          </w:p>
        </w:tc>
        <w:tc>
          <w:tcPr>
            <w:tcW w:type="dxa" w:w="22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1-year cliff (25%)</w:t>
            </w:r>
          </w:p>
        </w:tc>
        <w:tc>
          <w:tcPr>
            <w:tcW w:type="dxa" w:w="22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1/16th quarterly thereafter</w:t>
            </w:r>
          </w:p>
        </w:tc>
      </w:tr>
      <w:tr>
        <w:tc>
          <w:tcPr>
            <w:tcW w:type="dxa" w:w="21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Advisor Grants</w:t>
            </w:r>
          </w:p>
        </w:tc>
        <w:tc>
          <w:tcPr>
            <w:tcW w:type="dxa" w:w="2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2-year vesting</w:t>
            </w:r>
          </w:p>
        </w:tc>
        <w:tc>
          <w:tcPr>
            <w:tcW w:type="dxa" w:w="22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None / 3 months</w:t>
            </w:r>
          </w:p>
        </w:tc>
        <w:tc>
          <w:tcPr>
            <w:tcW w:type="dxa" w:w="22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1/24th monthly</w:t>
            </w:r>
          </w:p>
        </w:tc>
      </w:tr>
      <w:tr>
        <w:tc>
          <w:tcPr>
            <w:tcW w:type="dxa" w:w="21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Board Member Grants</w:t>
            </w:r>
          </w:p>
        </w:tc>
        <w:tc>
          <w:tcPr>
            <w:tcW w:type="dxa" w:w="2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[AS SPECIFIED]</w:t>
            </w:r>
          </w:p>
        </w:tc>
        <w:tc>
          <w:tcPr>
            <w:tcW w:type="dxa" w:w="22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[AS SPECIFIED]</w:t>
            </w:r>
          </w:p>
        </w:tc>
        <w:tc>
          <w:tcPr>
            <w:tcW w:type="dxa" w:w="22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[AS SPECIFIED]</w:t>
            </w:r>
          </w:p>
        </w:tc>
      </w:tr>
    </w:tbl>
    <w:p>
      <w:pPr>
        <w:spacing w:after="80"/>
      </w:pPr>
    </w:p>
    <w:p>
      <w:pPr>
        <w:spacing w:after="160" w:before="0" w:line="276"/>
        <w:jc w:val="both"/>
      </w:pPr>
      <w:r>
        <w:rPr>
          <w:rFonts w:ascii="Calibri" w:cs="Calibri" w:eastAsia="Calibri" w:hAnsi="Calibri"/>
          <w:b w:val="false"/>
          <w:bCs w:val="false"/>
          <w:i w:val="false"/>
          <w:iCs w:val="false"/>
          <w:color w:val="2D2D2D"/>
          <w:sz w:val="22"/>
          <w:szCs w:val="22"/>
        </w:rPr>
        <w:t xml:space="preserve">Vesting shall be calculated from the Vesting Commencement Date specified in the Grant Schedule. Vesting shall cease upon the date of termination of the recipient's Continuous Service, and no additional shares shall vest after such date (except as otherwise provided in this Section 8).</w:t>
      </w:r>
    </w:p>
    <w:p>
      <w:pPr>
        <w:pStyle w:val="Heading2"/>
        <w:spacing w:after="160" w:before="280"/>
        <w:jc w:val="left"/>
      </w:pPr>
      <w:r>
        <w:rPr>
          <w:rFonts w:ascii="Calibri" w:cs="Calibri" w:eastAsia="Calibri" w:hAnsi="Calibri"/>
          <w:b/>
          <w:bCs/>
          <w:color w:val="1B3A5C"/>
          <w:sz w:val="26"/>
          <w:szCs w:val="26"/>
        </w:rPr>
        <w:t xml:space="preserve">8.2 Performance-Based Vesting</w:t>
      </w:r>
    </w:p>
    <w:p>
      <w:pPr>
        <w:spacing w:after="160" w:before="0" w:line="276"/>
        <w:jc w:val="both"/>
      </w:pPr>
      <w:r>
        <w:rPr>
          <w:rFonts w:ascii="Calibri" w:cs="Calibri" w:eastAsia="Calibri" w:hAnsi="Calibri"/>
          <w:b w:val="false"/>
          <w:bCs w:val="false"/>
          <w:i w:val="false"/>
          <w:iCs w:val="false"/>
          <w:color w:val="2D2D2D"/>
          <w:sz w:val="22"/>
          <w:szCs w:val="22"/>
        </w:rPr>
        <w:t xml:space="preserve">To the extent any award is subject to performance-based vesting conditions (as indicated in the Grant Schedule), the following terms shall apply:</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Performance Goals: The specific performance goals, targets, and measurement criteria applicable to each performance-based award shall be set forth in the applicable award agreement and shall be based on one or more of the following criteria: [REVENUE / EBITDA / NET INCOME / USER GROWTH / PRODUCT MILESTONES / FUNDRAISING MILESTONES / OTHER CRITERIA].</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Measurement Period: Performance shall be measured over the period specified in the applicable award agreement (the "Performance Period"), which shall be not less than [ONE (1) YEAR / OTHER MINIMUM PERIOD].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Certification: Achievement of performance goals shall be certified by [the Board / the Committee] prior to the settlement or release of any performance-based award.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Partial Achievement: In the event of partial achievement of performance goals, [a proportionate number of shares shall vest / no shares shall vest / the Board shall determine in its discretion the number of shares to vest], as specified in the applicable award agreement.</w:t>
      </w:r>
    </w:p>
    <w:p>
      <w:pPr>
        <w:pStyle w:val="Heading2"/>
        <w:spacing w:after="160" w:before="280"/>
        <w:jc w:val="left"/>
      </w:pPr>
      <w:r>
        <w:rPr>
          <w:rFonts w:ascii="Calibri" w:cs="Calibri" w:eastAsia="Calibri" w:hAnsi="Calibri"/>
          <w:b/>
          <w:bCs/>
          <w:color w:val="1B3A5C"/>
          <w:sz w:val="26"/>
          <w:szCs w:val="26"/>
        </w:rPr>
        <w:t xml:space="preserve">8.3 Acceleration on Change of Control</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in the event of a Change of Control (as defined in the Plan), the following acceleration provisions shall apply to equity awards granted hereunder, as specified in the Grant Schedule and the applicable award agreement:</w:t>
      </w:r>
    </w:p>
    <w:p>
      <w:pPr>
        <w:spacing w:after="160" w:before="0" w:line="276"/>
        <w:jc w:val="both"/>
      </w:pPr>
      <w:r>
        <w:rPr>
          <w:rFonts w:ascii="Calibri" w:cs="Calibri" w:eastAsia="Calibri" w:hAnsi="Calibri"/>
          <w:b/>
          <w:bCs/>
          <w:color w:val="2D2D2D"/>
          <w:sz w:val="22"/>
          <w:szCs w:val="22"/>
        </w:rPr>
        <w:t xml:space="preserve">Single-Trigger Acceleration: </w:t>
      </w:r>
      <w:r>
        <w:rPr>
          <w:rFonts w:ascii="Calibri" w:cs="Calibri" w:eastAsia="Calibri" w:hAnsi="Calibri"/>
          <w:color w:val="2D2D2D"/>
          <w:sz w:val="22"/>
          <w:szCs w:val="22"/>
        </w:rPr>
        <w:t xml:space="preserve">If the Grant Schedule specifies "single-trigger" acceleration for an award, then [ONE HUNDRED PERCENT (100%) / FIFTY PERCENT (50%) / [__]%] of the then-unvested shares subject to such award shall immediately vest and (in the case of options) become exercisable upon the consummation of the Change of Control, regardless of whether the recipient's service is terminated in connection with such Change of Control.</w:t>
      </w:r>
    </w:p>
    <w:p>
      <w:pPr>
        <w:spacing w:after="160" w:before="0" w:line="276"/>
        <w:jc w:val="both"/>
      </w:pPr>
      <w:r>
        <w:rPr>
          <w:rFonts w:ascii="Calibri" w:cs="Calibri" w:eastAsia="Calibri" w:hAnsi="Calibri"/>
          <w:b/>
          <w:bCs/>
          <w:color w:val="2D2D2D"/>
          <w:sz w:val="22"/>
          <w:szCs w:val="22"/>
        </w:rPr>
        <w:t xml:space="preserve">Double-Trigger Acceleration: </w:t>
      </w:r>
      <w:r>
        <w:rPr>
          <w:rFonts w:ascii="Calibri" w:cs="Calibri" w:eastAsia="Calibri" w:hAnsi="Calibri"/>
          <w:color w:val="2D2D2D"/>
          <w:sz w:val="22"/>
          <w:szCs w:val="22"/>
        </w:rPr>
        <w:t xml:space="preserve">If the Grant Schedule specifies "double-trigger" acceleration for an award, then [ONE HUNDRED PERCENT (100%) / FIFTY PERCENT (50%) / [__]%] of the then-unvested shares subject to such award shall immediately vest and become exercisable only if, within [TWELVE (12) / EIGHTEEN (18) / TWENTY-FOUR (24)] months following the consummation of the Change of Control, the recipient's Continuous Service is terminated either (i) by the Company (or the successor entity) without Cause (as defined in the Plan or the applicable award agreement) or (ii) by the recipient for Good Reason (as defined in the applicable award agreement).</w:t>
      </w:r>
    </w:p>
    <w:p>
      <w:pPr>
        <w:pStyle w:val="Heading2"/>
        <w:spacing w:after="160" w:before="280"/>
        <w:jc w:val="left"/>
      </w:pPr>
      <w:r>
        <w:rPr>
          <w:rFonts w:ascii="Calibri" w:cs="Calibri" w:eastAsia="Calibri" w:hAnsi="Calibri"/>
          <w:b/>
          <w:bCs/>
          <w:color w:val="1B3A5C"/>
          <w:sz w:val="26"/>
          <w:szCs w:val="26"/>
        </w:rPr>
        <w:t xml:space="preserve">8.4 Acceleration on Death or Disability</w:t>
      </w:r>
    </w:p>
    <w:p>
      <w:pPr>
        <w:spacing w:after="160" w:before="0" w:line="276"/>
        <w:jc w:val="both"/>
      </w:pPr>
      <w:r>
        <w:rPr>
          <w:rFonts w:ascii="Calibri" w:cs="Calibri" w:eastAsia="Calibri" w:hAnsi="Calibri"/>
          <w:b w:val="false"/>
          <w:bCs w:val="false"/>
          <w:i w:val="false"/>
          <w:iCs w:val="false"/>
          <w:color w:val="2D2D2D"/>
          <w:sz w:val="22"/>
          <w:szCs w:val="22"/>
        </w:rPr>
        <w:t xml:space="preserve">In the event of a recipient's death or Disability (as defined in the Plan) during the recipient's Continuous Service: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[ONE HUNDRED PERCENT (100%) / [__]%] of the then-unvested shares subject to each outstanding award held by such recipient shall immediately vest and (in the case of options) become exercisable; and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The recipient (or the recipient's estate, legal representative, or designated beneficiary) shall have [TWELVE (12)] months from the date of death or Disability to exercise any vested options, subject to the original expiration date of such options.</w:t>
      </w:r>
    </w:p>
    <w:p>
      <w:pPr>
        <w:pStyle w:val="Heading2"/>
        <w:spacing w:after="160" w:before="280"/>
        <w:jc w:val="left"/>
      </w:pPr>
      <w:r>
        <w:rPr>
          <w:rFonts w:ascii="Calibri" w:cs="Calibri" w:eastAsia="Calibri" w:hAnsi="Calibri"/>
          <w:b/>
          <w:bCs/>
          <w:color w:val="1B3A5C"/>
          <w:sz w:val="26"/>
          <w:szCs w:val="26"/>
        </w:rPr>
        <w:t xml:space="preserve">8.5 Leave of Absence Treatment</w:t>
      </w:r>
    </w:p>
    <w:p>
      <w:pPr>
        <w:spacing w:after="160" w:before="0" w:line="276"/>
        <w:jc w:val="both"/>
      </w:pPr>
      <w:r>
        <w:rPr>
          <w:rFonts w:ascii="Calibri" w:cs="Calibri" w:eastAsia="Calibri" w:hAnsi="Calibri"/>
          <w:b w:val="false"/>
          <w:bCs w:val="false"/>
          <w:i w:val="false"/>
          <w:iCs w:val="false"/>
          <w:color w:val="2D2D2D"/>
          <w:sz w:val="22"/>
          <w:szCs w:val="22"/>
        </w:rPr>
        <w:t xml:space="preserve">In the event a recipient takes an approved leave of absence from the Company:</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Vesting of time-based awards shall [continue / be suspended] during any approved leave of absence that is [THIRTY (30)] days or less in duration.</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Vesting of time-based awards shall be [suspended / continue at a reduced rate] during any approved leave of absence that exceeds [THIRTY (30)] days in duration, unless continued vesting is required by applicable law (including the Family and Medical Leave Act, the Americans with Disabilities Act, or analogous state or local laws).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The Continuous Service of a recipient on an approved leave of absence shall not be deemed terminated for purposes of the Plan until the earlier of (i) the date on which such leave of absence expires (including any extensions) without the recipient returning to active service, or (ii) the date on which the recipient's employment or service is affirmatively terminated by the Company or the recipient.</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For purposes of ISOs, a leave of absence of more than ninety (90) days may result in a change in the option's status from ISO to NQSO, as provided in Treasury Regulation Section 1.421-1(h)(2).</w:t>
      </w:r>
    </w:p>
    <w:p>
      <w:r>
        <w:br w:type="page"/>
      </w:r>
    </w:p>
    <w:p>
      <w:pPr>
        <w:pStyle w:val="Heading1"/>
        <w:spacing w:after="160" w:before="360"/>
        <w:jc w:val="center"/>
      </w:pPr>
      <w:r>
        <w:rPr>
          <w:rFonts w:ascii="Calibri" w:cs="Calibri" w:eastAsia="Calibri" w:hAnsi="Calibri"/>
          <w:b/>
          <w:bCs/>
          <w:color w:val="1B3A5C"/>
          <w:sz w:val="32"/>
          <w:szCs w:val="32"/>
        </w:rPr>
        <w:t xml:space="preserve">SECTION 9: SECURITIES LAW COMPLIANCE</w:t>
      </w:r>
    </w:p>
    <w:p>
      <w:pPr>
        <w:pStyle w:val="Heading2"/>
        <w:spacing w:after="160" w:before="280"/>
        <w:jc w:val="left"/>
      </w:pPr>
      <w:r>
        <w:rPr>
          <w:rFonts w:ascii="Calibri" w:cs="Calibri" w:eastAsia="Calibri" w:hAnsi="Calibri"/>
          <w:b/>
          <w:bCs/>
          <w:color w:val="1B3A5C"/>
          <w:sz w:val="26"/>
          <w:szCs w:val="26"/>
        </w:rPr>
        <w:t xml:space="preserve">9.1 Rule 701 Analysis</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the Board has reviewed the exemption from registration provided by Rule 701 under the Securities Act of 1933, as amended (the "Securities Act"), and has determined that the equity awards granted pursuant to this consent are being made in reliance on Rule 701. The Board confirms the following:</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The awards are being granted pursuant to a written compensatory benefit plan (the Plan) established by the Company for the participation of its employees, directors, general partners, trustees, officers, consultants, and advisors;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The Company is not subject to the reporting requirements of Section 13 or 15(d) of the Securities Exchange Act of 1934, as amended;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The awards are being granted to persons who are bona fide employees, directors, officers, consultants, or advisors of the Company within the meaning of Rule 701(c); and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The aggregate sales price or amount of securities sold in reliance on Rule 701 during any consecutive 12-month period does not and will not exceed the greatest of: (i) $1,000,000; (ii) 15% of the total assets of the Company, measured at the Company's most recent balance sheet date; or (iii) 15% of the outstanding amount of the class of securities being offered and sold in reliance on Rule 701, measured at the Company's most recent balance sheet date.</w:t>
      </w:r>
    </w:p>
    <w:p>
      <w:pPr>
        <w:pStyle w:val="Heading2"/>
        <w:spacing w:after="160" w:before="280"/>
        <w:jc w:val="left"/>
      </w:pPr>
      <w:r>
        <w:rPr>
          <w:rFonts w:ascii="Calibri" w:cs="Calibri" w:eastAsia="Calibri" w:hAnsi="Calibri"/>
          <w:b/>
          <w:bCs/>
          <w:color w:val="1B3A5C"/>
          <w:sz w:val="26"/>
          <w:szCs w:val="26"/>
        </w:rPr>
        <w:t xml:space="preserve">9.2 Rule 701 Ceiling Calculation</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000"/>
        <w:gridCol w:w="5360"/>
      </w:tblGrid>
      <w:tr>
        <w:trPr>
          <w:tblHeader/>
        </w:trPr>
        <w:tc>
          <w:tcPr>
            <w:tcW w:type="dxa" w:w="40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Rule 701 Parameter</w:t>
            </w:r>
          </w:p>
        </w:tc>
        <w:tc>
          <w:tcPr>
            <w:tcW w:type="dxa" w:w="536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Amount / Detail</w:t>
            </w:r>
          </w:p>
        </w:tc>
      </w:tr>
      <w:tr>
        <w:tc>
          <w:tcPr>
            <w:tcW w:type="dxa" w:w="4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Measurement Period</w:t>
            </w:r>
          </w:p>
        </w:tc>
        <w:tc>
          <w:tcPr>
            <w:tcW w:type="dxa" w:w="5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 through [DATE] (trailing 12 months)</w:t>
            </w:r>
          </w:p>
        </w:tc>
      </w:tr>
      <w:tr>
        <w:tc>
          <w:tcPr>
            <w:tcW w:type="dxa" w:w="4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Test (i): Dollar Ceiling</w:t>
            </w:r>
          </w:p>
        </w:tc>
        <w:tc>
          <w:tcPr>
            <w:tcW w:type="dxa" w:w="5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$1,000,000</w:t>
            </w:r>
          </w:p>
        </w:tc>
      </w:tr>
      <w:tr>
        <w:tc>
          <w:tcPr>
            <w:tcW w:type="dxa" w:w="4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Test (ii): 15% of Total Assets</w:t>
            </w:r>
          </w:p>
        </w:tc>
        <w:tc>
          <w:tcPr>
            <w:tcW w:type="dxa" w:w="5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$[AMOUNT] (based on [BALANCE SHEET DATE])</w:t>
            </w:r>
          </w:p>
        </w:tc>
      </w:tr>
      <w:tr>
        <w:tc>
          <w:tcPr>
            <w:tcW w:type="dxa" w:w="4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Test (iii): 15% of Outstanding Securities</w:t>
            </w:r>
          </w:p>
        </w:tc>
        <w:tc>
          <w:tcPr>
            <w:tcW w:type="dxa" w:w="5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 shares (based on [MEASUREMENT DATE])</w:t>
            </w:r>
          </w:p>
        </w:tc>
      </w:tr>
      <w:tr>
        <w:tc>
          <w:tcPr>
            <w:tcW w:type="dxa" w:w="4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Applicable Ceiling (greatest of above)</w:t>
            </w:r>
          </w:p>
        </w:tc>
        <w:tc>
          <w:tcPr>
            <w:tcW w:type="dxa" w:w="5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$[APPLICABLE CEILING] / [NUMBER] shares</w:t>
            </w:r>
          </w:p>
        </w:tc>
      </w:tr>
      <w:tr>
        <w:tc>
          <w:tcPr>
            <w:tcW w:type="dxa" w:w="4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Securities sold under Rule 701 in period</w:t>
            </w:r>
          </w:p>
        </w:tc>
        <w:tc>
          <w:tcPr>
            <w:tcW w:type="dxa" w:w="5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$[AMOUNT SOLD] / [NUMBER] shares sold</w:t>
            </w:r>
          </w:p>
        </w:tc>
      </w:tr>
      <w:tr>
        <w:tc>
          <w:tcPr>
            <w:tcW w:type="dxa" w:w="4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Securities authorized by this consent</w:t>
            </w:r>
          </w:p>
        </w:tc>
        <w:tc>
          <w:tcPr>
            <w:tcW w:type="dxa" w:w="5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$[AMOUNT] / [NUMBER] shares</w:t>
            </w:r>
          </w:p>
        </w:tc>
      </w:tr>
      <w:tr>
        <w:tc>
          <w:tcPr>
            <w:tcW w:type="dxa" w:w="4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Cumulative total (including this consent)</w:t>
            </w:r>
          </w:p>
        </w:tc>
        <w:tc>
          <w:tcPr>
            <w:tcW w:type="dxa" w:w="5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$[CUMULATIVE TOTAL] / [NUMBER] shares</w:t>
            </w:r>
          </w:p>
        </w:tc>
      </w:tr>
      <w:tr>
        <w:tc>
          <w:tcPr>
            <w:tcW w:type="dxa" w:w="4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Remaining headroom</w:t>
            </w:r>
          </w:p>
        </w:tc>
        <w:tc>
          <w:tcPr>
            <w:tcW w:type="dxa" w:w="5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$[REMAINING] / [NUMBER] shares</w:t>
            </w:r>
          </w:p>
        </w:tc>
      </w:tr>
      <w:tr>
        <w:tc>
          <w:tcPr>
            <w:tcW w:type="dxa" w:w="4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Compliance status</w:t>
            </w:r>
          </w:p>
        </w:tc>
        <w:tc>
          <w:tcPr>
            <w:tcW w:type="dxa" w:w="5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[WITHIN CEILING / SEE NOTE]</w:t>
            </w:r>
          </w:p>
        </w:tc>
      </w:tr>
    </w:tbl>
    <w:p>
      <w:pPr>
        <w:spacing w:after="80"/>
      </w:pPr>
    </w:p>
    <w:p>
      <w:pPr>
        <w:spacing w:after="160" w:before="0" w:line="276"/>
        <w:jc w:val="both"/>
      </w:pPr>
      <w:r>
        <w:rPr>
          <w:rFonts w:ascii="Calibri" w:cs="Calibri" w:eastAsia="Calibri" w:hAnsi="Calibri"/>
          <w:b w:val="false"/>
          <w:bCs w:val="false"/>
          <w:i w:val="false"/>
          <w:iCs w:val="false"/>
          <w:color w:val="2D2D2D"/>
          <w:sz w:val="22"/>
          <w:szCs w:val="22"/>
        </w:rPr>
        <w:t xml:space="preserve">A detailed Rule 701 compliance calculation is attached hereto as Exhibit C.</w:t>
      </w:r>
    </w:p>
    <w:p>
      <w:pPr>
        <w:spacing w:after="160" w:before="0" w:line="276"/>
        <w:jc w:val="both"/>
      </w:pPr>
      <w:r>
        <w:rPr>
          <w:rFonts w:ascii="Calibri" w:cs="Calibri" w:eastAsia="Calibri" w:hAnsi="Calibri"/>
          <w:b/>
          <w:bCs/>
          <w:color w:val="2D2D2D"/>
          <w:sz w:val="22"/>
          <w:szCs w:val="22"/>
        </w:rPr>
        <w:t xml:space="preserve">Enhanced Disclosure Requirement: </w:t>
      </w:r>
      <w:r>
        <w:rPr>
          <w:rFonts w:ascii="Calibri" w:cs="Calibri" w:eastAsia="Calibri" w:hAnsi="Calibri"/>
          <w:color w:val="2D2D2D"/>
          <w:sz w:val="22"/>
          <w:szCs w:val="22"/>
        </w:rPr>
        <w:t xml:space="preserve">If the aggregate sales price or amount of securities sold in reliance on Rule 701 during any consecutive 12-month period exceeds $10,000,000, the Company must provide each recipient with: (a) a copy of the Plan; (b) a summary of the Plan's material terms; (c) risk factors associated with investment in the Company's securities; (d) the Company's financial statements as of a date no more than 180 days before the date of sale (which, if the Company's aggregate Rule 701 sales exceed $10,000,000, must be audited); and (e) such other information as required by Rule 701(e).</w:t>
      </w:r>
    </w:p>
    <w:p>
      <w:pPr>
        <w:pStyle w:val="Heading2"/>
        <w:spacing w:after="160" w:before="280"/>
        <w:jc w:val="left"/>
      </w:pPr>
      <w:r>
        <w:rPr>
          <w:rFonts w:ascii="Calibri" w:cs="Calibri" w:eastAsia="Calibri" w:hAnsi="Calibri"/>
          <w:b/>
          <w:bCs/>
          <w:color w:val="1B3A5C"/>
          <w:sz w:val="26"/>
          <w:szCs w:val="26"/>
        </w:rPr>
        <w:t xml:space="preserve">9.3 Blue Sky Compliance</w:t>
      </w:r>
    </w:p>
    <w:p>
      <w:pPr>
        <w:spacing w:after="160" w:before="0" w:line="276"/>
        <w:jc w:val="both"/>
      </w:pPr>
      <w:r>
        <w:rPr>
          <w:rFonts w:ascii="Calibri" w:cs="Calibri" w:eastAsia="Calibri" w:hAnsi="Calibri"/>
          <w:b w:val="false"/>
          <w:bCs w:val="false"/>
          <w:i w:val="false"/>
          <w:iCs w:val="false"/>
          <w:color w:val="2D2D2D"/>
          <w:sz w:val="22"/>
          <w:szCs w:val="22"/>
        </w:rPr>
        <w:t xml:space="preserve">The Board has considered the state securities law ("blue sky") requirements applicable to the issuance of equity awards to recipients located in the following states: [LIST OF STATES WHERE RECIPIENTS ARE LOCATED]. The Board confirms that:</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Each state in which a recipient is located provides an exemption for compensatory securities issued pursuant to a qualified equity incentive plan;</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Any required notice filings or fee payments have been made or will be made prior to or within [NUMBER] days following the grant date; and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The Secretary is authorized to file any required notice forms (including Form D-related state notice filings, if applicable) in each relevant jurisdiction.</w:t>
      </w:r>
    </w:p>
    <w:p>
      <w:pPr>
        <w:pStyle w:val="Heading2"/>
        <w:spacing w:after="160" w:before="280"/>
        <w:jc w:val="left"/>
      </w:pPr>
      <w:r>
        <w:rPr>
          <w:rFonts w:ascii="Calibri" w:cs="Calibri" w:eastAsia="Calibri" w:hAnsi="Calibri"/>
          <w:b/>
          <w:bCs/>
          <w:color w:val="1B3A5C"/>
          <w:sz w:val="26"/>
          <w:szCs w:val="26"/>
        </w:rPr>
        <w:t xml:space="preserve">9.4 Form D Filing Requirements</w:t>
      </w:r>
    </w:p>
    <w:p>
      <w:pPr>
        <w:spacing w:after="160" w:before="0" w:line="276"/>
        <w:jc w:val="both"/>
      </w:pPr>
      <w:r>
        <w:rPr>
          <w:rFonts w:ascii="Calibri" w:cs="Calibri" w:eastAsia="Calibri" w:hAnsi="Calibri"/>
          <w:b w:val="false"/>
          <w:bCs w:val="false"/>
          <w:i w:val="false"/>
          <w:iCs w:val="false"/>
          <w:color w:val="2D2D2D"/>
          <w:sz w:val="22"/>
          <w:szCs w:val="22"/>
        </w:rPr>
        <w:t xml:space="preserve">To the extent the Company relies on Section 4(a)(2) of the Securities Act or Regulation D thereunder (in addition to or in lieu of Rule 701) for the issuance of securities pursuant to the Plan, the Board directs the Secretary to:</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File a Form D with the SEC within fifteen (15) days following the first sale of securities in reliance on Regulation D, and file any required amendments thereto;</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File any required state notice filings in connection with the Form D filing; and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Maintain records of all sales made in reliance on Regulation D, including the identity of each purchaser, the number and type of securities purchased, the consideration paid, and the exemption relied upon.</w:t>
      </w:r>
    </w:p>
    <w:p>
      <w:pPr>
        <w:pStyle w:val="Heading2"/>
        <w:spacing w:after="160" w:before="280"/>
        <w:jc w:val="left"/>
      </w:pPr>
      <w:r>
        <w:rPr>
          <w:rFonts w:ascii="Calibri" w:cs="Calibri" w:eastAsia="Calibri" w:hAnsi="Calibri"/>
          <w:b/>
          <w:bCs/>
          <w:color w:val="1B3A5C"/>
          <w:sz w:val="26"/>
          <w:szCs w:val="26"/>
        </w:rPr>
        <w:t xml:space="preserve">9.5 Restricted Stock Legends</w:t>
      </w:r>
    </w:p>
    <w:p>
      <w:pPr>
        <w:spacing w:after="160" w:before="0" w:line="276"/>
        <w:jc w:val="both"/>
      </w:pPr>
      <w:r>
        <w:rPr>
          <w:rFonts w:ascii="Calibri" w:cs="Calibri" w:eastAsia="Calibri" w:hAnsi="Calibri"/>
          <w:b w:val="false"/>
          <w:bCs w:val="false"/>
          <w:i w:val="false"/>
          <w:iCs w:val="false"/>
          <w:color w:val="2D2D2D"/>
          <w:sz w:val="22"/>
          <w:szCs w:val="22"/>
        </w:rPr>
        <w:t xml:space="preserve">All shares of Common Stock issued pursuant to equity awards granted hereunder shall bear the legends set forth in Section 6.6 of this consent, plus any additional legends required by applicable state securities laws. The Company's transfer agent shall be instructed to impose stop-transfer instructions with respect to all such shares until the applicable legends may be removed in accordance with applicable law.</w:t>
      </w:r>
    </w:p>
    <w:p>
      <w:pPr>
        <w:pStyle w:val="Heading2"/>
        <w:spacing w:after="160" w:before="280"/>
        <w:jc w:val="left"/>
      </w:pPr>
      <w:r>
        <w:rPr>
          <w:rFonts w:ascii="Calibri" w:cs="Calibri" w:eastAsia="Calibri" w:hAnsi="Calibri"/>
          <w:b/>
          <w:bCs/>
          <w:color w:val="1B3A5C"/>
          <w:sz w:val="26"/>
          <w:szCs w:val="26"/>
        </w:rPr>
        <w:t xml:space="preserve">9.6 Lock-Up Provisions</w:t>
      </w:r>
    </w:p>
    <w:p>
      <w:pPr>
        <w:spacing w:after="160" w:before="0" w:line="276"/>
        <w:jc w:val="both"/>
      </w:pPr>
      <w:r>
        <w:rPr>
          <w:rFonts w:ascii="Calibri" w:cs="Calibri" w:eastAsia="Calibri" w:hAnsi="Calibri"/>
          <w:b w:val="false"/>
          <w:bCs w:val="false"/>
          <w:i w:val="false"/>
          <w:iCs w:val="false"/>
          <w:color w:val="2D2D2D"/>
          <w:sz w:val="22"/>
          <w:szCs w:val="22"/>
        </w:rPr>
        <w:t xml:space="preserve">Each recipient of an equity award granted hereunder shall, as a condition to the grant, agree to enter into a lock-up agreement in connection with any future underwritten public offering of the Company's securities, pursuant to which the recipient shall agree not to sell, transfer, or otherwise dispose of any shares of Common Stock (including shares acquired upon exercise or settlement of awards) for a period of up to [ONE HUNDRED EIGHTY (180)] days following the effective date of the registration statement for such offering, or such shorter period as may be agreed to by the managing underwriter(s). This obligation shall be set forth in each award agreement.</w:t>
      </w:r>
    </w:p>
    <w:p>
      <w:r>
        <w:br w:type="page"/>
      </w:r>
    </w:p>
    <w:p>
      <w:pPr>
        <w:pStyle w:val="Heading1"/>
        <w:spacing w:after="160" w:before="360"/>
        <w:jc w:val="center"/>
      </w:pPr>
      <w:r>
        <w:rPr>
          <w:rFonts w:ascii="Calibri" w:cs="Calibri" w:eastAsia="Calibri" w:hAnsi="Calibri"/>
          <w:b/>
          <w:bCs/>
          <w:color w:val="1B3A5C"/>
          <w:sz w:val="32"/>
          <w:szCs w:val="32"/>
        </w:rPr>
        <w:t xml:space="preserve">SECTION 10: FORM AGREEMENTS</w:t>
      </w:r>
    </w:p>
    <w:p>
      <w:pPr>
        <w:pStyle w:val="Heading2"/>
        <w:spacing w:after="160" w:before="280"/>
        <w:jc w:val="left"/>
      </w:pPr>
      <w:r>
        <w:rPr>
          <w:rFonts w:ascii="Calibri" w:cs="Calibri" w:eastAsia="Calibri" w:hAnsi="Calibri"/>
          <w:b/>
          <w:bCs/>
          <w:color w:val="1B3A5C"/>
          <w:sz w:val="26"/>
          <w:szCs w:val="26"/>
        </w:rPr>
        <w:t xml:space="preserve">10.1 Authorization of Form Agreements</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the Board hereby approves and adopts the following form agreements for use in connection with the equity awards granted pursuant to this consent:</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Form of Stock Option Agreement (attached hereto as Exhibit D or incorporated by reference to the form previously approved by the Board on [DATE]), which shall be used for all option grants (both ISOs and NQSOs);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Form of Restricted Stock Purchase Agreement (attached hereto as Exhibit E or incorporated by reference to the form previously approved by the Board on [DATE]), which shall be used for all Restricted Stock Awards, together with the form of Section 83(b) Election and the form of Stock Assignment Separate from Certificate appended thereto;</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Form of RSU Agreement (attached hereto as Exhibit F or incorporated by reference to the form previously approved by the Board on [DATE]), which shall be used for all RSU awards.</w:t>
      </w:r>
    </w:p>
    <w:p>
      <w:pPr>
        <w:pStyle w:val="Heading2"/>
        <w:spacing w:after="160" w:before="280"/>
        <w:jc w:val="left"/>
      </w:pPr>
      <w:r>
        <w:rPr>
          <w:rFonts w:ascii="Calibri" w:cs="Calibri" w:eastAsia="Calibri" w:hAnsi="Calibri"/>
          <w:b/>
          <w:bCs/>
          <w:color w:val="1B3A5C"/>
          <w:sz w:val="26"/>
          <w:szCs w:val="26"/>
        </w:rPr>
        <w:t xml:space="preserve">10.2 Approved Modifications</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the Board hereby authorizes the [CEO / President / General Counsel / Plan Administrator] to make such modifications to the form agreements as are necessary or appropriate to:</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Reflect the specific terms of each individual award (including the number of shares, exercise price, vesting schedule, and other grant-specific terms);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Comply with applicable federal, state, and local laws (including tax and securities laws);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Comply with the requirements of any foreign jurisdiction in which a recipient is located or provides services;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Incorporate non-material administrative changes, corrections of typographical errors, or clarifications that do not alter the substantive terms of the award; and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(e) Add or modify clawback, forfeiture, non-competition, non-solicitation, or confidentiality provisions to the extent consistent with Company policy and applicable law.</w:t>
      </w:r>
    </w:p>
    <w:p>
      <w:pPr>
        <w:spacing w:after="160" w:before="0" w:line="276"/>
        <w:jc w:val="both"/>
      </w:pPr>
      <w:r>
        <w:rPr>
          <w:rFonts w:ascii="Calibri" w:cs="Calibri" w:eastAsia="Calibri" w:hAnsi="Calibri"/>
          <w:b w:val="false"/>
          <w:bCs w:val="false"/>
          <w:i w:val="false"/>
          <w:iCs w:val="false"/>
          <w:color w:val="2D2D2D"/>
          <w:sz w:val="22"/>
          <w:szCs w:val="22"/>
        </w:rPr>
        <w:t xml:space="preserve">Any modification that would materially increase the cost to the Company, materially alter the economic terms of the award, or contravene the terms of the Plan shall require separate Board approval.</w:t>
      </w:r>
    </w:p>
    <w:p>
      <w:pPr>
        <w:pStyle w:val="Heading2"/>
        <w:spacing w:after="160" w:before="280"/>
        <w:jc w:val="left"/>
      </w:pPr>
      <w:r>
        <w:rPr>
          <w:rFonts w:ascii="Calibri" w:cs="Calibri" w:eastAsia="Calibri" w:hAnsi="Calibri"/>
          <w:b/>
          <w:bCs/>
          <w:color w:val="1B3A5C"/>
          <w:sz w:val="26"/>
          <w:szCs w:val="26"/>
        </w:rPr>
        <w:t xml:space="preserve">10.3 Execution Authority</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any one of the following officers of the Company is hereby authorized and directed to execute, on behalf of the Company, each award agreement in the form(s) approved herein, with such individual modifications as are permitted under Section 10.2:</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[OFFICER NAME], [TITLE]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[OFFICER NAME], [TITLE]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[OFFICER NAME], [TITLE]</w:t>
      </w:r>
    </w:p>
    <w:p>
      <w:pPr>
        <w:spacing w:after="160" w:before="0" w:line="276"/>
        <w:jc w:val="both"/>
      </w:pPr>
      <w:r>
        <w:rPr>
          <w:rFonts w:ascii="Calibri" w:cs="Calibri" w:eastAsia="Calibri" w:hAnsi="Calibri"/>
          <w:b w:val="false"/>
          <w:bCs w:val="false"/>
          <w:i w:val="false"/>
          <w:iCs w:val="false"/>
          <w:color w:val="2D2D2D"/>
          <w:sz w:val="22"/>
          <w:szCs w:val="22"/>
        </w:rPr>
        <w:t xml:space="preserve">Such officer(s) are further authorized to execute any ancillary documents, including stock certificates, stock powers, escrow agreements, and any other documents necessary or appropriate to effectuate the grants approved herein.</w:t>
      </w:r>
    </w:p>
    <w:p>
      <w:pPr>
        <w:spacing w:after="160" w:before="0" w:line="276"/>
        <w:jc w:val="both"/>
      </w:pPr>
      <w:r>
        <w:rPr>
          <w:rFonts w:ascii="Calibri" w:cs="Calibri" w:eastAsia="Calibri" w:hAnsi="Calibri"/>
          <w:b w:val="false"/>
          <w:bCs w:val="false"/>
          <w:i w:val="false"/>
          <w:iCs w:val="false"/>
          <w:color w:val="2D2D2D"/>
          <w:sz w:val="22"/>
          <w:szCs w:val="22"/>
        </w:rPr>
        <w:t xml:space="preserve">The Board further authorizes the use of electronic signatures (including DocuSign, Adobe Sign, or other platforms approved by the Company) for the execution of award agreements and related documents.</w:t>
      </w:r>
    </w:p>
    <w:p>
      <w:r>
        <w:br w:type="page"/>
      </w:r>
    </w:p>
    <w:p>
      <w:pPr>
        <w:pStyle w:val="Heading1"/>
        <w:spacing w:after="160" w:before="360"/>
        <w:jc w:val="center"/>
      </w:pPr>
      <w:r>
        <w:rPr>
          <w:rFonts w:ascii="Calibri" w:cs="Calibri" w:eastAsia="Calibri" w:hAnsi="Calibri"/>
          <w:b/>
          <w:bCs/>
          <w:color w:val="1B3A5C"/>
          <w:sz w:val="32"/>
          <w:szCs w:val="32"/>
        </w:rPr>
        <w:t xml:space="preserve">SECTION 11: TAX COMPLIANCE</w:t>
      </w:r>
    </w:p>
    <w:p>
      <w:pPr>
        <w:pStyle w:val="Heading2"/>
        <w:spacing w:after="160" w:before="280"/>
        <w:jc w:val="left"/>
      </w:pPr>
      <w:r>
        <w:rPr>
          <w:rFonts w:ascii="Calibri" w:cs="Calibri" w:eastAsia="Calibri" w:hAnsi="Calibri"/>
          <w:b/>
          <w:bCs/>
          <w:color w:val="1B3A5C"/>
          <w:sz w:val="26"/>
          <w:szCs w:val="26"/>
        </w:rPr>
        <w:t xml:space="preserve">11.1 ISO Qualification Requirements</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the Board intends that each option designated as an "Incentive Stock Option" or "ISO" in the Grant Schedule shall qualify as an incentive stock option under Section 422 of the Code, and that all terms and conditions of such options shall be construed consistently with such intent. The Board confirms the following ISO qualification requirements: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Each ISO is granted to an individual who is an employee of the Company (or a parent or subsidiary corporation within the meaning of Section 424 of the Code) at the time of grant;</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The exercise price of each ISO is not less than 100% of the FMV of the Common Stock on the date of grant (110% for Ten Percent Stockholders);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The term of each ISO does not exceed ten (10) years from the date of grant (five (5) years for Ten Percent Stockholders);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Each ISO is granted under the Plan, which has been approved by the stockholders within twelve (12) months before or after the date of adoption;</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(e) The aggregate fair market value of Common Stock with respect to which ISOs are exercisable for the first time by any recipient during any calendar year does not exceed $100,000 (the "ISO Limit"); and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(f) Each ISO is not transferable by the recipient other than by will or the laws of descent and distribution, and is exercisable during the recipient's lifetime only by the recipient.</w:t>
      </w:r>
    </w:p>
    <w:p>
      <w:pPr>
        <w:pStyle w:val="Heading2"/>
        <w:spacing w:after="160" w:before="280"/>
        <w:jc w:val="left"/>
      </w:pPr>
      <w:r>
        <w:rPr>
          <w:rFonts w:ascii="Calibri" w:cs="Calibri" w:eastAsia="Calibri" w:hAnsi="Calibri"/>
          <w:b/>
          <w:bCs/>
          <w:color w:val="1B3A5C"/>
          <w:sz w:val="26"/>
          <w:szCs w:val="26"/>
        </w:rPr>
        <w:t xml:space="preserve">11.2 NQSO Withholding</w:t>
      </w:r>
    </w:p>
    <w:p>
      <w:pPr>
        <w:spacing w:after="160" w:before="0" w:line="276"/>
        <w:jc w:val="both"/>
      </w:pPr>
      <w:r>
        <w:rPr>
          <w:rFonts w:ascii="Calibri" w:cs="Calibri" w:eastAsia="Calibri" w:hAnsi="Calibri"/>
          <w:b w:val="false"/>
          <w:bCs w:val="false"/>
          <w:i w:val="false"/>
          <w:iCs w:val="false"/>
          <w:color w:val="2D2D2D"/>
          <w:sz w:val="22"/>
          <w:szCs w:val="22"/>
        </w:rPr>
        <w:t xml:space="preserve">For each nonqualified stock option ("NQSO") granted hereunder, the Company shall withhold (or require the optionee to remit) an amount sufficient to satisfy all applicable federal, state, local, and foreign income and employment tax withholding obligations arising from the exercise of such NQSO. The amount of income recognized upon exercise of an NQSO is equal to the excess of the fair market value of the shares received upon exercise over the exercise price paid.</w:t>
      </w:r>
    </w:p>
    <w:p>
      <w:pPr>
        <w:spacing w:after="160" w:before="0" w:line="276"/>
        <w:jc w:val="both"/>
      </w:pPr>
      <w:r>
        <w:rPr>
          <w:rFonts w:ascii="Calibri" w:cs="Calibri" w:eastAsia="Calibri" w:hAnsi="Calibri"/>
          <w:b w:val="false"/>
          <w:bCs w:val="false"/>
          <w:i w:val="false"/>
          <w:iCs w:val="false"/>
          <w:color w:val="2D2D2D"/>
          <w:sz w:val="22"/>
          <w:szCs w:val="22"/>
        </w:rPr>
        <w:t xml:space="preserve">The Company shall report such income on the optionee's Form W-2 (for employees) or Form 1099-NEC (for non-employees) for the calendar year in which exercise occurs, and shall remit all applicable withholding taxes to the appropriate taxing authorities in accordance with applicable law.</w:t>
      </w:r>
    </w:p>
    <w:p>
      <w:pPr>
        <w:pStyle w:val="Heading2"/>
        <w:spacing w:after="160" w:before="280"/>
        <w:jc w:val="left"/>
      </w:pPr>
      <w:r>
        <w:rPr>
          <w:rFonts w:ascii="Calibri" w:cs="Calibri" w:eastAsia="Calibri" w:hAnsi="Calibri"/>
          <w:b/>
          <w:bCs/>
          <w:color w:val="1B3A5C"/>
          <w:sz w:val="26"/>
          <w:szCs w:val="26"/>
        </w:rPr>
        <w:t xml:space="preserve">11.3 Section 83(b) Procedures</w:t>
      </w:r>
    </w:p>
    <w:p>
      <w:pPr>
        <w:spacing w:after="160" w:before="0" w:line="276"/>
        <w:jc w:val="both"/>
      </w:pPr>
      <w:r>
        <w:rPr>
          <w:rFonts w:ascii="Calibri" w:cs="Calibri" w:eastAsia="Calibri" w:hAnsi="Calibri"/>
          <w:b w:val="false"/>
          <w:bCs w:val="false"/>
          <w:i w:val="false"/>
          <w:iCs w:val="false"/>
          <w:color w:val="2D2D2D"/>
          <w:sz w:val="22"/>
          <w:szCs w:val="22"/>
        </w:rPr>
        <w:t xml:space="preserve">The Company shall implement the following procedures for Section 83(b) Elections in connection with Restricted Stock Awards: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At the time of each RSA grant, the Company shall provide the recipient with a copy of the form Section 83(b) Election (attached to the Restricted Stock Purchase Agreement), together with written instructions regarding the filing requirements and deadline;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The Company shall maintain a log of all 83(b) Elections filed by recipients, including the date of filing, the date a copy was received by the Company, and the number of shares covered;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The Company shall not provide tax advice regarding whether a recipient should file an 83(b) Election, but shall direct each recipient to consult with his or her own tax advisor; and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The Company's legal counsel shall review each 83(b) Election form for completeness before providing it to the recipient.</w:t>
      </w:r>
    </w:p>
    <w:p>
      <w:pPr>
        <w:pStyle w:val="Heading2"/>
        <w:spacing w:after="160" w:before="280"/>
        <w:jc w:val="left"/>
      </w:pPr>
      <w:r>
        <w:rPr>
          <w:rFonts w:ascii="Calibri" w:cs="Calibri" w:eastAsia="Calibri" w:hAnsi="Calibri"/>
          <w:b/>
          <w:bCs/>
          <w:color w:val="1B3A5C"/>
          <w:sz w:val="26"/>
          <w:szCs w:val="26"/>
        </w:rPr>
        <w:t xml:space="preserve">11.4 Section 409A Compliance</w:t>
      </w:r>
    </w:p>
    <w:p>
      <w:pPr>
        <w:spacing w:after="160" w:before="0" w:line="276"/>
        <w:jc w:val="both"/>
      </w:pPr>
      <w:r>
        <w:rPr>
          <w:rFonts w:ascii="Calibri" w:cs="Calibri" w:eastAsia="Calibri" w:hAnsi="Calibri"/>
          <w:b w:val="false"/>
          <w:bCs w:val="false"/>
          <w:i w:val="false"/>
          <w:iCs w:val="false"/>
          <w:color w:val="2D2D2D"/>
          <w:sz w:val="22"/>
          <w:szCs w:val="22"/>
        </w:rPr>
        <w:t xml:space="preserve">The Board has reviewed the equity awards granted hereunder for compliance with Section 409A of the Code and confirms: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Stock options: Each option granted hereunder is exempt from Section 409A pursuant to the "stock rights" exemption set forth in Treasury Regulation Section 1.409A-1(b)(5), provided that (i) the exercise price is not less than FMV on the date of grant, (ii) the option covers "service recipient stock," (iii) the option does not include any feature for the deferral of compensation beyond exercise, and (iv) the option is not modified or extended in a manner that would constitute a new grant or a material modification.</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Restricted Stock: RSAs are generally exempt from Section 409A because they involve a transfer of property (not a mere promise to transfer property in the future). The timing of income inclusion is governed by Section 83 of the Code.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RSUs: RSU awards are subject to Section 409A if they constitute "deferred compensation" (which they generally do unless they qualify for the "short-term deferral" exemption under Treasury Regulation Section 1.409A-1(b)(4)). The Board intends that RSU awards granted hereunder comply with Section 409A, including with respect to the timing and form of settlement, the identification of permissible distribution events, and the prohibition on acceleration of settlement except as specifically permitted by the regulations.</w:t>
      </w:r>
    </w:p>
    <w:p>
      <w:pPr>
        <w:pStyle w:val="Heading2"/>
        <w:spacing w:after="160" w:before="280"/>
        <w:jc w:val="left"/>
      </w:pPr>
      <w:r>
        <w:rPr>
          <w:rFonts w:ascii="Calibri" w:cs="Calibri" w:eastAsia="Calibri" w:hAnsi="Calibri"/>
          <w:b/>
          <w:bCs/>
          <w:color w:val="1B3A5C"/>
          <w:sz w:val="26"/>
          <w:szCs w:val="26"/>
        </w:rPr>
        <w:t xml:space="preserve">11.5 Employment Tax Reporting</w:t>
      </w:r>
    </w:p>
    <w:p>
      <w:pPr>
        <w:spacing w:after="160" w:before="0" w:line="276"/>
        <w:jc w:val="both"/>
      </w:pPr>
      <w:r>
        <w:rPr>
          <w:rFonts w:ascii="Calibri" w:cs="Calibri" w:eastAsia="Calibri" w:hAnsi="Calibri"/>
          <w:b w:val="false"/>
          <w:bCs w:val="false"/>
          <w:i w:val="false"/>
          <w:iCs w:val="false"/>
          <w:color w:val="2D2D2D"/>
          <w:sz w:val="22"/>
          <w:szCs w:val="22"/>
        </w:rPr>
        <w:t xml:space="preserve">The Company shall comply with all applicable employment tax reporting obligations in connection with the equity awards granted hereunder, including:</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FICA/FUTA: Income recognized upon exercise of NQSOs, vesting of RSAs (absent an 83(b) Election), and settlement of RSUs constitutes wages subject to FICA (Social Security and Medicare) and FUTA taxes at the time of such event;</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Federal Income Tax Withholding: The Company shall withhold federal income taxes from such wages at the applicable supplemental wage rate or, if aggregate supplemental wages exceed $1,000,000, at the maximum marginal rate;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State and Local Tax Withholding: The Company shall withhold state and local income taxes as required by the laws of the jurisdiction(s) in which the recipient performs services;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Reporting: The Company shall report compensation income on Form W-2 (for employees) or Form 1099-NEC (for consultants and other non-employees) in accordance with applicable law.</w:t>
      </w:r>
    </w:p>
    <w:p>
      <w:pPr>
        <w:pStyle w:val="Heading2"/>
        <w:spacing w:after="160" w:before="280"/>
        <w:jc w:val="left"/>
      </w:pPr>
      <w:r>
        <w:rPr>
          <w:rFonts w:ascii="Calibri" w:cs="Calibri" w:eastAsia="Calibri" w:hAnsi="Calibri"/>
          <w:b/>
          <w:bCs/>
          <w:color w:val="1B3A5C"/>
          <w:sz w:val="26"/>
          <w:szCs w:val="26"/>
        </w:rPr>
        <w:t xml:space="preserve">11.6 Form 3921 Obligations</w:t>
      </w:r>
    </w:p>
    <w:p>
      <w:pPr>
        <w:spacing w:after="160" w:before="0" w:line="276"/>
        <w:jc w:val="both"/>
      </w:pPr>
      <w:r>
        <w:rPr>
          <w:rFonts w:ascii="Calibri" w:cs="Calibri" w:eastAsia="Calibri" w:hAnsi="Calibri"/>
          <w:b w:val="false"/>
          <w:bCs w:val="false"/>
          <w:i w:val="false"/>
          <w:iCs w:val="false"/>
          <w:color w:val="2D2D2D"/>
          <w:sz w:val="22"/>
          <w:szCs w:val="22"/>
        </w:rPr>
        <w:t xml:space="preserve">Pursuant to Section 6039 of the Code, the Company shall furnish a written statement (Form 3921) to each person who exercises an ISO during any calendar year, no later than January 31 of the following year. Form 3921 shall include: (a) the name, address, and employer identification number of the Company; (b) the name, address, and social security number of the person exercising the ISO; (c) the date of the ISO grant; (d) the exercise price per share; (e) the date of exercise; (f) the fair market value per share on the date of exercise; and (g) the number of shares transferred pursuant to the exercise.</w:t>
      </w:r>
    </w:p>
    <w:p>
      <w:pPr>
        <w:spacing w:after="160" w:before="0" w:line="276"/>
        <w:jc w:val="both"/>
      </w:pPr>
      <w:r>
        <w:rPr>
          <w:rFonts w:ascii="Calibri" w:cs="Calibri" w:eastAsia="Calibri" w:hAnsi="Calibri"/>
          <w:b w:val="false"/>
          <w:bCs w:val="false"/>
          <w:i w:val="false"/>
          <w:iCs w:val="false"/>
          <w:color w:val="2D2D2D"/>
          <w:sz w:val="22"/>
          <w:szCs w:val="22"/>
        </w:rPr>
        <w:t xml:space="preserve">The Company shall also file Form 3921 with the IRS (as part of a Form 3922 transmittal, if applicable) by February 28 (or March 31, if filing electronically) of the year following the calendar year in which the exercise occurs.</w:t>
      </w:r>
    </w:p>
    <w:p>
      <w:r>
        <w:br w:type="page"/>
      </w:r>
    </w:p>
    <w:p>
      <w:pPr>
        <w:pStyle w:val="Heading1"/>
        <w:spacing w:after="160" w:before="360"/>
        <w:jc w:val="center"/>
      </w:pPr>
      <w:r>
        <w:rPr>
          <w:rFonts w:ascii="Calibri" w:cs="Calibri" w:eastAsia="Calibri" w:hAnsi="Calibri"/>
          <w:b/>
          <w:bCs/>
          <w:color w:val="1B3A5C"/>
          <w:sz w:val="32"/>
          <w:szCs w:val="32"/>
        </w:rPr>
        <w:t xml:space="preserve">SECTION 12: ADMINISTRATIVE MATTERS</w:t>
      </w:r>
    </w:p>
    <w:p>
      <w:pPr>
        <w:pStyle w:val="Heading2"/>
        <w:spacing w:after="160" w:before="280"/>
        <w:jc w:val="left"/>
      </w:pPr>
      <w:r>
        <w:rPr>
          <w:rFonts w:ascii="Calibri" w:cs="Calibri" w:eastAsia="Calibri" w:hAnsi="Calibri"/>
          <w:b/>
          <w:bCs/>
          <w:color w:val="1B3A5C"/>
          <w:sz w:val="26"/>
          <w:szCs w:val="26"/>
        </w:rPr>
        <w:t xml:space="preserve">12.1 Plan Administrator Designation</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[the Board / the Compensation Committee / [NAME], [TITLE]] is hereby designated as the Plan Administrator for purposes of the Plan and the awards granted pursuant to this consent. The Plan Administrator shall have the authority to:</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Interpret the terms and provisions of the Plan and each award agreement;</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Prescribe, amend, and rescind rules and regulations relating to the administration of the Plan;</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Determine all questions of fact arising under the Plan, including questions of eligibility, the number of shares subject to awards, and the terms of vesting and exercise;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Make all other determinations and take all other actions necessary or advisable for the administration of the Plan;</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(e) Delegate ministerial and administrative functions to one or more officers or employees of the Company, to the extent permitted by the Plan and applicable law; and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(f) Engage legal counsel, accountants, consultants, and other advisors as the Plan Administrator deems necessary or appropriate.</w:t>
      </w:r>
    </w:p>
    <w:p>
      <w:pPr>
        <w:pStyle w:val="Heading2"/>
        <w:spacing w:after="160" w:before="280"/>
        <w:jc w:val="left"/>
      </w:pPr>
      <w:r>
        <w:rPr>
          <w:rFonts w:ascii="Calibri" w:cs="Calibri" w:eastAsia="Calibri" w:hAnsi="Calibri"/>
          <w:b/>
          <w:bCs/>
          <w:color w:val="1B3A5C"/>
          <w:sz w:val="26"/>
          <w:szCs w:val="26"/>
        </w:rPr>
        <w:t xml:space="preserve">12.2 Electronic Delivery Authorization</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the Plan Administrator is hereby authorized to deliver any documents related to the Plan and awards granted thereunder (including the Plan, award agreements, prospectus, annual reports, proxy materials, and other documents required to be delivered under federal or state securities laws) by electronic means, including by posting on an intranet or other internal website, delivery via email, or through an electronic equity management platform (such as [CARTA / SHAREWORKS / EQUITY EDGE / OTHER PLATFORM]).</w:t>
      </w:r>
    </w:p>
    <w:p>
      <w:pPr>
        <w:spacing w:after="160" w:before="0" w:line="276"/>
        <w:jc w:val="both"/>
      </w:pPr>
      <w:r>
        <w:rPr>
          <w:rFonts w:ascii="Calibri" w:cs="Calibri" w:eastAsia="Calibri" w:hAnsi="Calibri"/>
          <w:b w:val="false"/>
          <w:bCs w:val="false"/>
          <w:i w:val="false"/>
          <w:iCs w:val="false"/>
          <w:color w:val="2D2D2D"/>
          <w:sz w:val="22"/>
          <w:szCs w:val="22"/>
        </w:rPr>
        <w:t xml:space="preserve">Recipients shall be deemed to have consented to electronic delivery upon their acceptance of an award agreement, unless the recipient affirmatively objects in writing and requests paper delivery.</w:t>
      </w:r>
    </w:p>
    <w:p>
      <w:pPr>
        <w:pStyle w:val="Heading2"/>
        <w:spacing w:after="160" w:before="280"/>
        <w:jc w:val="left"/>
      </w:pPr>
      <w:r>
        <w:rPr>
          <w:rFonts w:ascii="Calibri" w:cs="Calibri" w:eastAsia="Calibri" w:hAnsi="Calibri"/>
          <w:b/>
          <w:bCs/>
          <w:color w:val="1B3A5C"/>
          <w:sz w:val="26"/>
          <w:szCs w:val="26"/>
        </w:rPr>
        <w:t xml:space="preserve">12.3 Capitalization Table Update</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the Secretary is hereby directed to update the Company's capitalization table within [FIVE (5)] business days of the Effective Date to reflect all equity awards granted pursuant to this consent. The updated capitalization table shall include: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The total number of shares of Common Stock outstanding (on an actual and fully diluted basis);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The total number of shares reserved under the Plan;</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The total number of shares subject to outstanding awards (broken down by award type);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The total number of shares available for future grants under the Plan;</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(e) The weighted average exercise price of outstanding options;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(f) The names of all equity holders and option holders, the number of shares held or subject to awards, and the vesting status thereof; and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(g) Any other information customarily included in the Company's capitalization table.</w:t>
      </w:r>
    </w:p>
    <w:p>
      <w:pPr>
        <w:pStyle w:val="Heading2"/>
        <w:spacing w:after="160" w:before="280"/>
        <w:jc w:val="left"/>
      </w:pPr>
      <w:r>
        <w:rPr>
          <w:rFonts w:ascii="Calibri" w:cs="Calibri" w:eastAsia="Calibri" w:hAnsi="Calibri"/>
          <w:b/>
          <w:bCs/>
          <w:color w:val="1B3A5C"/>
          <w:sz w:val="26"/>
          <w:szCs w:val="26"/>
        </w:rPr>
        <w:t xml:space="preserve">12.4 Stock Ledger Entries</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the Secretary is hereby directed to make entries in the Company's stock ledger reflecting the issuance of shares of Common Stock in connection with Restricted Stock Awards (subject to the Company's repurchase right), and to record the grant of options and RSUs in the Company's equity management records. Such entries shall include: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The name of each recipient;</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The type of award;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The date of grant;</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The number of shares subject to the award;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(e) The exercise price (for options) or purchase price (for RSAs);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(f) The vesting schedule and vesting commencement date;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(g) The certificate number (if applicable) and any legend or stop-transfer instructions; and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(h) Any other information required to be maintained under the Company's Bylaws, the Plan, or applicable law.</w:t>
      </w:r>
    </w:p>
    <w:p>
      <w:pPr>
        <w:pStyle w:val="Heading2"/>
        <w:spacing w:after="160" w:before="280"/>
        <w:jc w:val="left"/>
      </w:pPr>
      <w:r>
        <w:rPr>
          <w:rFonts w:ascii="Calibri" w:cs="Calibri" w:eastAsia="Calibri" w:hAnsi="Calibri"/>
          <w:b/>
          <w:bCs/>
          <w:color w:val="1B3A5C"/>
          <w:sz w:val="26"/>
          <w:szCs w:val="26"/>
        </w:rPr>
        <w:t xml:space="preserve">12.5 Legal Opinion Authorization</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the Board hereby authorizes the Company's legal counsel to render such legal opinions as may be required in connection with the issuance of shares of Common Stock pursuant to the equity awards granted hereunder, including without limitation opinions regarding:</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The exemption of such issuances from registration under the Securities Act pursuant to Rule 701 or other applicable exemptions;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Compliance with applicable state securities laws;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The validity of the shares when issued; and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Such other matters as may be required by the Company's transfer agent, auditors, or other advisors.</w:t>
      </w:r>
    </w:p>
    <w:p>
      <w:pPr>
        <w:spacing w:after="160" w:before="0" w:line="276"/>
        <w:jc w:val="both"/>
      </w:pPr>
      <w:r>
        <w:rPr>
          <w:rFonts w:ascii="Calibri" w:cs="Calibri" w:eastAsia="Calibri" w:hAnsi="Calibri"/>
          <w:b w:val="false"/>
          <w:bCs w:val="false"/>
          <w:i w:val="false"/>
          <w:iCs w:val="false"/>
          <w:color w:val="2D2D2D"/>
          <w:sz w:val="22"/>
          <w:szCs w:val="22"/>
        </w:rPr>
        <w:t xml:space="preserve">The Company shall reimburse its legal counsel for all reasonable and documented fees and expenses incurred in connection with the rendering of such opinions.</w:t>
      </w:r>
    </w:p>
    <w:p>
      <w:r>
        <w:br w:type="page"/>
      </w:r>
    </w:p>
    <w:p>
      <w:pPr>
        <w:pStyle w:val="Heading1"/>
        <w:spacing w:after="160" w:before="360"/>
        <w:jc w:val="center"/>
      </w:pPr>
      <w:r>
        <w:rPr>
          <w:rFonts w:ascii="Calibri" w:cs="Calibri" w:eastAsia="Calibri" w:hAnsi="Calibri"/>
          <w:b/>
          <w:bCs/>
          <w:color w:val="1B3A5C"/>
          <w:sz w:val="32"/>
          <w:szCs w:val="32"/>
        </w:rPr>
        <w:t xml:space="preserve">SECTION 13: GENERAL PROVISIONS</w:t>
      </w:r>
    </w:p>
    <w:p>
      <w:pPr>
        <w:pStyle w:val="Heading2"/>
        <w:spacing w:after="160" w:before="280"/>
        <w:jc w:val="left"/>
      </w:pPr>
      <w:r>
        <w:rPr>
          <w:rFonts w:ascii="Calibri" w:cs="Calibri" w:eastAsia="Calibri" w:hAnsi="Calibri"/>
          <w:b/>
          <w:bCs/>
          <w:color w:val="1B3A5C"/>
          <w:sz w:val="26"/>
          <w:szCs w:val="26"/>
        </w:rPr>
        <w:t xml:space="preserve">13.1 Counterparts and Electronic Execution</w:t>
      </w:r>
    </w:p>
    <w:p>
      <w:pPr>
        <w:spacing w:after="160" w:before="0" w:line="276"/>
        <w:jc w:val="both"/>
      </w:pPr>
      <w:r>
        <w:rPr>
          <w:rFonts w:ascii="Calibri" w:cs="Calibri" w:eastAsia="Calibri" w:hAnsi="Calibri"/>
          <w:b w:val="false"/>
          <w:bCs w:val="false"/>
          <w:i w:val="false"/>
          <w:iCs w:val="false"/>
          <w:color w:val="2D2D2D"/>
          <w:sz w:val="22"/>
          <w:szCs w:val="22"/>
        </w:rPr>
        <w:t xml:space="preserve">This consent may be executed in one or more counterparts, each of which shall be deemed an original, but all of which together shall constitute one and the same instrument. Delivery of an executed counterpart of this consent by facsimile, email (including PDF), DocuSign, or other electronic means shall be equally as effective as delivery of a manually executed counterpart.</w:t>
      </w:r>
    </w:p>
    <w:p>
      <w:pPr>
        <w:spacing w:after="160" w:before="0" w:line="276"/>
        <w:jc w:val="both"/>
      </w:pPr>
      <w:r>
        <w:rPr>
          <w:rFonts w:ascii="Calibri" w:cs="Calibri" w:eastAsia="Calibri" w:hAnsi="Calibri"/>
          <w:b w:val="false"/>
          <w:bCs w:val="false"/>
          <w:i w:val="false"/>
          <w:iCs w:val="false"/>
          <w:color w:val="2D2D2D"/>
          <w:sz w:val="22"/>
          <w:szCs w:val="22"/>
        </w:rPr>
        <w:t xml:space="preserve">Any director who delivers a counterpart of this consent by electronic means shall, upon request, also deliver an originally executed counterpart, but the failure to deliver an original counterpart shall not affect the validity or enforceability of this consent.</w:t>
      </w:r>
    </w:p>
    <w:p>
      <w:pPr>
        <w:pStyle w:val="Heading2"/>
        <w:spacing w:after="160" w:before="280"/>
        <w:jc w:val="left"/>
      </w:pPr>
      <w:r>
        <w:rPr>
          <w:rFonts w:ascii="Calibri" w:cs="Calibri" w:eastAsia="Calibri" w:hAnsi="Calibri"/>
          <w:b/>
          <w:bCs/>
          <w:color w:val="1B3A5C"/>
          <w:sz w:val="26"/>
          <w:szCs w:val="26"/>
        </w:rPr>
        <w:t xml:space="preserve">13.2 Effective Date</w:t>
      </w:r>
    </w:p>
    <w:p>
      <w:pPr>
        <w:spacing w:after="160" w:before="0" w:line="276"/>
        <w:jc w:val="both"/>
      </w:pPr>
      <w:r>
        <w:rPr>
          <w:rFonts w:ascii="Calibri" w:cs="Calibri" w:eastAsia="Calibri" w:hAnsi="Calibri"/>
          <w:b w:val="false"/>
          <w:bCs w:val="false"/>
          <w:i w:val="false"/>
          <w:iCs w:val="false"/>
          <w:color w:val="2D2D2D"/>
          <w:sz w:val="22"/>
          <w:szCs w:val="22"/>
        </w:rPr>
        <w:t xml:space="preserve">This consent shall be effective as of [EFFECTIVE DATE]. In the event the last director signs this consent on a date after the Effective Date, this consent shall nonetheless relate back to the Effective Date for all purposes, including for purposes of determining the exercise price of options (which shall be the FMV on the Effective Date, not the date of the last signature).</w:t>
      </w:r>
    </w:p>
    <w:p>
      <w:pPr>
        <w:pStyle w:val="Heading2"/>
        <w:spacing w:after="160" w:before="280"/>
        <w:jc w:val="left"/>
      </w:pPr>
      <w:r>
        <w:rPr>
          <w:rFonts w:ascii="Calibri" w:cs="Calibri" w:eastAsia="Calibri" w:hAnsi="Calibri"/>
          <w:b/>
          <w:bCs/>
          <w:color w:val="1B3A5C"/>
          <w:sz w:val="26"/>
          <w:szCs w:val="26"/>
        </w:rPr>
        <w:t xml:space="preserve">13.3 Secretary's Certification</w:t>
      </w:r>
    </w:p>
    <w:p>
      <w:pPr>
        <w:spacing w:after="160" w:before="0" w:line="276"/>
        <w:jc w:val="both"/>
      </w:pPr>
      <w:r>
        <w:rPr>
          <w:rFonts w:ascii="Calibri" w:cs="Calibri" w:eastAsia="Calibri" w:hAnsi="Calibri"/>
          <w:b w:val="false"/>
          <w:bCs w:val="false"/>
          <w:i w:val="false"/>
          <w:iCs w:val="false"/>
          <w:color w:val="2D2D2D"/>
          <w:sz w:val="22"/>
          <w:szCs w:val="22"/>
        </w:rPr>
        <w:t xml:space="preserve">The Secretary of the Company shall certify this consent in the form attached hereto as Exhibit G, confirming that (a) this consent has been duly executed by the requisite number of directors, (b) the grants authorized herein are within the share reserve of the Plan, (c) the exercise prices meet the FMV requirements, and (d) all procedural requirements have been satisfied.</w:t>
      </w:r>
    </w:p>
    <w:p>
      <w:pPr>
        <w:pStyle w:val="Heading2"/>
        <w:spacing w:after="160" w:before="280"/>
        <w:jc w:val="left"/>
      </w:pPr>
      <w:r>
        <w:rPr>
          <w:rFonts w:ascii="Calibri" w:cs="Calibri" w:eastAsia="Calibri" w:hAnsi="Calibri"/>
          <w:b/>
          <w:bCs/>
          <w:color w:val="1B3A5C"/>
          <w:sz w:val="26"/>
          <w:szCs w:val="26"/>
        </w:rPr>
        <w:t xml:space="preserve">13.4 Reliance and Indemnification</w:t>
      </w:r>
    </w:p>
    <w:p>
      <w:pPr>
        <w:spacing w:after="160" w:before="0" w:line="276"/>
        <w:jc w:val="both"/>
      </w:pPr>
      <w:r>
        <w:rPr>
          <w:rFonts w:ascii="Calibri" w:cs="Calibri" w:eastAsia="Calibri" w:hAnsi="Calibri"/>
          <w:b w:val="false"/>
          <w:bCs w:val="false"/>
          <w:i w:val="false"/>
          <w:iCs w:val="false"/>
          <w:color w:val="2D2D2D"/>
          <w:sz w:val="22"/>
          <w:szCs w:val="22"/>
        </w:rPr>
        <w:t xml:space="preserve">Each director signing this consent has relied upon information provided by the Company's management, legal counsel, and the Valuation Firm in approving the grants set forth herein. To the extent permitted by applicable law and the Company's Certificate of Incorporation and Bylaws, the Company shall indemnify and hold harmless each director for any claims, losses, or liabilities arising from the director's good-faith reliance on such information in connection with the approvals granted by this consent.</w:t>
      </w:r>
    </w:p>
    <w:p>
      <w:pPr>
        <w:spacing w:after="160" w:before="0" w:line="276"/>
        <w:jc w:val="both"/>
      </w:pPr>
      <w:r>
        <w:rPr>
          <w:rFonts w:ascii="Calibri" w:cs="Calibri" w:eastAsia="Calibri" w:hAnsi="Calibri"/>
          <w:b w:val="false"/>
          <w:bCs w:val="false"/>
          <w:i w:val="false"/>
          <w:iCs w:val="false"/>
          <w:color w:val="2D2D2D"/>
          <w:sz w:val="22"/>
          <w:szCs w:val="22"/>
        </w:rPr>
        <w:t xml:space="preserve">The Company shall maintain directors' and officers' liability insurance covering the actions taken pursuant to this consent, to the extent such coverage is available on commercially reasonable terms.</w:t>
      </w:r>
    </w:p>
    <w:p>
      <w:pPr>
        <w:pStyle w:val="Heading2"/>
        <w:spacing w:after="160" w:before="280"/>
        <w:jc w:val="left"/>
      </w:pPr>
      <w:r>
        <w:rPr>
          <w:rFonts w:ascii="Calibri" w:cs="Calibri" w:eastAsia="Calibri" w:hAnsi="Calibri"/>
          <w:b/>
          <w:bCs/>
          <w:color w:val="1B3A5C"/>
          <w:sz w:val="26"/>
          <w:szCs w:val="26"/>
        </w:rPr>
        <w:t xml:space="preserve">13.5 Ratification of Prior Actions</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all actions heretofore taken by any officer, director, employee, or agent of the Company in connection with the preparation, negotiation, and execution of the equity grants, award agreements, and other transactions contemplated by this consent are hereby ratified, confirmed, approved, and adopted as the acts and deeds of the Company.</w:t>
      </w:r>
    </w:p>
    <w:p>
      <w:pPr>
        <w:pStyle w:val="Heading2"/>
        <w:spacing w:after="160" w:before="280"/>
        <w:jc w:val="left"/>
      </w:pPr>
      <w:r>
        <w:rPr>
          <w:rFonts w:ascii="Calibri" w:cs="Calibri" w:eastAsia="Calibri" w:hAnsi="Calibri"/>
          <w:b/>
          <w:bCs/>
          <w:color w:val="1B3A5C"/>
          <w:sz w:val="26"/>
          <w:szCs w:val="26"/>
        </w:rPr>
        <w:t xml:space="preserve">13.6 Omnibus Resolution</w:t>
      </w:r>
    </w:p>
    <w:p>
      <w:pPr>
        <w:spacing w:after="160" w:before="0" w:line="276"/>
        <w:jc w:val="both"/>
      </w:pPr>
      <w:r>
        <w:rPr>
          <w:rFonts w:ascii="Calibri" w:cs="Calibri" w:eastAsia="Calibri" w:hAnsi="Calibri"/>
          <w:b w:val="false"/>
          <w:bCs w:val="false"/>
          <w:i w:val="false"/>
          <w:iCs w:val="false"/>
          <w:color w:val="2D2D2D"/>
          <w:sz w:val="22"/>
          <w:szCs w:val="22"/>
        </w:rPr>
        <w:t xml:space="preserve">RESOLVED, that the officers of the Company are, and each of them hereby is, authorized and directed to take all such further actions and to execute and deliver all such further agreements, instruments, certificates, and documents as may be necessary or appropriate to carry out the purposes and intent of the foregoing resolutions, including without limitation any filings with federal, state, or local governmental authorities.</w:t>
      </w:r>
    </w:p>
    <w:p>
      <w:pPr>
        <w:spacing w:after="200"/>
      </w:pPr>
    </w:p>
    <w:p>
      <w:pPr>
        <w:pBdr>
          <w:bottom w:val="single" w:color="CCCCCC" w:sz="1"/>
        </w:pBdr>
        <w:spacing w:after="120" w:before="120"/>
      </w:pPr>
    </w:p>
    <w:p>
      <w:pPr>
        <w:spacing w:after="100"/>
      </w:pPr>
    </w:p>
    <w:p>
      <w:pPr>
        <w:spacing w:after="160" w:before="0" w:line="276"/>
        <w:jc w:val="center"/>
      </w:pPr>
      <w:r>
        <w:rPr>
          <w:rFonts w:ascii="Calibri" w:cs="Calibri" w:eastAsia="Calibri" w:hAnsi="Calibri"/>
          <w:b/>
          <w:bCs/>
          <w:i w:val="false"/>
          <w:iCs w:val="false"/>
          <w:color w:val="2D2D2D"/>
          <w:sz w:val="22"/>
          <w:szCs w:val="22"/>
        </w:rPr>
        <w:t xml:space="preserve">[SIGNATURE PAGES FOLLOW]</w:t>
      </w:r>
    </w:p>
    <w:p>
      <w:pPr>
        <w:spacing w:after="200"/>
      </w:pPr>
    </w:p>
    <w:p>
      <w:pPr>
        <w:pStyle w:val="Heading2"/>
        <w:spacing w:after="160" w:before="280"/>
        <w:jc w:val="left"/>
      </w:pPr>
      <w:r>
        <w:rPr>
          <w:rFonts w:ascii="Calibri" w:cs="Calibri" w:eastAsia="Calibri" w:hAnsi="Calibri"/>
          <w:b/>
          <w:bCs/>
          <w:color w:val="1B3A5C"/>
          <w:sz w:val="26"/>
          <w:szCs w:val="26"/>
        </w:rPr>
        <w:t xml:space="preserve">DIRECTOR SIGNATURES</w:t>
      </w:r>
    </w:p>
    <w:p>
      <w:pPr>
        <w:spacing w:after="60"/>
      </w:pPr>
    </w:p>
    <w:p>
      <w:pPr>
        <w:spacing w:after="160" w:before="0" w:line="276"/>
        <w:jc w:val="both"/>
      </w:pPr>
      <w:r>
        <w:rPr>
          <w:rFonts w:ascii="Calibri" w:cs="Calibri" w:eastAsia="Calibri" w:hAnsi="Calibri"/>
          <w:b w:val="false"/>
          <w:bCs w:val="false"/>
          <w:i w:val="false"/>
          <w:iCs w:val="false"/>
          <w:color w:val="2D2D2D"/>
          <w:sz w:val="22"/>
          <w:szCs w:val="22"/>
        </w:rPr>
        <w:t xml:space="preserve">IN WITNESS WHEREOF, the undersigned directors have executed this Unanimous Written Consent effective as of the date first written above.</w:t>
      </w:r>
    </w:p>
    <w:p>
      <w:pPr>
        <w:spacing w:after="200"/>
      </w:pPr>
    </w:p>
    <w:p>
      <w:pPr>
        <w:pBdr>
          <w:bottom w:val="single" w:color="000000" w:sz="1"/>
        </w:pBdr>
        <w:spacing w:after="40"/>
      </w:pPr>
    </w:p>
    <w:p>
      <w:pPr>
        <w:spacing w:after="20" w:before="0" w:line="276"/>
        <w:jc w:val="both"/>
      </w:pPr>
      <w:r>
        <w:rPr>
          <w:rFonts w:ascii="Calibri" w:cs="Calibri" w:eastAsia="Calibri" w:hAnsi="Calibri"/>
          <w:b/>
          <w:bCs/>
          <w:i w:val="false"/>
          <w:iCs w:val="false"/>
          <w:color w:val="2D2D2D"/>
          <w:sz w:val="22"/>
          <w:szCs w:val="22"/>
        </w:rPr>
        <w:t xml:space="preserve">[DIRECTOR 1 NAME]</w:t>
      </w:r>
    </w:p>
    <w:p>
      <w:pPr>
        <w:spacing w:after="200" w:before="0" w:line="276"/>
        <w:jc w:val="both"/>
      </w:pPr>
      <w:r>
        <w:rPr>
          <w:rFonts w:ascii="Calibri" w:cs="Calibri" w:eastAsia="Calibri" w:hAnsi="Calibri"/>
          <w:b w:val="false"/>
          <w:bCs w:val="false"/>
          <w:i w:val="false"/>
          <w:iCs w:val="false"/>
          <w:color w:val="2D2D2D"/>
          <w:sz w:val="22"/>
          <w:szCs w:val="22"/>
        </w:rPr>
        <w:t xml:space="preserve">Title: [TITLE]</w:t>
      </w:r>
    </w:p>
    <w:p>
      <w:pPr>
        <w:spacing w:after="300" w:before="0" w:line="276"/>
        <w:jc w:val="both"/>
      </w:pPr>
      <w:r>
        <w:rPr>
          <w:rFonts w:ascii="Calibri" w:cs="Calibri" w:eastAsia="Calibri" w:hAnsi="Calibri"/>
          <w:b w:val="false"/>
          <w:bCs w:val="false"/>
          <w:i w:val="false"/>
          <w:iCs w:val="false"/>
          <w:color w:val="2D2D2D"/>
          <w:sz w:val="22"/>
          <w:szCs w:val="22"/>
        </w:rPr>
        <w:t xml:space="preserve">Date: ____________________</w:t>
      </w:r>
    </w:p>
    <w:p>
      <w:pPr>
        <w:pBdr>
          <w:bottom w:val="single" w:color="000000" w:sz="1"/>
        </w:pBdr>
        <w:spacing w:after="40"/>
      </w:pPr>
    </w:p>
    <w:p>
      <w:pPr>
        <w:spacing w:after="20" w:before="0" w:line="276"/>
        <w:jc w:val="both"/>
      </w:pPr>
      <w:r>
        <w:rPr>
          <w:rFonts w:ascii="Calibri" w:cs="Calibri" w:eastAsia="Calibri" w:hAnsi="Calibri"/>
          <w:b/>
          <w:bCs/>
          <w:i w:val="false"/>
          <w:iCs w:val="false"/>
          <w:color w:val="2D2D2D"/>
          <w:sz w:val="22"/>
          <w:szCs w:val="22"/>
        </w:rPr>
        <w:t xml:space="preserve">[DIRECTOR 2 NAME]</w:t>
      </w:r>
    </w:p>
    <w:p>
      <w:pPr>
        <w:spacing w:after="200" w:before="0" w:line="276"/>
        <w:jc w:val="both"/>
      </w:pPr>
      <w:r>
        <w:rPr>
          <w:rFonts w:ascii="Calibri" w:cs="Calibri" w:eastAsia="Calibri" w:hAnsi="Calibri"/>
          <w:b w:val="false"/>
          <w:bCs w:val="false"/>
          <w:i w:val="false"/>
          <w:iCs w:val="false"/>
          <w:color w:val="2D2D2D"/>
          <w:sz w:val="22"/>
          <w:szCs w:val="22"/>
        </w:rPr>
        <w:t xml:space="preserve">Title: [TITLE]</w:t>
      </w:r>
    </w:p>
    <w:p>
      <w:pPr>
        <w:spacing w:after="300" w:before="0" w:line="276"/>
        <w:jc w:val="both"/>
      </w:pPr>
      <w:r>
        <w:rPr>
          <w:rFonts w:ascii="Calibri" w:cs="Calibri" w:eastAsia="Calibri" w:hAnsi="Calibri"/>
          <w:b w:val="false"/>
          <w:bCs w:val="false"/>
          <w:i w:val="false"/>
          <w:iCs w:val="false"/>
          <w:color w:val="2D2D2D"/>
          <w:sz w:val="22"/>
          <w:szCs w:val="22"/>
        </w:rPr>
        <w:t xml:space="preserve">Date: ____________________</w:t>
      </w:r>
    </w:p>
    <w:p>
      <w:pPr>
        <w:pBdr>
          <w:bottom w:val="single" w:color="000000" w:sz="1"/>
        </w:pBdr>
        <w:spacing w:after="40"/>
      </w:pPr>
    </w:p>
    <w:p>
      <w:pPr>
        <w:spacing w:after="20" w:before="0" w:line="276"/>
        <w:jc w:val="both"/>
      </w:pPr>
      <w:r>
        <w:rPr>
          <w:rFonts w:ascii="Calibri" w:cs="Calibri" w:eastAsia="Calibri" w:hAnsi="Calibri"/>
          <w:b/>
          <w:bCs/>
          <w:i w:val="false"/>
          <w:iCs w:val="false"/>
          <w:color w:val="2D2D2D"/>
          <w:sz w:val="22"/>
          <w:szCs w:val="22"/>
        </w:rPr>
        <w:t xml:space="preserve">[DIRECTOR 3 NAME]</w:t>
      </w:r>
    </w:p>
    <w:p>
      <w:pPr>
        <w:spacing w:after="200" w:before="0" w:line="276"/>
        <w:jc w:val="both"/>
      </w:pPr>
      <w:r>
        <w:rPr>
          <w:rFonts w:ascii="Calibri" w:cs="Calibri" w:eastAsia="Calibri" w:hAnsi="Calibri"/>
          <w:b w:val="false"/>
          <w:bCs w:val="false"/>
          <w:i w:val="false"/>
          <w:iCs w:val="false"/>
          <w:color w:val="2D2D2D"/>
          <w:sz w:val="22"/>
          <w:szCs w:val="22"/>
        </w:rPr>
        <w:t xml:space="preserve">Title: [TITLE]</w:t>
      </w:r>
    </w:p>
    <w:p>
      <w:pPr>
        <w:spacing w:after="300" w:before="0" w:line="276"/>
        <w:jc w:val="both"/>
      </w:pPr>
      <w:r>
        <w:rPr>
          <w:rFonts w:ascii="Calibri" w:cs="Calibri" w:eastAsia="Calibri" w:hAnsi="Calibri"/>
          <w:b w:val="false"/>
          <w:bCs w:val="false"/>
          <w:i w:val="false"/>
          <w:iCs w:val="false"/>
          <w:color w:val="2D2D2D"/>
          <w:sz w:val="22"/>
          <w:szCs w:val="22"/>
        </w:rPr>
        <w:t xml:space="preserve">Date: ____________________</w:t>
      </w:r>
    </w:p>
    <w:p>
      <w:pPr>
        <w:pBdr>
          <w:bottom w:val="single" w:color="000000" w:sz="1"/>
        </w:pBdr>
        <w:spacing w:after="40"/>
      </w:pPr>
    </w:p>
    <w:p>
      <w:pPr>
        <w:spacing w:after="20" w:before="0" w:line="276"/>
        <w:jc w:val="both"/>
      </w:pPr>
      <w:r>
        <w:rPr>
          <w:rFonts w:ascii="Calibri" w:cs="Calibri" w:eastAsia="Calibri" w:hAnsi="Calibri"/>
          <w:b/>
          <w:bCs/>
          <w:i w:val="false"/>
          <w:iCs w:val="false"/>
          <w:color w:val="2D2D2D"/>
          <w:sz w:val="22"/>
          <w:szCs w:val="22"/>
        </w:rPr>
        <w:t xml:space="preserve">[DIRECTOR 4 NAME]</w:t>
      </w:r>
    </w:p>
    <w:p>
      <w:pPr>
        <w:spacing w:after="200" w:before="0" w:line="276"/>
        <w:jc w:val="both"/>
      </w:pPr>
      <w:r>
        <w:rPr>
          <w:rFonts w:ascii="Calibri" w:cs="Calibri" w:eastAsia="Calibri" w:hAnsi="Calibri"/>
          <w:b w:val="false"/>
          <w:bCs w:val="false"/>
          <w:i w:val="false"/>
          <w:iCs w:val="false"/>
          <w:color w:val="2D2D2D"/>
          <w:sz w:val="22"/>
          <w:szCs w:val="22"/>
        </w:rPr>
        <w:t xml:space="preserve">Title: [TITLE]</w:t>
      </w:r>
    </w:p>
    <w:p>
      <w:pPr>
        <w:spacing w:after="300" w:before="0" w:line="276"/>
        <w:jc w:val="both"/>
      </w:pPr>
      <w:r>
        <w:rPr>
          <w:rFonts w:ascii="Calibri" w:cs="Calibri" w:eastAsia="Calibri" w:hAnsi="Calibri"/>
          <w:b w:val="false"/>
          <w:bCs w:val="false"/>
          <w:i w:val="false"/>
          <w:iCs w:val="false"/>
          <w:color w:val="2D2D2D"/>
          <w:sz w:val="22"/>
          <w:szCs w:val="22"/>
        </w:rPr>
        <w:t xml:space="preserve">Date: ____________________</w:t>
      </w:r>
    </w:p>
    <w:p>
      <w:pPr>
        <w:pBdr>
          <w:bottom w:val="single" w:color="000000" w:sz="1"/>
        </w:pBdr>
        <w:spacing w:after="40"/>
      </w:pPr>
    </w:p>
    <w:p>
      <w:pPr>
        <w:spacing w:after="20" w:before="0" w:line="276"/>
        <w:jc w:val="both"/>
      </w:pPr>
      <w:r>
        <w:rPr>
          <w:rFonts w:ascii="Calibri" w:cs="Calibri" w:eastAsia="Calibri" w:hAnsi="Calibri"/>
          <w:b/>
          <w:bCs/>
          <w:i w:val="false"/>
          <w:iCs w:val="false"/>
          <w:color w:val="2D2D2D"/>
          <w:sz w:val="22"/>
          <w:szCs w:val="22"/>
        </w:rPr>
        <w:t xml:space="preserve">[DIRECTOR 5 NAME]</w:t>
      </w:r>
    </w:p>
    <w:p>
      <w:pPr>
        <w:spacing w:after="200" w:before="0" w:line="276"/>
        <w:jc w:val="both"/>
      </w:pPr>
      <w:r>
        <w:rPr>
          <w:rFonts w:ascii="Calibri" w:cs="Calibri" w:eastAsia="Calibri" w:hAnsi="Calibri"/>
          <w:b w:val="false"/>
          <w:bCs w:val="false"/>
          <w:i w:val="false"/>
          <w:iCs w:val="false"/>
          <w:color w:val="2D2D2D"/>
          <w:sz w:val="22"/>
          <w:szCs w:val="22"/>
        </w:rPr>
        <w:t xml:space="preserve">Title: [TITLE]</w:t>
      </w:r>
    </w:p>
    <w:p>
      <w:pPr>
        <w:spacing w:after="300" w:before="0" w:line="276"/>
        <w:jc w:val="both"/>
      </w:pPr>
      <w:r>
        <w:rPr>
          <w:rFonts w:ascii="Calibri" w:cs="Calibri" w:eastAsia="Calibri" w:hAnsi="Calibri"/>
          <w:b w:val="false"/>
          <w:bCs w:val="false"/>
          <w:i w:val="false"/>
          <w:iCs w:val="false"/>
          <w:color w:val="2D2D2D"/>
          <w:sz w:val="22"/>
          <w:szCs w:val="22"/>
        </w:rPr>
        <w:t xml:space="preserve">Date: ____________________</w:t>
      </w:r>
    </w:p>
    <w:p>
      <w:r>
        <w:br w:type="page"/>
      </w:r>
    </w:p>
    <w:p>
      <w:pPr>
        <w:pStyle w:val="Heading1"/>
        <w:spacing w:after="160" w:before="360"/>
        <w:jc w:val="center"/>
      </w:pPr>
      <w:r>
        <w:rPr>
          <w:rFonts w:ascii="Calibri" w:cs="Calibri" w:eastAsia="Calibri" w:hAnsi="Calibri"/>
          <w:b/>
          <w:bCs/>
          <w:color w:val="1B3A5C"/>
          <w:sz w:val="32"/>
          <w:szCs w:val="32"/>
        </w:rPr>
        <w:t xml:space="preserve">EXHIBIT A: GRANT SCHEDULE</w:t>
      </w:r>
    </w:p>
    <w:p>
      <w:pPr>
        <w:spacing w:after="40"/>
      </w:pPr>
    </w:p>
    <w:p>
      <w:pPr>
        <w:spacing w:after="160" w:before="0" w:line="276"/>
        <w:jc w:val="both"/>
      </w:pPr>
      <w:r>
        <w:rPr>
          <w:rFonts w:ascii="Calibri" w:cs="Calibri" w:eastAsia="Calibri" w:hAnsi="Calibri"/>
          <w:b w:val="false"/>
          <w:bCs w:val="false"/>
          <w:i/>
          <w:iCs/>
          <w:color w:val="2D2D2D"/>
          <w:sz w:val="22"/>
          <w:szCs w:val="22"/>
        </w:rPr>
        <w:t xml:space="preserve">The following is the complete Grant Schedule for all equity awards approved pursuant to the Unanimous Written Consent of the Board of Directors of [COMPANY NAME], effective as of [EFFECTIVE DATE].</w:t>
      </w:r>
    </w:p>
    <w:p>
      <w:pPr>
        <w:spacing w:after="80"/>
      </w:pPr>
    </w:p>
    <w:p>
      <w:pPr>
        <w:pStyle w:val="Heading2"/>
        <w:spacing w:after="160" w:before="280"/>
        <w:jc w:val="left"/>
      </w:pPr>
      <w:r>
        <w:rPr>
          <w:rFonts w:ascii="Calibri" w:cs="Calibri" w:eastAsia="Calibri" w:hAnsi="Calibri"/>
          <w:b/>
          <w:bCs/>
          <w:color w:val="1B3A5C"/>
          <w:sz w:val="26"/>
          <w:szCs w:val="26"/>
        </w:rPr>
        <w:t xml:space="preserve">A.1 Stock Option Grants</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00"/>
        <w:gridCol w:w="700"/>
        <w:gridCol w:w="800"/>
        <w:gridCol w:w="800"/>
        <w:gridCol w:w="1000"/>
        <w:gridCol w:w="700"/>
        <w:gridCol w:w="1100"/>
        <w:gridCol w:w="660"/>
        <w:gridCol w:w="1400"/>
      </w:tblGrid>
      <w:tr>
        <w:trPr>
          <w:tblHeader/>
        </w:trPr>
        <w:tc>
          <w:tcPr>
            <w:tcW w:type="dxa" w:w="15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Recipient</w:t>
            </w:r>
          </w:p>
        </w:tc>
        <w:tc>
          <w:tcPr>
            <w:tcW w:type="dxa" w:w="7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Type</w:t>
            </w:r>
          </w:p>
        </w:tc>
        <w:tc>
          <w:tcPr>
            <w:tcW w:type="dxa" w:w="7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Shares</w:t>
            </w:r>
          </w:p>
        </w:tc>
        <w:tc>
          <w:tcPr>
            <w:tcW w:type="dxa" w:w="8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Ex. Price</w:t>
            </w:r>
          </w:p>
        </w:tc>
        <w:tc>
          <w:tcPr>
            <w:tcW w:type="dxa" w:w="8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Vest Start</w:t>
            </w:r>
          </w:p>
        </w:tc>
        <w:tc>
          <w:tcPr>
            <w:tcW w:type="dxa" w:w="10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Schedule</w:t>
            </w:r>
          </w:p>
        </w:tc>
        <w:tc>
          <w:tcPr>
            <w:tcW w:type="dxa" w:w="7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Cliff</w:t>
            </w:r>
          </w:p>
        </w:tc>
        <w:tc>
          <w:tcPr>
            <w:tcW w:type="dxa" w:w="11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Acceleration</w:t>
            </w:r>
          </w:p>
        </w:tc>
        <w:tc>
          <w:tcPr>
            <w:tcW w:type="dxa" w:w="66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Early Ex.</w:t>
            </w:r>
          </w:p>
        </w:tc>
        <w:tc>
          <w:tcPr>
            <w:tcW w:type="dxa" w:w="14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Expiration</w:t>
            </w:r>
          </w:p>
        </w:tc>
      </w:tr>
      <w:tr>
        <w:tc>
          <w:tcPr>
            <w:tcW w:type="dxa" w:w="15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[NAME 1]
[Employee]</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ISO</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c>
          <w:tcPr>
            <w:tcW w:type="dxa" w:w="1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4yr/mo</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 year</w:t>
            </w:r>
          </w:p>
        </w:tc>
        <w:tc>
          <w:tcPr>
            <w:tcW w:type="dxa" w:w="11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[Single/Double]</w:t>
            </w:r>
          </w:p>
        </w:tc>
        <w:tc>
          <w:tcPr>
            <w:tcW w:type="dxa" w:w="6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14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r>
      <w:tr>
        <w:tc>
          <w:tcPr>
            <w:tcW w:type="dxa" w:w="15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[NAME 2]
[Employee]</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ISO</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c>
          <w:tcPr>
            <w:tcW w:type="dxa" w:w="1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4yr/mo</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 year</w:t>
            </w:r>
          </w:p>
        </w:tc>
        <w:tc>
          <w:tcPr>
            <w:tcW w:type="dxa" w:w="11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[Single/Double]</w:t>
            </w:r>
          </w:p>
        </w:tc>
        <w:tc>
          <w:tcPr>
            <w:tcW w:type="dxa" w:w="6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14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r>
      <w:tr>
        <w:tc>
          <w:tcPr>
            <w:tcW w:type="dxa" w:w="15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[NAME 3]
[Consultant]</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NQSO</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c>
          <w:tcPr>
            <w:tcW w:type="dxa" w:w="1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4yr/mo</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 year</w:t>
            </w:r>
          </w:p>
        </w:tc>
        <w:tc>
          <w:tcPr>
            <w:tcW w:type="dxa" w:w="11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[Single/Double]</w:t>
            </w:r>
          </w:p>
        </w:tc>
        <w:tc>
          <w:tcPr>
            <w:tcW w:type="dxa" w:w="6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14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r>
      <w:tr>
        <w:tc>
          <w:tcPr>
            <w:tcW w:type="dxa" w:w="15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[NAME 4]
[Advisor]</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NQSO</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c>
          <w:tcPr>
            <w:tcW w:type="dxa" w:w="1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2yr/mo</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None</w:t>
            </w:r>
          </w:p>
        </w:tc>
        <w:tc>
          <w:tcPr>
            <w:tcW w:type="dxa" w:w="11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[Single/Double]</w:t>
            </w:r>
          </w:p>
        </w:tc>
        <w:tc>
          <w:tcPr>
            <w:tcW w:type="dxa" w:w="6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14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r>
      <w:tr>
        <w:tc>
          <w:tcPr>
            <w:tcW w:type="dxa" w:w="15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[NAME 5]
[Employee]</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ISO</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c>
          <w:tcPr>
            <w:tcW w:type="dxa" w:w="1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4yr/mo</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 year</w:t>
            </w:r>
          </w:p>
        </w:tc>
        <w:tc>
          <w:tcPr>
            <w:tcW w:type="dxa" w:w="11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[Single/Double]</w:t>
            </w:r>
          </w:p>
        </w:tc>
        <w:tc>
          <w:tcPr>
            <w:tcW w:type="dxa" w:w="6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14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r>
      <w:tr>
        <w:tc>
          <w:tcPr>
            <w:tcW w:type="dxa" w:w="15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[ADDITIONAL]</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[TYPE]</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c>
          <w:tcPr>
            <w:tcW w:type="dxa" w:w="1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11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6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14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r>
    </w:tbl>
    <w:p>
      <w:pPr>
        <w:spacing w:after="120"/>
      </w:pPr>
    </w:p>
    <w:p>
      <w:pPr>
        <w:pStyle w:val="Heading2"/>
        <w:spacing w:after="160" w:before="280"/>
        <w:jc w:val="left"/>
      </w:pPr>
      <w:r>
        <w:rPr>
          <w:rFonts w:ascii="Calibri" w:cs="Calibri" w:eastAsia="Calibri" w:hAnsi="Calibri"/>
          <w:b/>
          <w:bCs/>
          <w:color w:val="1B3A5C"/>
          <w:sz w:val="26"/>
          <w:szCs w:val="26"/>
        </w:rPr>
        <w:t xml:space="preserve">A.2 Restricted Stock Awards</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00"/>
        <w:gridCol w:w="700"/>
        <w:gridCol w:w="800"/>
        <w:gridCol w:w="800"/>
        <w:gridCol w:w="1000"/>
        <w:gridCol w:w="700"/>
        <w:gridCol w:w="1100"/>
        <w:gridCol w:w="660"/>
        <w:gridCol w:w="1400"/>
      </w:tblGrid>
      <w:tr>
        <w:trPr>
          <w:tblHeader/>
        </w:trPr>
        <w:tc>
          <w:tcPr>
            <w:tcW w:type="dxa" w:w="15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Recipient</w:t>
            </w:r>
          </w:p>
        </w:tc>
        <w:tc>
          <w:tcPr>
            <w:tcW w:type="dxa" w:w="7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Shares</w:t>
            </w:r>
          </w:p>
        </w:tc>
        <w:tc>
          <w:tcPr>
            <w:tcW w:type="dxa" w:w="7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Purchase Price</w:t>
            </w:r>
          </w:p>
        </w:tc>
        <w:tc>
          <w:tcPr>
            <w:tcW w:type="dxa" w:w="8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Vest Start</w:t>
            </w:r>
          </w:p>
        </w:tc>
        <w:tc>
          <w:tcPr>
            <w:tcW w:type="dxa" w:w="8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Schedule</w:t>
            </w:r>
          </w:p>
        </w:tc>
        <w:tc>
          <w:tcPr>
            <w:tcW w:type="dxa" w:w="10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Cliff</w:t>
            </w:r>
          </w:p>
        </w:tc>
        <w:tc>
          <w:tcPr>
            <w:tcW w:type="dxa" w:w="7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Repurchase</w:t>
            </w:r>
          </w:p>
        </w:tc>
        <w:tc>
          <w:tcPr>
            <w:tcW w:type="dxa" w:w="11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83(b) Filed</w:t>
            </w:r>
          </w:p>
        </w:tc>
        <w:tc>
          <w:tcPr>
            <w:tcW w:type="dxa" w:w="66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Acceleration</w:t>
            </w:r>
          </w:p>
        </w:tc>
        <w:tc>
          <w:tcPr>
            <w:tcW w:type="dxa" w:w="14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Escrow</w:t>
            </w:r>
          </w:p>
        </w:tc>
      </w:tr>
      <w:tr>
        <w:tc>
          <w:tcPr>
            <w:tcW w:type="dxa" w:w="15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[NAME]
[Role]</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4yr/mo</w:t>
            </w:r>
          </w:p>
        </w:tc>
        <w:tc>
          <w:tcPr>
            <w:tcW w:type="dxa" w:w="1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 year</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[Cost/FMV]</w:t>
            </w:r>
          </w:p>
        </w:tc>
        <w:tc>
          <w:tcPr>
            <w:tcW w:type="dxa" w:w="11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6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[Single/Double]</w:t>
            </w:r>
          </w:p>
        </w:tc>
        <w:tc>
          <w:tcPr>
            <w:tcW w:type="dxa" w:w="14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r>
      <w:tr>
        <w:tc>
          <w:tcPr>
            <w:tcW w:type="dxa" w:w="15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[NAME]
[Role]</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4yr/mo</w:t>
            </w:r>
          </w:p>
        </w:tc>
        <w:tc>
          <w:tcPr>
            <w:tcW w:type="dxa" w:w="1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 year</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[Cost/FMV]</w:t>
            </w:r>
          </w:p>
        </w:tc>
        <w:tc>
          <w:tcPr>
            <w:tcW w:type="dxa" w:w="11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6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[Single/Double]</w:t>
            </w:r>
          </w:p>
        </w:tc>
        <w:tc>
          <w:tcPr>
            <w:tcW w:type="dxa" w:w="14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r>
      <w:tr>
        <w:tc>
          <w:tcPr>
            <w:tcW w:type="dxa" w:w="15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[ADDITIONAL]</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1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11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6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14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r>
    </w:tbl>
    <w:p>
      <w:pPr>
        <w:spacing w:after="120"/>
      </w:pPr>
    </w:p>
    <w:p>
      <w:pPr>
        <w:pStyle w:val="Heading2"/>
        <w:spacing w:after="160" w:before="280"/>
        <w:jc w:val="left"/>
      </w:pPr>
      <w:r>
        <w:rPr>
          <w:rFonts w:ascii="Calibri" w:cs="Calibri" w:eastAsia="Calibri" w:hAnsi="Calibri"/>
          <w:b/>
          <w:bCs/>
          <w:color w:val="1B3A5C"/>
          <w:sz w:val="26"/>
          <w:szCs w:val="26"/>
        </w:rPr>
        <w:t xml:space="preserve">A.3 RSU Awards</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00"/>
        <w:gridCol w:w="700"/>
        <w:gridCol w:w="800"/>
        <w:gridCol w:w="800"/>
        <w:gridCol w:w="1000"/>
        <w:gridCol w:w="700"/>
        <w:gridCol w:w="1100"/>
        <w:gridCol w:w="660"/>
        <w:gridCol w:w="1400"/>
      </w:tblGrid>
      <w:tr>
        <w:trPr>
          <w:tblHeader/>
        </w:trPr>
        <w:tc>
          <w:tcPr>
            <w:tcW w:type="dxa" w:w="15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Recipient</w:t>
            </w:r>
          </w:p>
        </w:tc>
        <w:tc>
          <w:tcPr>
            <w:tcW w:type="dxa" w:w="7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Shares</w:t>
            </w:r>
          </w:p>
        </w:tc>
        <w:tc>
          <w:tcPr>
            <w:tcW w:type="dxa" w:w="7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N/A</w:t>
            </w:r>
          </w:p>
        </w:tc>
        <w:tc>
          <w:tcPr>
            <w:tcW w:type="dxa" w:w="8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Vest Start</w:t>
            </w:r>
          </w:p>
        </w:tc>
        <w:tc>
          <w:tcPr>
            <w:tcW w:type="dxa" w:w="8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Schedule</w:t>
            </w:r>
          </w:p>
        </w:tc>
        <w:tc>
          <w:tcPr>
            <w:tcW w:type="dxa" w:w="10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Cliff</w:t>
            </w:r>
          </w:p>
        </w:tc>
        <w:tc>
          <w:tcPr>
            <w:tcW w:type="dxa" w:w="7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Trigger</w:t>
            </w:r>
          </w:p>
        </w:tc>
        <w:tc>
          <w:tcPr>
            <w:tcW w:type="dxa" w:w="11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Settlement</w:t>
            </w:r>
          </w:p>
        </w:tc>
        <w:tc>
          <w:tcPr>
            <w:tcW w:type="dxa" w:w="66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Div. Equiv.</w:t>
            </w:r>
          </w:p>
        </w:tc>
        <w:tc>
          <w:tcPr>
            <w:tcW w:type="dxa" w:w="14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Withholding</w:t>
            </w:r>
          </w:p>
        </w:tc>
      </w:tr>
      <w:tr>
        <w:tc>
          <w:tcPr>
            <w:tcW w:type="dxa" w:w="15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[NAME]
[Role]</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4yr/qtr</w:t>
            </w:r>
          </w:p>
        </w:tc>
        <w:tc>
          <w:tcPr>
            <w:tcW w:type="dxa" w:w="1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 year</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[Single/Double]</w:t>
            </w:r>
          </w:p>
        </w:tc>
        <w:tc>
          <w:tcPr>
            <w:tcW w:type="dxa" w:w="11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[DATE/EVENT]</w:t>
            </w:r>
          </w:p>
        </w:tc>
        <w:tc>
          <w:tcPr>
            <w:tcW w:type="dxa" w:w="6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14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[Share/Cash]</w:t>
            </w:r>
          </w:p>
        </w:tc>
      </w:tr>
      <w:tr>
        <w:tc>
          <w:tcPr>
            <w:tcW w:type="dxa" w:w="15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[NAME]
[Role]</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c>
          <w:tcPr>
            <w:tcW w:type="dxa" w:w="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4yr/qtr</w:t>
            </w:r>
          </w:p>
        </w:tc>
        <w:tc>
          <w:tcPr>
            <w:tcW w:type="dxa" w:w="1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 year</w:t>
            </w:r>
          </w:p>
        </w:tc>
        <w:tc>
          <w:tcPr>
            <w:tcW w:type="dxa" w:w="7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[Single/Double]</w:t>
            </w:r>
          </w:p>
        </w:tc>
        <w:tc>
          <w:tcPr>
            <w:tcW w:type="dxa" w:w="11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[DATE/EVENT]</w:t>
            </w:r>
          </w:p>
        </w:tc>
        <w:tc>
          <w:tcPr>
            <w:tcW w:type="dxa" w:w="6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14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[Share/Cash]</w:t>
            </w:r>
          </w:p>
        </w:tc>
      </w:tr>
      <w:tr>
        <w:tc>
          <w:tcPr>
            <w:tcW w:type="dxa" w:w="15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[ADDITIONAL]</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[MM/DD/YY]</w:t>
            </w:r>
          </w:p>
        </w:tc>
        <w:tc>
          <w:tcPr>
            <w:tcW w:type="dxa" w:w="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1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7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11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6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[Y/N]</w:t>
            </w:r>
          </w:p>
        </w:tc>
        <w:tc>
          <w:tcPr>
            <w:tcW w:type="dxa" w:w="14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r>
    </w:tbl>
    <w:p>
      <w:pPr>
        <w:spacing w:after="120"/>
      </w:pPr>
    </w:p>
    <w:p>
      <w:pPr>
        <w:pStyle w:val="Heading2"/>
        <w:spacing w:after="160" w:before="280"/>
        <w:jc w:val="left"/>
      </w:pPr>
      <w:r>
        <w:rPr>
          <w:rFonts w:ascii="Calibri" w:cs="Calibri" w:eastAsia="Calibri" w:hAnsi="Calibri"/>
          <w:b/>
          <w:bCs/>
          <w:color w:val="1B3A5C"/>
          <w:sz w:val="26"/>
          <w:szCs w:val="26"/>
        </w:rPr>
        <w:t xml:space="preserve">A.4 Aggregate Grant Summary</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Category</w:t>
            </w:r>
          </w:p>
        </w:tc>
        <w:tc>
          <w:tcPr>
            <w:tcW w:type="dxa" w:w="1872"/>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Count</w:t>
            </w:r>
          </w:p>
        </w:tc>
        <w:tc>
          <w:tcPr>
            <w:tcW w:type="dxa" w:w="1872"/>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Shares</w:t>
            </w:r>
          </w:p>
        </w:tc>
        <w:tc>
          <w:tcPr>
            <w:tcW w:type="dxa" w:w="1872"/>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Wtd. Avg. Price</w:t>
            </w:r>
          </w:p>
        </w:tc>
        <w:tc>
          <w:tcPr>
            <w:tcW w:type="dxa" w:w="1872"/>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 of Plan Reserve</w:t>
            </w:r>
          </w:p>
        </w:tc>
      </w:tr>
      <w:tr>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ISOs</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r>
      <w:tr>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NQSOs</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r>
      <w:tr>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RSAs</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r>
      <w:tr>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RSUs</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r>
      <w:tr>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Total This Consent</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r>
      <w:tr>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Prior Outstanding Awards</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r>
      <w:tr>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Available After This Consent</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r>
    </w:tbl>
    <w:p>
      <w:r>
        <w:br w:type="page"/>
      </w:r>
    </w:p>
    <w:p>
      <w:pPr>
        <w:pStyle w:val="Heading1"/>
        <w:spacing w:after="160" w:before="360"/>
        <w:jc w:val="center"/>
      </w:pPr>
      <w:r>
        <w:rPr>
          <w:rFonts w:ascii="Calibri" w:cs="Calibri" w:eastAsia="Calibri" w:hAnsi="Calibri"/>
          <w:b/>
          <w:bCs/>
          <w:color w:val="1B3A5C"/>
          <w:sz w:val="32"/>
          <w:szCs w:val="32"/>
        </w:rPr>
        <w:t xml:space="preserve">EXHIBIT B: 409A VALUATION SUMMARY</w:t>
      </w:r>
    </w:p>
    <w:p>
      <w:pPr>
        <w:spacing w:after="40"/>
      </w:pPr>
    </w:p>
    <w:p>
      <w:pPr>
        <w:spacing w:after="160" w:before="0" w:line="276"/>
        <w:jc w:val="both"/>
      </w:pPr>
      <w:r>
        <w:rPr>
          <w:rFonts w:ascii="Calibri" w:cs="Calibri" w:eastAsia="Calibri" w:hAnsi="Calibri"/>
          <w:b w:val="false"/>
          <w:bCs w:val="false"/>
          <w:i/>
          <w:iCs/>
          <w:color w:val="2D2D2D"/>
          <w:sz w:val="22"/>
          <w:szCs w:val="22"/>
        </w:rPr>
        <w:t xml:space="preserve">The following is a summary of the independent valuation of the Common Stock of [COMPANY NAME] prepared by [VALUATION FIRM NAME] in accordance with Section 409A of the Internal Revenue Code and applicable Treasury Regulations.</w:t>
      </w:r>
    </w:p>
    <w:p>
      <w:pPr>
        <w:spacing w:after="80"/>
      </w:pPr>
    </w:p>
    <w:p>
      <w:pPr>
        <w:pStyle w:val="Heading2"/>
        <w:spacing w:after="160" w:before="280"/>
        <w:jc w:val="left"/>
      </w:pPr>
      <w:r>
        <w:rPr>
          <w:rFonts w:ascii="Calibri" w:cs="Calibri" w:eastAsia="Calibri" w:hAnsi="Calibri"/>
          <w:b/>
          <w:bCs/>
          <w:color w:val="1B3A5C"/>
          <w:sz w:val="26"/>
          <w:szCs w:val="26"/>
        </w:rPr>
        <w:t xml:space="preserve">B.1 Engagement and Scope</w:t>
      </w:r>
    </w:p>
    <w:p>
      <w:pPr>
        <w:spacing w:after="160" w:before="0" w:line="276"/>
        <w:jc w:val="both"/>
      </w:pPr>
      <w:r>
        <w:rPr>
          <w:rFonts w:ascii="Calibri" w:cs="Calibri" w:eastAsia="Calibri" w:hAnsi="Calibri"/>
          <w:b w:val="false"/>
          <w:bCs w:val="false"/>
          <w:i w:val="false"/>
          <w:iCs w:val="false"/>
          <w:color w:val="2D2D2D"/>
          <w:sz w:val="22"/>
          <w:szCs w:val="22"/>
        </w:rPr>
        <w:t xml:space="preserve">Valuation Firm: [VALUATION FIRM NAME]</w:t>
      </w:r>
    </w:p>
    <w:p>
      <w:pPr>
        <w:spacing w:after="160" w:before="0" w:line="276"/>
        <w:jc w:val="both"/>
      </w:pPr>
      <w:r>
        <w:rPr>
          <w:rFonts w:ascii="Calibri" w:cs="Calibri" w:eastAsia="Calibri" w:hAnsi="Calibri"/>
          <w:b w:val="false"/>
          <w:bCs w:val="false"/>
          <w:i w:val="false"/>
          <w:iCs w:val="false"/>
          <w:color w:val="2D2D2D"/>
          <w:sz w:val="22"/>
          <w:szCs w:val="22"/>
        </w:rPr>
        <w:t xml:space="preserve">Engagement Date: [DATE]</w:t>
      </w:r>
    </w:p>
    <w:p>
      <w:pPr>
        <w:spacing w:after="160" w:before="0" w:line="276"/>
        <w:jc w:val="both"/>
      </w:pPr>
      <w:r>
        <w:rPr>
          <w:rFonts w:ascii="Calibri" w:cs="Calibri" w:eastAsia="Calibri" w:hAnsi="Calibri"/>
          <w:b w:val="false"/>
          <w:bCs w:val="false"/>
          <w:i w:val="false"/>
          <w:iCs w:val="false"/>
          <w:color w:val="2D2D2D"/>
          <w:sz w:val="22"/>
          <w:szCs w:val="22"/>
        </w:rPr>
        <w:t xml:space="preserve">Report Date: [VALUATION REPORT DATE]</w:t>
      </w:r>
    </w:p>
    <w:p>
      <w:pPr>
        <w:spacing w:after="160" w:before="0" w:line="276"/>
        <w:jc w:val="both"/>
      </w:pPr>
      <w:r>
        <w:rPr>
          <w:rFonts w:ascii="Calibri" w:cs="Calibri" w:eastAsia="Calibri" w:hAnsi="Calibri"/>
          <w:b w:val="false"/>
          <w:bCs w:val="false"/>
          <w:i w:val="false"/>
          <w:iCs w:val="false"/>
          <w:color w:val="2D2D2D"/>
          <w:sz w:val="22"/>
          <w:szCs w:val="22"/>
        </w:rPr>
        <w:t xml:space="preserve">Effective Date of Valuation: [VALUATION EFFECTIVE DATE]</w:t>
      </w:r>
    </w:p>
    <w:p>
      <w:pPr>
        <w:spacing w:after="160" w:before="0" w:line="276"/>
        <w:jc w:val="both"/>
      </w:pPr>
      <w:r>
        <w:rPr>
          <w:rFonts w:ascii="Calibri" w:cs="Calibri" w:eastAsia="Calibri" w:hAnsi="Calibri"/>
          <w:b w:val="false"/>
          <w:bCs w:val="false"/>
          <w:i w:val="false"/>
          <w:iCs w:val="false"/>
          <w:color w:val="2D2D2D"/>
          <w:sz w:val="22"/>
          <w:szCs w:val="22"/>
        </w:rPr>
        <w:t xml:space="preserve">Purpose: Determination of the fair market value of Common Stock for purposes of Section 409A of the Code and the Company's equity incentive plan.</w:t>
      </w:r>
    </w:p>
    <w:p>
      <w:pPr>
        <w:spacing w:after="160" w:before="0" w:line="276"/>
        <w:jc w:val="both"/>
      </w:pPr>
      <w:r>
        <w:rPr>
          <w:rFonts w:ascii="Calibri" w:cs="Calibri" w:eastAsia="Calibri" w:hAnsi="Calibri"/>
          <w:b w:val="false"/>
          <w:bCs w:val="false"/>
          <w:i w:val="false"/>
          <w:iCs w:val="false"/>
          <w:color w:val="2D2D2D"/>
          <w:sz w:val="22"/>
          <w:szCs w:val="22"/>
        </w:rPr>
        <w:t xml:space="preserve">Standard of Value: Fair market value, defined as the price at which the Common Stock would change hands between a willing buyer and a willing seller, neither being under any compulsion to buy or sell and both having reasonable knowledge of relevant facts.</w:t>
      </w:r>
    </w:p>
    <w:p>
      <w:pPr>
        <w:pStyle w:val="Heading2"/>
        <w:spacing w:after="160" w:before="280"/>
        <w:jc w:val="left"/>
      </w:pPr>
      <w:r>
        <w:rPr>
          <w:rFonts w:ascii="Calibri" w:cs="Calibri" w:eastAsia="Calibri" w:hAnsi="Calibri"/>
          <w:b/>
          <w:bCs/>
          <w:color w:val="1B3A5C"/>
          <w:sz w:val="26"/>
          <w:szCs w:val="26"/>
        </w:rPr>
        <w:t xml:space="preserve">B.2 Company Overview</w:t>
      </w:r>
    </w:p>
    <w:p>
      <w:pPr>
        <w:spacing w:after="160" w:before="0" w:line="276"/>
        <w:jc w:val="both"/>
      </w:pPr>
      <w:r>
        <w:rPr>
          <w:rFonts w:ascii="Calibri" w:cs="Calibri" w:eastAsia="Calibri" w:hAnsi="Calibri"/>
          <w:b w:val="false"/>
          <w:bCs w:val="false"/>
          <w:i w:val="false"/>
          <w:iCs w:val="false"/>
          <w:color w:val="2D2D2D"/>
          <w:sz w:val="22"/>
          <w:szCs w:val="22"/>
        </w:rPr>
        <w:t xml:space="preserve">Company: [COMPANY NAME], a [STATE] corporation</w:t>
      </w:r>
    </w:p>
    <w:p>
      <w:pPr>
        <w:spacing w:after="160" w:before="0" w:line="276"/>
        <w:jc w:val="both"/>
      </w:pPr>
      <w:r>
        <w:rPr>
          <w:rFonts w:ascii="Calibri" w:cs="Calibri" w:eastAsia="Calibri" w:hAnsi="Calibri"/>
          <w:b w:val="false"/>
          <w:bCs w:val="false"/>
          <w:i w:val="false"/>
          <w:iCs w:val="false"/>
          <w:color w:val="2D2D2D"/>
          <w:sz w:val="22"/>
          <w:szCs w:val="22"/>
        </w:rPr>
        <w:t xml:space="preserve">Industry: [INDUSTRY / SECTOR]</w:t>
      </w:r>
    </w:p>
    <w:p>
      <w:pPr>
        <w:spacing w:after="160" w:before="0" w:line="276"/>
        <w:jc w:val="both"/>
      </w:pPr>
      <w:r>
        <w:rPr>
          <w:rFonts w:ascii="Calibri" w:cs="Calibri" w:eastAsia="Calibri" w:hAnsi="Calibri"/>
          <w:b w:val="false"/>
          <w:bCs w:val="false"/>
          <w:i w:val="false"/>
          <w:iCs w:val="false"/>
          <w:color w:val="2D2D2D"/>
          <w:sz w:val="22"/>
          <w:szCs w:val="22"/>
        </w:rPr>
        <w:t xml:space="preserve">Stage: [SEED / EARLY / GROWTH / LATE STAGE]</w:t>
      </w:r>
    </w:p>
    <w:p>
      <w:pPr>
        <w:spacing w:after="160" w:before="0" w:line="276"/>
        <w:jc w:val="both"/>
      </w:pPr>
      <w:r>
        <w:rPr>
          <w:rFonts w:ascii="Calibri" w:cs="Calibri" w:eastAsia="Calibri" w:hAnsi="Calibri"/>
          <w:b w:val="false"/>
          <w:bCs w:val="false"/>
          <w:i w:val="false"/>
          <w:iCs w:val="false"/>
          <w:color w:val="2D2D2D"/>
          <w:sz w:val="22"/>
          <w:szCs w:val="22"/>
        </w:rPr>
        <w:t xml:space="preserve">Revenue (TTM): $[REVENUE]</w:t>
      </w:r>
    </w:p>
    <w:p>
      <w:pPr>
        <w:spacing w:after="160" w:before="0" w:line="276"/>
        <w:jc w:val="both"/>
      </w:pPr>
      <w:r>
        <w:rPr>
          <w:rFonts w:ascii="Calibri" w:cs="Calibri" w:eastAsia="Calibri" w:hAnsi="Calibri"/>
          <w:b w:val="false"/>
          <w:bCs w:val="false"/>
          <w:i w:val="false"/>
          <w:iCs w:val="false"/>
          <w:color w:val="2D2D2D"/>
          <w:sz w:val="22"/>
          <w:szCs w:val="22"/>
        </w:rPr>
        <w:t xml:space="preserve">Total Financing Raised: $[TOTAL FINANCING]</w:t>
      </w:r>
    </w:p>
    <w:p>
      <w:pPr>
        <w:spacing w:after="160" w:before="0" w:line="276"/>
        <w:jc w:val="both"/>
      </w:pPr>
      <w:r>
        <w:rPr>
          <w:rFonts w:ascii="Calibri" w:cs="Calibri" w:eastAsia="Calibri" w:hAnsi="Calibri"/>
          <w:b w:val="false"/>
          <w:bCs w:val="false"/>
          <w:i w:val="false"/>
          <w:iCs w:val="false"/>
          <w:color w:val="2D2D2D"/>
          <w:sz w:val="22"/>
          <w:szCs w:val="22"/>
        </w:rPr>
        <w:t xml:space="preserve">Most Recent Financing: [SERIES / ROUND] at $[PRICE] per share ([DATE])</w:t>
      </w:r>
    </w:p>
    <w:p>
      <w:pPr>
        <w:spacing w:after="160" w:before="0" w:line="276"/>
        <w:jc w:val="both"/>
      </w:pPr>
      <w:r>
        <w:rPr>
          <w:rFonts w:ascii="Calibri" w:cs="Calibri" w:eastAsia="Calibri" w:hAnsi="Calibri"/>
          <w:b w:val="false"/>
          <w:bCs w:val="false"/>
          <w:i w:val="false"/>
          <w:iCs w:val="false"/>
          <w:color w:val="2D2D2D"/>
          <w:sz w:val="22"/>
          <w:szCs w:val="22"/>
        </w:rPr>
        <w:t xml:space="preserve">Fully Diluted Shares Outstanding: [NUMBER]</w:t>
      </w:r>
    </w:p>
    <w:p>
      <w:pPr>
        <w:pStyle w:val="Heading2"/>
        <w:spacing w:after="160" w:before="280"/>
        <w:jc w:val="left"/>
      </w:pPr>
      <w:r>
        <w:rPr>
          <w:rFonts w:ascii="Calibri" w:cs="Calibri" w:eastAsia="Calibri" w:hAnsi="Calibri"/>
          <w:b/>
          <w:bCs/>
          <w:color w:val="1B3A5C"/>
          <w:sz w:val="26"/>
          <w:szCs w:val="26"/>
        </w:rPr>
        <w:t xml:space="preserve">B.3 Valuation Methodologies</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1200"/>
        <w:gridCol w:w="3000"/>
        <w:gridCol w:w="2360"/>
      </w:tblGrid>
      <w:tr>
        <w:trPr>
          <w:tblHeader/>
        </w:trPr>
        <w:tc>
          <w:tcPr>
            <w:tcW w:type="dxa" w:w="28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Methodology</w:t>
            </w:r>
          </w:p>
        </w:tc>
        <w:tc>
          <w:tcPr>
            <w:tcW w:type="dxa" w:w="12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Weight</w:t>
            </w:r>
          </w:p>
        </w:tc>
        <w:tc>
          <w:tcPr>
            <w:tcW w:type="dxa" w:w="30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Indicated Equity Value</w:t>
            </w:r>
          </w:p>
        </w:tc>
        <w:tc>
          <w:tcPr>
            <w:tcW w:type="dxa" w:w="236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Per Share Value</w:t>
            </w:r>
          </w:p>
        </w:tc>
      </w:tr>
      <w:tr>
        <w:tc>
          <w:tcPr>
            <w:tcW w:type="dxa" w:w="2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Income Approach (DCF)</w:t>
            </w:r>
          </w:p>
        </w:tc>
        <w:tc>
          <w:tcPr>
            <w:tcW w:type="dxa" w:w="12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c>
          <w:tcPr>
            <w:tcW w:type="dxa" w:w="3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2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r>
      <w:tr>
        <w:tc>
          <w:tcPr>
            <w:tcW w:type="dxa" w:w="2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Market Approach (GPC)</w:t>
            </w:r>
          </w:p>
        </w:tc>
        <w:tc>
          <w:tcPr>
            <w:tcW w:type="dxa" w:w="12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c>
          <w:tcPr>
            <w:tcW w:type="dxa" w:w="3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2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r>
      <w:tr>
        <w:tc>
          <w:tcPr>
            <w:tcW w:type="dxa" w:w="2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Market Approach (Precedent Transactions)</w:t>
            </w:r>
          </w:p>
        </w:tc>
        <w:tc>
          <w:tcPr>
            <w:tcW w:type="dxa" w:w="12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c>
          <w:tcPr>
            <w:tcW w:type="dxa" w:w="3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2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r>
      <w:tr>
        <w:tc>
          <w:tcPr>
            <w:tcW w:type="dxa" w:w="2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Backsolve / OPM</w:t>
            </w:r>
          </w:p>
        </w:tc>
        <w:tc>
          <w:tcPr>
            <w:tcW w:type="dxa" w:w="12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c>
          <w:tcPr>
            <w:tcW w:type="dxa" w:w="3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2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r>
      <w:tr>
        <w:tc>
          <w:tcPr>
            <w:tcW w:type="dxa" w:w="2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Asset Approach</w:t>
            </w:r>
          </w:p>
        </w:tc>
        <w:tc>
          <w:tcPr>
            <w:tcW w:type="dxa" w:w="12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c>
          <w:tcPr>
            <w:tcW w:type="dxa" w:w="30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23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r>
      <w:tr>
        <w:tc>
          <w:tcPr>
            <w:tcW w:type="dxa" w:w="2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Weighted Concluded Equity Value</w:t>
            </w:r>
          </w:p>
        </w:tc>
        <w:tc>
          <w:tcPr>
            <w:tcW w:type="dxa" w:w="12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100%</w:t>
            </w:r>
          </w:p>
        </w:tc>
        <w:tc>
          <w:tcPr>
            <w:tcW w:type="dxa" w:w="30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23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r>
    </w:tbl>
    <w:p>
      <w:pPr>
        <w:spacing w:after="80"/>
      </w:pPr>
    </w:p>
    <w:p>
      <w:pPr>
        <w:pStyle w:val="Heading2"/>
        <w:spacing w:after="160" w:before="280"/>
        <w:jc w:val="left"/>
      </w:pPr>
      <w:r>
        <w:rPr>
          <w:rFonts w:ascii="Calibri" w:cs="Calibri" w:eastAsia="Calibri" w:hAnsi="Calibri"/>
          <w:b/>
          <w:bCs/>
          <w:color w:val="1B3A5C"/>
          <w:sz w:val="26"/>
          <w:szCs w:val="26"/>
        </w:rPr>
        <w:t xml:space="preserve">B.4 Equity Allocation Method</w:t>
      </w:r>
    </w:p>
    <w:p>
      <w:pPr>
        <w:spacing w:after="160" w:before="0" w:line="276"/>
        <w:jc w:val="both"/>
      </w:pPr>
      <w:r>
        <w:rPr>
          <w:rFonts w:ascii="Calibri" w:cs="Calibri" w:eastAsia="Calibri" w:hAnsi="Calibri"/>
          <w:b w:val="false"/>
          <w:bCs w:val="false"/>
          <w:i w:val="false"/>
          <w:iCs w:val="false"/>
          <w:color w:val="2D2D2D"/>
          <w:sz w:val="22"/>
          <w:szCs w:val="22"/>
        </w:rPr>
        <w:t xml:space="preserve">Method Used: [OPTION PRICING MODEL (OPM) / PROBABILITY-WEIGHTED EXPECTED RETURN METHOD (PWERM) / CURRENT VALUE METHOD (CVM) / HYBRID]</w:t>
      </w:r>
    </w:p>
    <w:p>
      <w:pPr>
        <w:spacing w:after="160" w:before="0" w:line="276"/>
        <w:jc w:val="both"/>
      </w:pPr>
      <w:r>
        <w:rPr>
          <w:rFonts w:ascii="Calibri" w:cs="Calibri" w:eastAsia="Calibri" w:hAnsi="Calibri"/>
          <w:b w:val="false"/>
          <w:bCs w:val="false"/>
          <w:i w:val="false"/>
          <w:iCs w:val="false"/>
          <w:color w:val="2D2D2D"/>
          <w:sz w:val="22"/>
          <w:szCs w:val="22"/>
        </w:rPr>
        <w:t xml:space="preserve">Allocation among equity classes:</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Equity Class</w:t>
            </w:r>
          </w:p>
        </w:tc>
        <w:tc>
          <w:tcPr>
            <w:tcW w:type="dxa" w:w="234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Shares</w:t>
            </w:r>
          </w:p>
        </w:tc>
        <w:tc>
          <w:tcPr>
            <w:tcW w:type="dxa" w:w="234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Allocated Value</w:t>
            </w:r>
          </w:p>
        </w:tc>
        <w:tc>
          <w:tcPr>
            <w:tcW w:type="dxa" w:w="234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Per Share Value</w:t>
            </w:r>
          </w:p>
        </w:tc>
      </w:tr>
      <w:tr>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Series [__] Preferred</w:t>
            </w:r>
          </w:p>
        </w:tc>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r>
      <w:tr>
        <w:tc>
          <w:tcPr>
            <w:tcW w:type="dxa" w:w="23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Series [__] Preferred</w:t>
            </w:r>
          </w:p>
        </w:tc>
        <w:tc>
          <w:tcPr>
            <w:tcW w:type="dxa" w:w="23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23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23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r>
      <w:tr>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Common Stock</w:t>
            </w:r>
          </w:p>
        </w:tc>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234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w:t>
            </w:r>
          </w:p>
        </w:tc>
      </w:tr>
      <w:tr>
        <w:tc>
          <w:tcPr>
            <w:tcW w:type="dxa" w:w="23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Options/Warrants (as exercised)</w:t>
            </w:r>
          </w:p>
        </w:tc>
        <w:tc>
          <w:tcPr>
            <w:tcW w:type="dxa" w:w="23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23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$[________]</w:t>
            </w:r>
          </w:p>
        </w:tc>
        <w:tc>
          <w:tcPr>
            <w:tcW w:type="dxa" w:w="234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N/A</w:t>
            </w:r>
          </w:p>
        </w:tc>
      </w:tr>
    </w:tbl>
    <w:p>
      <w:pPr>
        <w:spacing w:after="80"/>
      </w:pPr>
    </w:p>
    <w:p>
      <w:pPr>
        <w:pStyle w:val="Heading2"/>
        <w:spacing w:after="160" w:before="280"/>
        <w:jc w:val="left"/>
      </w:pPr>
      <w:r>
        <w:rPr>
          <w:rFonts w:ascii="Calibri" w:cs="Calibri" w:eastAsia="Calibri" w:hAnsi="Calibri"/>
          <w:b/>
          <w:bCs/>
          <w:color w:val="1B3A5C"/>
          <w:sz w:val="26"/>
          <w:szCs w:val="26"/>
        </w:rPr>
        <w:t xml:space="preserve">B.5 Discounts Applied</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1600"/>
        <w:gridCol w:w="4960"/>
      </w:tblGrid>
      <w:tr>
        <w:trPr>
          <w:tblHeader/>
        </w:trPr>
        <w:tc>
          <w:tcPr>
            <w:tcW w:type="dxa" w:w="28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Discount</w:t>
            </w:r>
          </w:p>
        </w:tc>
        <w:tc>
          <w:tcPr>
            <w:tcW w:type="dxa" w:w="16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Rate Applied</w:t>
            </w:r>
          </w:p>
        </w:tc>
        <w:tc>
          <w:tcPr>
            <w:tcW w:type="dxa" w:w="496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Rationale</w:t>
            </w:r>
          </w:p>
        </w:tc>
      </w:tr>
      <w:tr>
        <w:tc>
          <w:tcPr>
            <w:tcW w:type="dxa" w:w="2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Discount for Lack of Marketability (DLOM)</w:t>
            </w:r>
          </w:p>
        </w:tc>
        <w:tc>
          <w:tcPr>
            <w:tcW w:type="dxa" w:w="16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c>
          <w:tcPr>
            <w:tcW w:type="dxa" w:w="49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[SUMMARY OF RATIONALE AND METHODOLOGY]</w:t>
            </w:r>
          </w:p>
        </w:tc>
      </w:tr>
      <w:tr>
        <w:tc>
          <w:tcPr>
            <w:tcW w:type="dxa" w:w="2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Minority Interest Discount</w:t>
            </w:r>
          </w:p>
        </w:tc>
        <w:tc>
          <w:tcPr>
            <w:tcW w:type="dxa" w:w="16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c>
          <w:tcPr>
            <w:tcW w:type="dxa" w:w="49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[SUMMARY OF RATIONALE]</w:t>
            </w:r>
          </w:p>
        </w:tc>
      </w:tr>
      <w:tr>
        <w:tc>
          <w:tcPr>
            <w:tcW w:type="dxa" w:w="2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Other Adjustments</w:t>
            </w:r>
          </w:p>
        </w:tc>
        <w:tc>
          <w:tcPr>
            <w:tcW w:type="dxa" w:w="16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[__]%</w:t>
            </w:r>
          </w:p>
        </w:tc>
        <w:tc>
          <w:tcPr>
            <w:tcW w:type="dxa" w:w="49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[IF APPLICABLE]</w:t>
            </w:r>
          </w:p>
        </w:tc>
      </w:tr>
    </w:tbl>
    <w:p>
      <w:pPr>
        <w:spacing w:after="80"/>
      </w:pPr>
    </w:p>
    <w:p>
      <w:pPr>
        <w:pStyle w:val="Heading2"/>
        <w:spacing w:after="160" w:before="280"/>
        <w:jc w:val="left"/>
      </w:pPr>
      <w:r>
        <w:rPr>
          <w:rFonts w:ascii="Calibri" w:cs="Calibri" w:eastAsia="Calibri" w:hAnsi="Calibri"/>
          <w:b/>
          <w:bCs/>
          <w:color w:val="1B3A5C"/>
          <w:sz w:val="26"/>
          <w:szCs w:val="26"/>
        </w:rPr>
        <w:t xml:space="preserve">B.6 Concluded Fair Market Value</w:t>
      </w:r>
    </w:p>
    <w:p>
      <w:pPr>
        <w:spacing w:after="160" w:before="0" w:line="276"/>
        <w:jc w:val="both"/>
      </w:pPr>
      <w:r>
        <w:rPr>
          <w:rFonts w:ascii="Calibri" w:cs="Calibri" w:eastAsia="Calibri" w:hAnsi="Calibri"/>
          <w:b/>
          <w:bCs/>
          <w:color w:val="2D2D2D"/>
          <w:sz w:val="22"/>
          <w:szCs w:val="22"/>
        </w:rPr>
        <w:t xml:space="preserve">Fair Market Value Per Share of Common Stock: $[CONCLUDED VALUE PER SHARE]</w:t>
      </w:r>
    </w:p>
    <w:p>
      <w:pPr>
        <w:spacing w:after="160" w:before="0" w:line="276"/>
        <w:jc w:val="both"/>
      </w:pPr>
      <w:r>
        <w:rPr>
          <w:rFonts w:ascii="Calibri" w:cs="Calibri" w:eastAsia="Calibri" w:hAnsi="Calibri"/>
          <w:b w:val="false"/>
          <w:bCs w:val="false"/>
          <w:i w:val="false"/>
          <w:iCs w:val="false"/>
          <w:color w:val="2D2D2D"/>
          <w:sz w:val="22"/>
          <w:szCs w:val="22"/>
        </w:rPr>
        <w:t xml:space="preserve">This value is effective as of [VALUATION EFFECTIVE DATE] and is valid for up to twelve (12) months from the report date, absent a material event that would render the valuation unreliable.</w:t>
      </w:r>
    </w:p>
    <w:p>
      <w:pPr>
        <w:pStyle w:val="Heading2"/>
        <w:spacing w:after="160" w:before="280"/>
        <w:jc w:val="left"/>
      </w:pPr>
      <w:r>
        <w:rPr>
          <w:rFonts w:ascii="Calibri" w:cs="Calibri" w:eastAsia="Calibri" w:hAnsi="Calibri"/>
          <w:b/>
          <w:bCs/>
          <w:color w:val="1B3A5C"/>
          <w:sz w:val="26"/>
          <w:szCs w:val="26"/>
        </w:rPr>
        <w:t xml:space="preserve">B.7 Key Assumptions and Limitations</w:t>
      </w:r>
    </w:p>
    <w:p>
      <w:pPr>
        <w:spacing w:after="160" w:before="0" w:line="276"/>
        <w:jc w:val="both"/>
      </w:pPr>
      <w:r>
        <w:rPr>
          <w:rFonts w:ascii="Calibri" w:cs="Calibri" w:eastAsia="Calibri" w:hAnsi="Calibri"/>
          <w:b w:val="false"/>
          <w:bCs w:val="false"/>
          <w:i w:val="false"/>
          <w:iCs w:val="false"/>
          <w:color w:val="2D2D2D"/>
          <w:sz w:val="22"/>
          <w:szCs w:val="22"/>
        </w:rPr>
        <w:t xml:space="preserve">The valuation is based on the following key assumptions: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The financial projections provided by Company management are reasonable and achievable;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No material changes have occurred in the Company's business, financial condition, or industry between the effective date and the report date;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The Company will continue as a going concern;</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The information provided by Company management is accurate and complete; and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(e) [ADDITIONAL ASSUMPTIONS AS APPLICABLE].</w:t>
      </w:r>
    </w:p>
    <w:p>
      <w:r>
        <w:br w:type="page"/>
      </w:r>
    </w:p>
    <w:p>
      <w:pPr>
        <w:pStyle w:val="Heading1"/>
        <w:spacing w:after="160" w:before="360"/>
        <w:jc w:val="center"/>
      </w:pPr>
      <w:r>
        <w:rPr>
          <w:rFonts w:ascii="Calibri" w:cs="Calibri" w:eastAsia="Calibri" w:hAnsi="Calibri"/>
          <w:b/>
          <w:bCs/>
          <w:color w:val="1B3A5C"/>
          <w:sz w:val="32"/>
          <w:szCs w:val="32"/>
        </w:rPr>
        <w:t xml:space="preserve">EXHIBIT C: RULE 701 COMPLIANCE CALCULATION</w:t>
      </w:r>
    </w:p>
    <w:p>
      <w:pPr>
        <w:spacing w:after="40"/>
      </w:pPr>
    </w:p>
    <w:p>
      <w:pPr>
        <w:spacing w:after="160" w:before="0" w:line="276"/>
        <w:jc w:val="both"/>
      </w:pPr>
      <w:r>
        <w:rPr>
          <w:rFonts w:ascii="Calibri" w:cs="Calibri" w:eastAsia="Calibri" w:hAnsi="Calibri"/>
          <w:b w:val="false"/>
          <w:bCs w:val="false"/>
          <w:i/>
          <w:iCs/>
          <w:color w:val="2D2D2D"/>
          <w:sz w:val="22"/>
          <w:szCs w:val="22"/>
        </w:rPr>
        <w:t xml:space="preserve">The following calculation demonstrates the Company's compliance with Rule 701 under the Securities Act of 1933 in connection with the equity awards granted pursuant to this consent.</w:t>
      </w:r>
    </w:p>
    <w:p>
      <w:pPr>
        <w:spacing w:after="80"/>
      </w:pPr>
    </w:p>
    <w:p>
      <w:pPr>
        <w:pStyle w:val="Heading2"/>
        <w:spacing w:after="160" w:before="280"/>
        <w:jc w:val="left"/>
      </w:pPr>
      <w:r>
        <w:rPr>
          <w:rFonts w:ascii="Calibri" w:cs="Calibri" w:eastAsia="Calibri" w:hAnsi="Calibri"/>
          <w:b/>
          <w:bCs/>
          <w:color w:val="1B3A5C"/>
          <w:sz w:val="26"/>
          <w:szCs w:val="26"/>
        </w:rPr>
        <w:t xml:space="preserve">C.1 Rule 701 Overview</w:t>
      </w:r>
    </w:p>
    <w:p>
      <w:pPr>
        <w:spacing w:after="160" w:before="0" w:line="276"/>
        <w:jc w:val="both"/>
      </w:pPr>
      <w:r>
        <w:rPr>
          <w:rFonts w:ascii="Calibri" w:cs="Calibri" w:eastAsia="Calibri" w:hAnsi="Calibri"/>
          <w:b w:val="false"/>
          <w:bCs w:val="false"/>
          <w:i w:val="false"/>
          <w:iCs w:val="false"/>
          <w:color w:val="2D2D2D"/>
          <w:sz w:val="22"/>
          <w:szCs w:val="22"/>
        </w:rPr>
        <w:t xml:space="preserve">Rule 701 provides an exemption from registration under the Securities Act for offers and sales of securities made pursuant to written compensatory benefit plans or written compensation contracts. The aggregate sales price or amount of securities sold in reliance on Rule 701 during any consecutive 12-month period must not exceed the greatest of: (i) $1,000,000; (ii) 15% of total assets; or (iii) 15% of the outstanding amount of the class of securities being offered.</w:t>
      </w:r>
    </w:p>
    <w:p>
      <w:pPr>
        <w:pStyle w:val="Heading2"/>
        <w:spacing w:after="160" w:before="280"/>
        <w:jc w:val="left"/>
      </w:pPr>
      <w:r>
        <w:rPr>
          <w:rFonts w:ascii="Calibri" w:cs="Calibri" w:eastAsia="Calibri" w:hAnsi="Calibri"/>
          <w:b/>
          <w:bCs/>
          <w:color w:val="1B3A5C"/>
          <w:sz w:val="26"/>
          <w:szCs w:val="26"/>
        </w:rPr>
        <w:t xml:space="preserve">C.2 Ceiling Calculation</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800"/>
        <w:gridCol w:w="3600"/>
        <w:gridCol w:w="2960"/>
      </w:tblGrid>
      <w:tr>
        <w:trPr>
          <w:tblHeader/>
        </w:trPr>
        <w:tc>
          <w:tcPr>
            <w:tcW w:type="dxa" w:w="28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Test</w:t>
            </w:r>
          </w:p>
        </w:tc>
        <w:tc>
          <w:tcPr>
            <w:tcW w:type="dxa" w:w="360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Calculation</w:t>
            </w:r>
          </w:p>
        </w:tc>
        <w:tc>
          <w:tcPr>
            <w:tcW w:type="dxa" w:w="2960"/>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Result</w:t>
            </w:r>
          </w:p>
        </w:tc>
      </w:tr>
      <w:tr>
        <w:tc>
          <w:tcPr>
            <w:tcW w:type="dxa" w:w="2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Test (i): Dollar Ceiling</w:t>
            </w:r>
          </w:p>
        </w:tc>
        <w:tc>
          <w:tcPr>
            <w:tcW w:type="dxa" w:w="36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Fixed</w:t>
            </w:r>
          </w:p>
        </w:tc>
        <w:tc>
          <w:tcPr>
            <w:tcW w:type="dxa" w:w="29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$1,000,000</w:t>
            </w:r>
          </w:p>
        </w:tc>
      </w:tr>
      <w:tr>
        <w:tc>
          <w:tcPr>
            <w:tcW w:type="dxa" w:w="2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Test (ii): 15% of Total Assets</w:t>
            </w:r>
          </w:p>
        </w:tc>
        <w:tc>
          <w:tcPr>
            <w:tcW w:type="dxa" w:w="36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[TOTAL ASSETS] x 15%</w:t>
            </w:r>
          </w:p>
        </w:tc>
        <w:tc>
          <w:tcPr>
            <w:tcW w:type="dxa" w:w="29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$[RESULT]</w:t>
            </w:r>
          </w:p>
        </w:tc>
      </w:tr>
      <w:tr>
        <w:tc>
          <w:tcPr>
            <w:tcW w:type="dxa" w:w="28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Test (iii): 15% of Outstanding Securities</w:t>
            </w:r>
          </w:p>
        </w:tc>
        <w:tc>
          <w:tcPr>
            <w:tcW w:type="dxa" w:w="360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[OUTSTANDING SHARES] x 15%</w:t>
            </w:r>
          </w:p>
        </w:tc>
        <w:tc>
          <w:tcPr>
            <w:tcW w:type="dxa" w:w="2960"/>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[RESULT] shares</w:t>
            </w:r>
          </w:p>
        </w:tc>
      </w:tr>
      <w:tr>
        <w:tc>
          <w:tcPr>
            <w:tcW w:type="dxa" w:w="28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Applicable Ceiling</w:t>
            </w:r>
          </w:p>
        </w:tc>
        <w:tc>
          <w:tcPr>
            <w:tcW w:type="dxa" w:w="360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Greatest of (i), (ii), (iii)</w:t>
            </w:r>
          </w:p>
        </w:tc>
        <w:tc>
          <w:tcPr>
            <w:tcW w:type="dxa" w:w="2960"/>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$[APPLICABLE CEILING]</w:t>
            </w:r>
          </w:p>
        </w:tc>
      </w:tr>
    </w:tbl>
    <w:p>
      <w:pPr>
        <w:spacing w:after="80"/>
      </w:pPr>
    </w:p>
    <w:p>
      <w:pPr>
        <w:pStyle w:val="Heading2"/>
        <w:spacing w:after="160" w:before="280"/>
        <w:jc w:val="left"/>
      </w:pPr>
      <w:r>
        <w:rPr>
          <w:rFonts w:ascii="Calibri" w:cs="Calibri" w:eastAsia="Calibri" w:hAnsi="Calibri"/>
          <w:b/>
          <w:bCs/>
          <w:color w:val="1B3A5C"/>
          <w:sz w:val="26"/>
          <w:szCs w:val="26"/>
        </w:rPr>
        <w:t xml:space="preserve">C.3 Trailing 12-Month Sales</w:t>
      </w:r>
    </w:p>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72"/>
        <w:gridCol w:w="1872"/>
        <w:gridCol w:w="1872"/>
        <w:gridCol w:w="1872"/>
        <w:gridCol w:w="1872"/>
      </w:tblGrid>
      <w:tr>
        <w:trPr>
          <w:tblHeader/>
        </w:trPr>
        <w:tc>
          <w:tcPr>
            <w:tcW w:type="dxa" w:w="1872"/>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Date</w:t>
            </w:r>
          </w:p>
        </w:tc>
        <w:tc>
          <w:tcPr>
            <w:tcW w:type="dxa" w:w="1872"/>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Type of Award</w:t>
            </w:r>
          </w:p>
        </w:tc>
        <w:tc>
          <w:tcPr>
            <w:tcW w:type="dxa" w:w="1872"/>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Recipients</w:t>
            </w:r>
          </w:p>
        </w:tc>
        <w:tc>
          <w:tcPr>
            <w:tcW w:type="dxa" w:w="1872"/>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Shares</w:t>
            </w:r>
          </w:p>
        </w:tc>
        <w:tc>
          <w:tcPr>
            <w:tcW w:type="dxa" w:w="1872"/>
            <w:shd w:fill="1B3A5C" w:val="clear"/>
            <w:tcMar>
              <w:top w:type="dxa" w:w="40"/>
              <w:left w:type="dxa" w:w="60"/>
              <w:bottom w:type="dxa" w:w="40"/>
              <w:right w:type="dxa" w:w="60"/>
            </w:tcMar>
            <w:vAlign w:val="center"/>
          </w:tcPr>
          <w:p>
            <w:pPr>
              <w:spacing w:after="40"/>
              <w:jc w:val="center"/>
            </w:pPr>
            <w:r>
              <w:rPr>
                <w:rFonts w:ascii="Calibri" w:cs="Calibri" w:eastAsia="Calibri" w:hAnsi="Calibri"/>
                <w:b/>
                <w:bCs/>
                <w:i w:val="false"/>
                <w:iCs w:val="false"/>
                <w:color w:val="FFFFFF"/>
                <w:sz w:val="17"/>
                <w:szCs w:val="17"/>
              </w:rPr>
              <w:t xml:space="preserve">Aggregate Value</w:t>
            </w:r>
          </w:p>
        </w:tc>
      </w:tr>
      <w:tr>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[ISO/NQSO/RSA/RSU]</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[SHARES]</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$[VALUE]</w:t>
            </w:r>
          </w:p>
        </w:tc>
      </w:tr>
      <w:tr>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[ISO/NQSO/RSA/RSU]</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[SHARES]</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$[VALUE]</w:t>
            </w:r>
          </w:p>
        </w:tc>
      </w:tr>
      <w:tr>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[DATE]</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[ISO/NQSO/RSA/RSU]</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[SHARES]</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$[VALUE]</w:t>
            </w:r>
          </w:p>
        </w:tc>
      </w:tr>
      <w:tr>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This Consent</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[MIXED]</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[NUMBER]</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[SHARES]</w:t>
            </w:r>
          </w:p>
        </w:tc>
        <w:tc>
          <w:tcPr>
            <w:tcW w:type="dxa" w:w="1872"/>
            <w:shd w:fill="FFFFFF"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$[VALUE]</w:t>
            </w:r>
          </w:p>
        </w:tc>
      </w:tr>
      <w:tr>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Total (12-month)</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[TOTAL]</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[TOTAL SHARES]</w:t>
            </w:r>
          </w:p>
        </w:tc>
        <w:tc>
          <w:tcPr>
            <w:tcW w:type="dxa" w:w="1872"/>
            <w:shd w:fill="F5F7FA" w:val="clear"/>
            <w:tcMar>
              <w:top w:type="dxa" w:w="40"/>
              <w:left w:type="dxa" w:w="60"/>
              <w:bottom w:type="dxa" w:w="40"/>
              <w:right w:type="dxa" w:w="60"/>
            </w:tcMar>
            <w:vAlign w:val="center"/>
          </w:tcPr>
          <w:p>
            <w:pPr>
              <w:spacing w:after="40"/>
              <w:jc w:val="left"/>
            </w:pPr>
            <w:r>
              <w:rPr>
                <w:rFonts w:ascii="Calibri" w:cs="Calibri" w:eastAsia="Calibri" w:hAnsi="Calibri"/>
                <w:b w:val="false"/>
                <w:bCs w:val="false"/>
                <w:i w:val="false"/>
                <w:iCs w:val="false"/>
                <w:color w:val="2D2D2D"/>
                <w:sz w:val="17"/>
                <w:szCs w:val="17"/>
              </w:rPr>
              <w:t xml:space="preserve">$[TOTAL VALUE]</w:t>
            </w:r>
          </w:p>
        </w:tc>
      </w:tr>
    </w:tbl>
    <w:p>
      <w:pPr>
        <w:spacing w:after="80"/>
      </w:pPr>
    </w:p>
    <w:p>
      <w:pPr>
        <w:pStyle w:val="Heading2"/>
        <w:spacing w:after="160" w:before="280"/>
        <w:jc w:val="left"/>
      </w:pPr>
      <w:r>
        <w:rPr>
          <w:rFonts w:ascii="Calibri" w:cs="Calibri" w:eastAsia="Calibri" w:hAnsi="Calibri"/>
          <w:b/>
          <w:bCs/>
          <w:color w:val="1B3A5C"/>
          <w:sz w:val="26"/>
          <w:szCs w:val="26"/>
        </w:rPr>
        <w:t xml:space="preserve">C.4 Compliance Determination</w:t>
      </w:r>
    </w:p>
    <w:p>
      <w:pPr>
        <w:spacing w:after="160" w:before="0" w:line="276"/>
        <w:jc w:val="both"/>
      </w:pPr>
      <w:r>
        <w:rPr>
          <w:rFonts w:ascii="Calibri" w:cs="Calibri" w:eastAsia="Calibri" w:hAnsi="Calibri"/>
          <w:b/>
          <w:bCs/>
          <w:color w:val="2D2D2D"/>
          <w:sz w:val="22"/>
          <w:szCs w:val="22"/>
        </w:rPr>
        <w:t xml:space="preserve">Applicable Rule 701 Ceiling: </w:t>
      </w:r>
      <w:r>
        <w:rPr>
          <w:rFonts w:ascii="Calibri" w:cs="Calibri" w:eastAsia="Calibri" w:hAnsi="Calibri"/>
          <w:color w:val="2D2D2D"/>
          <w:sz w:val="22"/>
          <w:szCs w:val="22"/>
        </w:rPr>
        <w:t xml:space="preserve">$[CEILING AMOUNT]</w:t>
      </w:r>
    </w:p>
    <w:p>
      <w:pPr>
        <w:spacing w:after="160" w:before="0" w:line="276"/>
        <w:jc w:val="both"/>
      </w:pPr>
      <w:r>
        <w:rPr>
          <w:rFonts w:ascii="Calibri" w:cs="Calibri" w:eastAsia="Calibri" w:hAnsi="Calibri"/>
          <w:b/>
          <w:bCs/>
          <w:color w:val="2D2D2D"/>
          <w:sz w:val="22"/>
          <w:szCs w:val="22"/>
        </w:rPr>
        <w:t xml:space="preserve">Aggregate 12-Month Sales (including this consent): </w:t>
      </w:r>
      <w:r>
        <w:rPr>
          <w:rFonts w:ascii="Calibri" w:cs="Calibri" w:eastAsia="Calibri" w:hAnsi="Calibri"/>
          <w:color w:val="2D2D2D"/>
          <w:sz w:val="22"/>
          <w:szCs w:val="22"/>
        </w:rPr>
        <w:t xml:space="preserve">$[AGGREGATE SALES]</w:t>
      </w:r>
    </w:p>
    <w:p>
      <w:pPr>
        <w:spacing w:after="160" w:before="0" w:line="276"/>
        <w:jc w:val="both"/>
      </w:pPr>
      <w:r>
        <w:rPr>
          <w:rFonts w:ascii="Calibri" w:cs="Calibri" w:eastAsia="Calibri" w:hAnsi="Calibri"/>
          <w:b/>
          <w:bCs/>
          <w:color w:val="2D2D2D"/>
          <w:sz w:val="22"/>
          <w:szCs w:val="22"/>
        </w:rPr>
        <w:t xml:space="preserve">Remaining Headroom: </w:t>
      </w:r>
      <w:r>
        <w:rPr>
          <w:rFonts w:ascii="Calibri" w:cs="Calibri" w:eastAsia="Calibri" w:hAnsi="Calibri"/>
          <w:color w:val="2D2D2D"/>
          <w:sz w:val="22"/>
          <w:szCs w:val="22"/>
        </w:rPr>
        <w:t xml:space="preserve">$[HEADROOM]</w:t>
      </w:r>
    </w:p>
    <w:p>
      <w:pPr>
        <w:spacing w:after="160" w:before="0" w:line="276"/>
        <w:jc w:val="both"/>
      </w:pPr>
      <w:r>
        <w:rPr>
          <w:rFonts w:ascii="Calibri" w:cs="Calibri" w:eastAsia="Calibri" w:hAnsi="Calibri"/>
          <w:b/>
          <w:bCs/>
          <w:color w:val="2D2D2D"/>
          <w:sz w:val="22"/>
          <w:szCs w:val="22"/>
        </w:rPr>
        <w:t xml:space="preserve">Compliance Status: </w:t>
      </w:r>
      <w:r>
        <w:rPr>
          <w:rFonts w:ascii="Calibri" w:cs="Calibri" w:eastAsia="Calibri" w:hAnsi="Calibri"/>
          <w:color w:val="2D2D2D"/>
          <w:sz w:val="22"/>
          <w:szCs w:val="22"/>
        </w:rPr>
        <w:t xml:space="preserve">[IN COMPLIANCE / APPROACHING CEILING -- SEE NOTE]</w:t>
      </w:r>
    </w:p>
    <w:p>
      <w:pPr>
        <w:spacing w:after="60"/>
      </w:pPr>
    </w:p>
    <w:p>
      <w:pPr>
        <w:spacing w:after="160" w:before="0" w:line="276"/>
        <w:jc w:val="both"/>
      </w:pPr>
      <w:r>
        <w:rPr>
          <w:rFonts w:ascii="Calibri" w:cs="Calibri" w:eastAsia="Calibri" w:hAnsi="Calibri"/>
          <w:b w:val="false"/>
          <w:bCs w:val="false"/>
          <w:i w:val="false"/>
          <w:iCs w:val="false"/>
          <w:color w:val="2D2D2D"/>
          <w:sz w:val="22"/>
          <w:szCs w:val="22"/>
        </w:rPr>
        <w:t xml:space="preserve">Enhanced Disclosure Threshold ($10,000,000):</w:t>
      </w:r>
    </w:p>
    <w:p>
      <w:pPr>
        <w:spacing w:after="160" w:before="0" w:line="276"/>
        <w:jc w:val="both"/>
      </w:pPr>
      <w:r>
        <w:rPr>
          <w:rFonts w:ascii="Calibri" w:cs="Calibri" w:eastAsia="Calibri" w:hAnsi="Calibri"/>
          <w:b/>
          <w:bCs/>
          <w:color w:val="2D2D2D"/>
          <w:sz w:val="22"/>
          <w:szCs w:val="22"/>
        </w:rPr>
        <w:t xml:space="preserve">Subject to Enhanced Disclosure: </w:t>
      </w:r>
      <w:r>
        <w:rPr>
          <w:rFonts w:ascii="Calibri" w:cs="Calibri" w:eastAsia="Calibri" w:hAnsi="Calibri"/>
          <w:color w:val="2D2D2D"/>
          <w:sz w:val="22"/>
          <w:szCs w:val="22"/>
        </w:rPr>
        <w:t xml:space="preserve">[YES -- See C.5 / NO]</w:t>
      </w:r>
    </w:p>
    <w:p>
      <w:pPr>
        <w:pStyle w:val="Heading2"/>
        <w:spacing w:after="160" w:before="280"/>
        <w:jc w:val="left"/>
      </w:pPr>
      <w:r>
        <w:rPr>
          <w:rFonts w:ascii="Calibri" w:cs="Calibri" w:eastAsia="Calibri" w:hAnsi="Calibri"/>
          <w:b/>
          <w:bCs/>
          <w:color w:val="1B3A5C"/>
          <w:sz w:val="26"/>
          <w:szCs w:val="26"/>
        </w:rPr>
        <w:t xml:space="preserve">C.5 Enhanced Disclosure Requirements (If Applicable)</w:t>
      </w:r>
    </w:p>
    <w:p>
      <w:pPr>
        <w:spacing w:after="160" w:before="0" w:line="276"/>
        <w:jc w:val="both"/>
      </w:pPr>
      <w:r>
        <w:rPr>
          <w:rFonts w:ascii="Calibri" w:cs="Calibri" w:eastAsia="Calibri" w:hAnsi="Calibri"/>
          <w:b w:val="false"/>
          <w:bCs w:val="false"/>
          <w:i w:val="false"/>
          <w:iCs w:val="false"/>
          <w:color w:val="2D2D2D"/>
          <w:sz w:val="22"/>
          <w:szCs w:val="22"/>
        </w:rPr>
        <w:t xml:space="preserve">If aggregate Rule 701 sales during any consecutive 12-month period exceed $10,000,000, the Company must deliver the following to each recipient not later than a reasonable period before the date of sale: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A copy of the Plan or the compensatory contract;</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A copy of the summary of the Plan's material terms (if required by the recipient);</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(c) Information about the risks associated with investment in the Company's securities;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(d) Financial statements of the Company as of a date no more than 180 days before the date of sale; and</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(e) If the aggregate sales price exceeds $10,000,000 in a 12-month period, such financial statements must be audited.</w:t>
      </w:r>
    </w:p>
    <w:p>
      <w:r>
        <w:br w:type="page"/>
      </w:r>
    </w:p>
    <w:p>
      <w:pPr>
        <w:pStyle w:val="Heading1"/>
        <w:spacing w:after="160" w:before="360"/>
        <w:jc w:val="center"/>
      </w:pPr>
      <w:r>
        <w:rPr>
          <w:rFonts w:ascii="Calibri" w:cs="Calibri" w:eastAsia="Calibri" w:hAnsi="Calibri"/>
          <w:b/>
          <w:bCs/>
          <w:color w:val="1B3A5C"/>
          <w:sz w:val="32"/>
          <w:szCs w:val="32"/>
        </w:rPr>
        <w:t xml:space="preserve">EXHIBIT D: FORM OF STOCK OPTION AGREEMENT</w:t>
      </w:r>
    </w:p>
    <w:p>
      <w:pPr>
        <w:spacing w:after="40"/>
      </w:pPr>
    </w:p>
    <w:p>
      <w:pPr>
        <w:spacing w:after="160" w:before="0" w:line="276"/>
        <w:jc w:val="center"/>
      </w:pPr>
      <w:r>
        <w:rPr>
          <w:rFonts w:ascii="Calibri" w:cs="Calibri" w:eastAsia="Calibri" w:hAnsi="Calibri"/>
          <w:b/>
          <w:bCs/>
          <w:i w:val="false"/>
          <w:iCs w:val="false"/>
          <w:color w:val="2D2D2D"/>
          <w:sz w:val="22"/>
          <w:szCs w:val="22"/>
        </w:rPr>
        <w:t xml:space="preserve">[COMPANY NAME]</w:t>
      </w:r>
    </w:p>
    <w:p>
      <w:pPr>
        <w:spacing w:after="160" w:before="0" w:line="276"/>
        <w:jc w:val="center"/>
      </w:pPr>
      <w:r>
        <w:rPr>
          <w:rFonts w:ascii="Calibri" w:cs="Calibri" w:eastAsia="Calibri" w:hAnsi="Calibri"/>
          <w:b/>
          <w:bCs/>
          <w:i w:val="false"/>
          <w:iCs w:val="false"/>
          <w:color w:val="2D2D2D"/>
          <w:sz w:val="22"/>
          <w:szCs w:val="22"/>
        </w:rPr>
        <w:t xml:space="preserve">[YEAR] EQUITY INCENTIVE PLAN</w:t>
      </w:r>
    </w:p>
    <w:p>
      <w:pPr>
        <w:spacing w:after="160" w:before="0" w:line="276"/>
        <w:jc w:val="center"/>
      </w:pPr>
      <w:r>
        <w:rPr>
          <w:rFonts w:ascii="Calibri" w:cs="Calibri" w:eastAsia="Calibri" w:hAnsi="Calibri"/>
          <w:b/>
          <w:bCs/>
          <w:i w:val="false"/>
          <w:iCs w:val="false"/>
          <w:color w:val="2D2D2D"/>
          <w:sz w:val="22"/>
          <w:szCs w:val="22"/>
        </w:rPr>
        <w:t xml:space="preserve">STOCK OPTION AGREEMENT</w:t>
      </w:r>
    </w:p>
    <w:p>
      <w:pPr>
        <w:spacing w:after="60"/>
      </w:pPr>
    </w:p>
    <w:p>
      <w:pPr>
        <w:spacing w:after="160" w:before="0" w:line="276"/>
        <w:jc w:val="both"/>
      </w:pPr>
      <w:r>
        <w:rPr>
          <w:rFonts w:ascii="Calibri" w:cs="Calibri" w:eastAsia="Calibri" w:hAnsi="Calibri"/>
          <w:b w:val="false"/>
          <w:bCs w:val="false"/>
          <w:i w:val="false"/>
          <w:iCs w:val="false"/>
          <w:color w:val="2D2D2D"/>
          <w:sz w:val="22"/>
          <w:szCs w:val="22"/>
        </w:rPr>
        <w:t xml:space="preserve">This Stock Option Agreement (this "Agreement") is entered into as of [GRANT DATE] (the "Grant Date") by and between [COMPANY NAME], a [STATE] corporation (the "Company"), and [OPTIONEE NAME] (the "Optionee").</w:t>
      </w:r>
    </w:p>
    <w:p>
      <w:pPr>
        <w:spacing w:after="40"/>
      </w:pPr>
    </w:p>
    <w:p>
      <w:pPr>
        <w:pStyle w:val="Heading2"/>
        <w:spacing w:after="160" w:before="280"/>
        <w:jc w:val="left"/>
      </w:pPr>
      <w:r>
        <w:rPr>
          <w:rFonts w:ascii="Calibri" w:cs="Calibri" w:eastAsia="Calibri" w:hAnsi="Calibri"/>
          <w:b/>
          <w:bCs/>
          <w:color w:val="1B3A5C"/>
          <w:sz w:val="26"/>
          <w:szCs w:val="26"/>
        </w:rPr>
        <w:t xml:space="preserve">D.1 Grant of Option</w:t>
      </w:r>
    </w:p>
    <w:p>
      <w:pPr>
        <w:spacing w:after="160" w:before="0" w:line="276"/>
        <w:jc w:val="both"/>
      </w:pPr>
      <w:r>
        <w:rPr>
          <w:rFonts w:ascii="Calibri" w:cs="Calibri" w:eastAsia="Calibri" w:hAnsi="Calibri"/>
          <w:b w:val="false"/>
          <w:bCs w:val="false"/>
          <w:i w:val="false"/>
          <w:iCs w:val="false"/>
          <w:color w:val="2D2D2D"/>
          <w:sz w:val="22"/>
          <w:szCs w:val="22"/>
        </w:rPr>
        <w:t xml:space="preserve">The Company hereby grants to the Optionee an option (the "Option") to purchase [NUMBER OF SHARES] shares of Common Stock (the "Shares") at an exercise price of $[EXERCISE PRICE] per share (the "Exercise Price"), subject to the terms and conditions of this Agreement and the [COMPANY NAME] [YEAR] Equity Incentive Plan (the "Plan"). Unless otherwise defined herein, capitalized terms shall have the meanings ascribed to them in the Plan.</w:t>
      </w:r>
    </w:p>
    <w:p>
      <w:pPr>
        <w:spacing w:after="20"/>
      </w:pPr>
    </w:p>
    <w:p>
      <w:pPr>
        <w:pStyle w:val="Heading2"/>
        <w:spacing w:after="160" w:before="280"/>
        <w:jc w:val="left"/>
      </w:pPr>
      <w:r>
        <w:rPr>
          <w:rFonts w:ascii="Calibri" w:cs="Calibri" w:eastAsia="Calibri" w:hAnsi="Calibri"/>
          <w:b/>
          <w:bCs/>
          <w:color w:val="1B3A5C"/>
          <w:sz w:val="26"/>
          <w:szCs w:val="26"/>
        </w:rPr>
        <w:t xml:space="preserve">D.2 Type of Option</w:t>
      </w:r>
    </w:p>
    <w:p>
      <w:pPr>
        <w:spacing w:after="160" w:before="0" w:line="276"/>
        <w:jc w:val="both"/>
      </w:pPr>
      <w:r>
        <w:rPr>
          <w:rFonts w:ascii="Calibri" w:cs="Calibri" w:eastAsia="Calibri" w:hAnsi="Calibri"/>
          <w:b w:val="false"/>
          <w:bCs w:val="false"/>
          <w:i w:val="false"/>
          <w:iCs w:val="false"/>
          <w:color w:val="2D2D2D"/>
          <w:sz w:val="22"/>
          <w:szCs w:val="22"/>
        </w:rPr>
        <w:t xml:space="preserve">This Option is designated as [an Incentive Stock Option ("ISO") under Section 422 of the Internal Revenue Code of 1986, as amended (the "Code") / a Nonqualified Stock Option ("NQSO")]. To the extent that the aggregate Fair Market Value of shares with respect to which ISOs are exercisable for the first time by the Optionee during any calendar year exceeds $100,000, such excess options shall be treated as NQSOs.</w:t>
      </w:r>
    </w:p>
    <w:p>
      <w:pPr>
        <w:pStyle w:val="Heading2"/>
        <w:spacing w:after="160" w:before="280"/>
        <w:jc w:val="left"/>
      </w:pPr>
      <w:r>
        <w:rPr>
          <w:rFonts w:ascii="Calibri" w:cs="Calibri" w:eastAsia="Calibri" w:hAnsi="Calibri"/>
          <w:b/>
          <w:bCs/>
          <w:color w:val="1B3A5C"/>
          <w:sz w:val="26"/>
          <w:szCs w:val="26"/>
        </w:rPr>
        <w:t xml:space="preserve">D.3 Vesting Schedule</w:t>
      </w:r>
    </w:p>
    <w:p>
      <w:pPr>
        <w:spacing w:after="160" w:before="0" w:line="276"/>
        <w:jc w:val="both"/>
      </w:pPr>
      <w:r>
        <w:rPr>
          <w:rFonts w:ascii="Calibri" w:cs="Calibri" w:eastAsia="Calibri" w:hAnsi="Calibri"/>
          <w:b w:val="false"/>
          <w:bCs w:val="false"/>
          <w:i w:val="false"/>
          <w:iCs w:val="false"/>
          <w:color w:val="2D2D2D"/>
          <w:sz w:val="22"/>
          <w:szCs w:val="22"/>
        </w:rPr>
        <w:t xml:space="preserve">The Option shall vest and become exercisable as follows:</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[TWENTY-FIVE PERCENT (25%)] of the Shares shall vest on [CLIFF DATE], the first anniversary of the Vesting Commencement Date of [VESTING COMMENCEMENT DATE];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Thereafter, [1/48th] of the total Shares shall vest on each monthly anniversary of the Vesting Commencement Date, subject to the Optionee's Continuous Service through each such date.</w:t>
      </w:r>
    </w:p>
    <w:p>
      <w:pPr>
        <w:spacing w:after="160" w:before="0" w:line="276"/>
        <w:jc w:val="both"/>
      </w:pPr>
      <w:r>
        <w:rPr>
          <w:rFonts w:ascii="Calibri" w:cs="Calibri" w:eastAsia="Calibri" w:hAnsi="Calibri"/>
          <w:b w:val="false"/>
          <w:bCs w:val="false"/>
          <w:i w:val="false"/>
          <w:iCs w:val="false"/>
          <w:color w:val="2D2D2D"/>
          <w:sz w:val="22"/>
          <w:szCs w:val="22"/>
        </w:rPr>
        <w:t xml:space="preserve">Vesting shall cease upon the date of termination of the Optionee's Continuous Service, and no additional Shares shall vest after such date except as provided in Section D.6.</w:t>
      </w:r>
    </w:p>
    <w:p>
      <w:pPr>
        <w:pStyle w:val="Heading2"/>
        <w:spacing w:after="160" w:before="280"/>
        <w:jc w:val="left"/>
      </w:pPr>
      <w:r>
        <w:rPr>
          <w:rFonts w:ascii="Calibri" w:cs="Calibri" w:eastAsia="Calibri" w:hAnsi="Calibri"/>
          <w:b/>
          <w:bCs/>
          <w:color w:val="1B3A5C"/>
          <w:sz w:val="26"/>
          <w:szCs w:val="26"/>
        </w:rPr>
        <w:t xml:space="preserve">D.4 Exercise of Option</w:t>
      </w:r>
    </w:p>
    <w:p>
      <w:pPr>
        <w:spacing w:after="160" w:before="0" w:line="276"/>
        <w:jc w:val="both"/>
      </w:pPr>
      <w:r>
        <w:rPr>
          <w:rFonts w:ascii="Calibri" w:cs="Calibri" w:eastAsia="Calibri" w:hAnsi="Calibri"/>
          <w:b w:val="false"/>
          <w:bCs w:val="false"/>
          <w:i w:val="false"/>
          <w:iCs w:val="false"/>
          <w:color w:val="2D2D2D"/>
          <w:sz w:val="22"/>
          <w:szCs w:val="22"/>
        </w:rPr>
        <w:t xml:space="preserve">The Option may be exercised, in whole or in part, at any time and from time to time during the Option Term with respect to vested Shares, by delivering to the Company: (a) a written notice of exercise specifying the number of Shares to be purchased; (b) payment of the aggregate Exercise Price; and (c) such other documents as the Company may reasonably require.</w:t>
      </w:r>
    </w:p>
    <w:p>
      <w:pPr>
        <w:spacing w:after="160" w:before="0" w:line="276"/>
        <w:jc w:val="both"/>
      </w:pPr>
      <w:r>
        <w:rPr>
          <w:rFonts w:ascii="Calibri" w:cs="Calibri" w:eastAsia="Calibri" w:hAnsi="Calibri"/>
          <w:b w:val="false"/>
          <w:bCs w:val="false"/>
          <w:i w:val="false"/>
          <w:iCs w:val="false"/>
          <w:color w:val="2D2D2D"/>
          <w:sz w:val="22"/>
          <w:szCs w:val="22"/>
        </w:rPr>
        <w:t xml:space="preserve">[IF EARLY EXERCISE PERMITTED:] Notwithstanding the foregoing, if indicated in the Grant Schedule, the Optionee may exercise the Option with respect to unvested Shares, provided that any unvested Shares so purchased shall be subject to the Company's Repurchase Right as set forth in Section D.7.</w:t>
      </w:r>
    </w:p>
    <w:p>
      <w:pPr>
        <w:pStyle w:val="Heading2"/>
        <w:spacing w:after="160" w:before="280"/>
        <w:jc w:val="left"/>
      </w:pPr>
      <w:r>
        <w:rPr>
          <w:rFonts w:ascii="Calibri" w:cs="Calibri" w:eastAsia="Calibri" w:hAnsi="Calibri"/>
          <w:b/>
          <w:bCs/>
          <w:color w:val="1B3A5C"/>
          <w:sz w:val="26"/>
          <w:szCs w:val="26"/>
        </w:rPr>
        <w:t xml:space="preserve">D.5 Term of Option</w:t>
      </w:r>
    </w:p>
    <w:p>
      <w:pPr>
        <w:spacing w:after="160" w:before="0" w:line="276"/>
        <w:jc w:val="both"/>
      </w:pPr>
      <w:r>
        <w:rPr>
          <w:rFonts w:ascii="Calibri" w:cs="Calibri" w:eastAsia="Calibri" w:hAnsi="Calibri"/>
          <w:b w:val="false"/>
          <w:bCs w:val="false"/>
          <w:i w:val="false"/>
          <w:iCs w:val="false"/>
          <w:color w:val="2D2D2D"/>
          <w:sz w:val="22"/>
          <w:szCs w:val="22"/>
        </w:rPr>
        <w:t xml:space="preserve">The Option shall expire on [EXPIRATION DATE], which is [ten (10) / five (5) -- for ISOs granted to Ten Percent Stockholders] years from the Grant Date (the "Expiration Date"). The Option may not be exercised after the Expiration Date.</w:t>
      </w:r>
    </w:p>
    <w:p>
      <w:pPr>
        <w:pStyle w:val="Heading2"/>
        <w:spacing w:after="160" w:before="280"/>
        <w:jc w:val="left"/>
      </w:pPr>
      <w:r>
        <w:rPr>
          <w:rFonts w:ascii="Calibri" w:cs="Calibri" w:eastAsia="Calibri" w:hAnsi="Calibri"/>
          <w:b/>
          <w:bCs/>
          <w:color w:val="1B3A5C"/>
          <w:sz w:val="26"/>
          <w:szCs w:val="26"/>
        </w:rPr>
        <w:t xml:space="preserve">D.6 Termination of Service</w:t>
      </w:r>
    </w:p>
    <w:p>
      <w:pPr>
        <w:spacing w:after="160" w:before="0" w:line="276"/>
        <w:jc w:val="both"/>
      </w:pPr>
      <w:r>
        <w:rPr>
          <w:rFonts w:ascii="Calibri" w:cs="Calibri" w:eastAsia="Calibri" w:hAnsi="Calibri"/>
          <w:b w:val="false"/>
          <w:bCs w:val="false"/>
          <w:i w:val="false"/>
          <w:iCs w:val="false"/>
          <w:color w:val="2D2D2D"/>
          <w:sz w:val="22"/>
          <w:szCs w:val="22"/>
        </w:rPr>
        <w:t xml:space="preserve">Upon termination of the Optionee's Continuous Service, the vested portion of the Option shall remain exercisable for the period specified in Section 5.4 of the Board Consent. Unvested Shares shall be forfeited.</w:t>
      </w:r>
    </w:p>
    <w:p>
      <w:pPr>
        <w:pStyle w:val="Heading2"/>
        <w:spacing w:after="160" w:before="280"/>
        <w:jc w:val="left"/>
      </w:pPr>
      <w:r>
        <w:rPr>
          <w:rFonts w:ascii="Calibri" w:cs="Calibri" w:eastAsia="Calibri" w:hAnsi="Calibri"/>
          <w:b/>
          <w:bCs/>
          <w:color w:val="1B3A5C"/>
          <w:sz w:val="26"/>
          <w:szCs w:val="26"/>
        </w:rPr>
        <w:t xml:space="preserve">D.7 Repurchase Right (Early Exercise Only)</w:t>
      </w:r>
    </w:p>
    <w:p>
      <w:pPr>
        <w:spacing w:after="160" w:before="0" w:line="276"/>
        <w:jc w:val="both"/>
      </w:pPr>
      <w:r>
        <w:rPr>
          <w:rFonts w:ascii="Calibri" w:cs="Calibri" w:eastAsia="Calibri" w:hAnsi="Calibri"/>
          <w:b w:val="false"/>
          <w:bCs w:val="false"/>
          <w:i w:val="false"/>
          <w:iCs w:val="false"/>
          <w:color w:val="2D2D2D"/>
          <w:sz w:val="22"/>
          <w:szCs w:val="22"/>
        </w:rPr>
        <w:t xml:space="preserve">[IF EARLY EXERCISE PERMITTED:] Any unvested Shares purchased upon early exercise shall be subject to the Company's right to repurchase such Shares at the Exercise Price upon termination of the Optionee's Continuous Service (the "Repurchase Right"). The Repurchase Right shall lapse as Shares vest.</w:t>
      </w:r>
    </w:p>
    <w:p>
      <w:pPr>
        <w:pStyle w:val="Heading2"/>
        <w:spacing w:after="160" w:before="280"/>
        <w:jc w:val="left"/>
      </w:pPr>
      <w:r>
        <w:rPr>
          <w:rFonts w:ascii="Calibri" w:cs="Calibri" w:eastAsia="Calibri" w:hAnsi="Calibri"/>
          <w:b/>
          <w:bCs/>
          <w:color w:val="1B3A5C"/>
          <w:sz w:val="26"/>
          <w:szCs w:val="26"/>
        </w:rPr>
        <w:t xml:space="preserve">D.8 Transferability</w:t>
      </w:r>
    </w:p>
    <w:p>
      <w:pPr>
        <w:spacing w:after="160" w:before="0" w:line="276"/>
        <w:jc w:val="both"/>
      </w:pPr>
      <w:r>
        <w:rPr>
          <w:rFonts w:ascii="Calibri" w:cs="Calibri" w:eastAsia="Calibri" w:hAnsi="Calibri"/>
          <w:b w:val="false"/>
          <w:bCs w:val="false"/>
          <w:i w:val="false"/>
          <w:iCs w:val="false"/>
          <w:color w:val="2D2D2D"/>
          <w:sz w:val="22"/>
          <w:szCs w:val="22"/>
        </w:rPr>
        <w:t xml:space="preserve">The Option may not be transferred by the Optionee other than by will or the laws of descent and distribution, and during the Optionee's lifetime, may be exercised only by the Optionee.</w:t>
      </w:r>
    </w:p>
    <w:p>
      <w:pPr>
        <w:pStyle w:val="Heading2"/>
        <w:spacing w:after="160" w:before="280"/>
        <w:jc w:val="left"/>
      </w:pPr>
      <w:r>
        <w:rPr>
          <w:rFonts w:ascii="Calibri" w:cs="Calibri" w:eastAsia="Calibri" w:hAnsi="Calibri"/>
          <w:b/>
          <w:bCs/>
          <w:color w:val="1B3A5C"/>
          <w:sz w:val="26"/>
          <w:szCs w:val="26"/>
        </w:rPr>
        <w:t xml:space="preserve">D.9 Tax Matters</w:t>
      </w:r>
    </w:p>
    <w:p>
      <w:pPr>
        <w:spacing w:after="160" w:before="0" w:line="276"/>
        <w:jc w:val="both"/>
      </w:pPr>
      <w:r>
        <w:rPr>
          <w:rFonts w:ascii="Calibri" w:cs="Calibri" w:eastAsia="Calibri" w:hAnsi="Calibri"/>
          <w:b w:val="false"/>
          <w:bCs w:val="false"/>
          <w:i w:val="false"/>
          <w:iCs w:val="false"/>
          <w:color w:val="2D2D2D"/>
          <w:sz w:val="22"/>
          <w:szCs w:val="22"/>
        </w:rPr>
        <w:t xml:space="preserve">The Optionee acknowledges that the Optionee shall be solely responsible for all tax consequences arising from the grant and exercise of the Option. The Company makes no representations regarding the tax treatment of the Option. The Optionee is encouraged to consult with a tax advisor.</w:t>
      </w:r>
    </w:p>
    <w:p>
      <w:pPr>
        <w:pStyle w:val="Heading2"/>
        <w:spacing w:after="160" w:before="280"/>
        <w:jc w:val="left"/>
      </w:pPr>
      <w:r>
        <w:rPr>
          <w:rFonts w:ascii="Calibri" w:cs="Calibri" w:eastAsia="Calibri" w:hAnsi="Calibri"/>
          <w:b/>
          <w:bCs/>
          <w:color w:val="1B3A5C"/>
          <w:sz w:val="26"/>
          <w:szCs w:val="26"/>
        </w:rPr>
        <w:t xml:space="preserve">D.10 Governing Law</w:t>
      </w:r>
    </w:p>
    <w:p>
      <w:pPr>
        <w:spacing w:after="160" w:before="0" w:line="276"/>
        <w:jc w:val="both"/>
      </w:pPr>
      <w:r>
        <w:rPr>
          <w:rFonts w:ascii="Calibri" w:cs="Calibri" w:eastAsia="Calibri" w:hAnsi="Calibri"/>
          <w:b w:val="false"/>
          <w:bCs w:val="false"/>
          <w:i w:val="false"/>
          <w:iCs w:val="false"/>
          <w:color w:val="2D2D2D"/>
          <w:sz w:val="22"/>
          <w:szCs w:val="22"/>
        </w:rPr>
        <w:t xml:space="preserve">This Agreement shall be governed by the laws of the State of [GOVERNING LAW STATE], without regard to its conflict of laws principles.</w:t>
      </w:r>
    </w:p>
    <w:p>
      <w:pPr>
        <w:spacing w:after="200"/>
      </w:pPr>
    </w:p>
    <w:p>
      <w:pPr>
        <w:spacing w:after="200" w:before="0" w:line="276"/>
        <w:jc w:val="both"/>
      </w:pPr>
      <w:r>
        <w:rPr>
          <w:rFonts w:ascii="Calibri" w:cs="Calibri" w:eastAsia="Calibri" w:hAnsi="Calibri"/>
          <w:b w:val="false"/>
          <w:bCs w:val="false"/>
          <w:i w:val="false"/>
          <w:iCs w:val="false"/>
          <w:color w:val="2D2D2D"/>
          <w:sz w:val="22"/>
          <w:szCs w:val="22"/>
        </w:rPr>
        <w:t xml:space="preserve">IN WITNESS WHEREOF, the parties have executed this Agreement as of the Grant Date.</w:t>
      </w:r>
    </w:p>
    <w:p>
      <w:pPr>
        <w:spacing w:after="160" w:before="0" w:line="276"/>
        <w:jc w:val="both"/>
      </w:pPr>
      <w:r>
        <w:rPr>
          <w:rFonts w:ascii="Calibri" w:cs="Calibri" w:eastAsia="Calibri" w:hAnsi="Calibri"/>
          <w:b/>
          <w:bCs/>
          <w:i w:val="false"/>
          <w:iCs w:val="false"/>
          <w:color w:val="2D2D2D"/>
          <w:sz w:val="22"/>
          <w:szCs w:val="22"/>
        </w:rPr>
        <w:t xml:space="preserve">[COMPANY NAME]</w:t>
      </w:r>
    </w:p>
    <w:p>
      <w:pPr>
        <w:spacing w:after="160" w:before="0" w:line="276"/>
        <w:jc w:val="both"/>
      </w:pPr>
      <w:r>
        <w:rPr>
          <w:rFonts w:ascii="Calibri" w:cs="Calibri" w:eastAsia="Calibri" w:hAnsi="Calibri"/>
          <w:b w:val="false"/>
          <w:bCs w:val="false"/>
          <w:i w:val="false"/>
          <w:iCs w:val="false"/>
          <w:color w:val="2D2D2D"/>
          <w:sz w:val="22"/>
          <w:szCs w:val="22"/>
        </w:rPr>
        <w:t xml:space="preserve">By: ____________________________</w:t>
      </w:r>
    </w:p>
    <w:p>
      <w:pPr>
        <w:spacing w:after="160" w:before="0" w:line="276"/>
        <w:jc w:val="both"/>
      </w:pPr>
      <w:r>
        <w:rPr>
          <w:rFonts w:ascii="Calibri" w:cs="Calibri" w:eastAsia="Calibri" w:hAnsi="Calibri"/>
          <w:b w:val="false"/>
          <w:bCs w:val="false"/>
          <w:i w:val="false"/>
          <w:iCs w:val="false"/>
          <w:color w:val="2D2D2D"/>
          <w:sz w:val="22"/>
          <w:szCs w:val="22"/>
        </w:rPr>
        <w:t xml:space="preserve">Name: [OFFICER NAME]</w:t>
      </w:r>
    </w:p>
    <w:p>
      <w:pPr>
        <w:spacing w:after="300" w:before="0" w:line="276"/>
        <w:jc w:val="both"/>
      </w:pPr>
      <w:r>
        <w:rPr>
          <w:rFonts w:ascii="Calibri" w:cs="Calibri" w:eastAsia="Calibri" w:hAnsi="Calibri"/>
          <w:b w:val="false"/>
          <w:bCs w:val="false"/>
          <w:i w:val="false"/>
          <w:iCs w:val="false"/>
          <w:color w:val="2D2D2D"/>
          <w:sz w:val="22"/>
          <w:szCs w:val="22"/>
        </w:rPr>
        <w:t xml:space="preserve">Title: [OFFICER TITLE]</w:t>
      </w:r>
    </w:p>
    <w:p>
      <w:pPr>
        <w:spacing w:after="160" w:before="0" w:line="276"/>
        <w:jc w:val="both"/>
      </w:pPr>
      <w:r>
        <w:rPr>
          <w:rFonts w:ascii="Calibri" w:cs="Calibri" w:eastAsia="Calibri" w:hAnsi="Calibri"/>
          <w:b/>
          <w:bCs/>
          <w:i w:val="false"/>
          <w:iCs w:val="false"/>
          <w:color w:val="2D2D2D"/>
          <w:sz w:val="22"/>
          <w:szCs w:val="22"/>
        </w:rPr>
        <w:t xml:space="preserve">OPTIONEE:</w:t>
      </w:r>
    </w:p>
    <w:p>
      <w:pPr>
        <w:spacing w:after="160" w:before="0" w:line="276"/>
        <w:jc w:val="both"/>
      </w:pPr>
      <w:r>
        <w:rPr>
          <w:rFonts w:ascii="Calibri" w:cs="Calibri" w:eastAsia="Calibri" w:hAnsi="Calibri"/>
          <w:b w:val="false"/>
          <w:bCs w:val="false"/>
          <w:i w:val="false"/>
          <w:iCs w:val="false"/>
          <w:color w:val="2D2D2D"/>
          <w:sz w:val="22"/>
          <w:szCs w:val="22"/>
        </w:rPr>
        <w:t xml:space="preserve">____________________________</w:t>
      </w:r>
    </w:p>
    <w:p>
      <w:pPr>
        <w:spacing w:after="160" w:before="0" w:line="276"/>
        <w:jc w:val="both"/>
      </w:pPr>
      <w:r>
        <w:rPr>
          <w:rFonts w:ascii="Calibri" w:cs="Calibri" w:eastAsia="Calibri" w:hAnsi="Calibri"/>
          <w:b w:val="false"/>
          <w:bCs w:val="false"/>
          <w:i w:val="false"/>
          <w:iCs w:val="false"/>
          <w:color w:val="2D2D2D"/>
          <w:sz w:val="22"/>
          <w:szCs w:val="22"/>
        </w:rPr>
        <w:t xml:space="preserve">[OPTIONEE NAME]</w:t>
      </w:r>
    </w:p>
    <w:p>
      <w:r>
        <w:br w:type="page"/>
      </w:r>
    </w:p>
    <w:p>
      <w:pPr>
        <w:pStyle w:val="Heading1"/>
        <w:spacing w:after="160" w:before="360"/>
        <w:jc w:val="center"/>
      </w:pPr>
      <w:r>
        <w:rPr>
          <w:rFonts w:ascii="Calibri" w:cs="Calibri" w:eastAsia="Calibri" w:hAnsi="Calibri"/>
          <w:b/>
          <w:bCs/>
          <w:color w:val="1B3A5C"/>
          <w:sz w:val="32"/>
          <w:szCs w:val="32"/>
        </w:rPr>
        <w:t xml:space="preserve">EXHIBIT E: FORM OF RESTRICTED STOCK PURCHASE AGREEMENT</w:t>
      </w:r>
    </w:p>
    <w:p>
      <w:pPr>
        <w:spacing w:after="40"/>
      </w:pPr>
    </w:p>
    <w:p>
      <w:pPr>
        <w:spacing w:after="160" w:before="0" w:line="276"/>
        <w:jc w:val="center"/>
      </w:pPr>
      <w:r>
        <w:rPr>
          <w:rFonts w:ascii="Calibri" w:cs="Calibri" w:eastAsia="Calibri" w:hAnsi="Calibri"/>
          <w:b/>
          <w:bCs/>
          <w:i w:val="false"/>
          <w:iCs w:val="false"/>
          <w:color w:val="2D2D2D"/>
          <w:sz w:val="22"/>
          <w:szCs w:val="22"/>
        </w:rPr>
        <w:t xml:space="preserve">[COMPANY NAME]</w:t>
      </w:r>
    </w:p>
    <w:p>
      <w:pPr>
        <w:spacing w:after="160" w:before="0" w:line="276"/>
        <w:jc w:val="center"/>
      </w:pPr>
      <w:r>
        <w:rPr>
          <w:rFonts w:ascii="Calibri" w:cs="Calibri" w:eastAsia="Calibri" w:hAnsi="Calibri"/>
          <w:b/>
          <w:bCs/>
          <w:i w:val="false"/>
          <w:iCs w:val="false"/>
          <w:color w:val="2D2D2D"/>
          <w:sz w:val="22"/>
          <w:szCs w:val="22"/>
        </w:rPr>
        <w:t xml:space="preserve">[YEAR] EQUITY INCENTIVE PLAN</w:t>
      </w:r>
    </w:p>
    <w:p>
      <w:pPr>
        <w:spacing w:after="160" w:before="0" w:line="276"/>
        <w:jc w:val="center"/>
      </w:pPr>
      <w:r>
        <w:rPr>
          <w:rFonts w:ascii="Calibri" w:cs="Calibri" w:eastAsia="Calibri" w:hAnsi="Calibri"/>
          <w:b/>
          <w:bCs/>
          <w:i w:val="false"/>
          <w:iCs w:val="false"/>
          <w:color w:val="2D2D2D"/>
          <w:sz w:val="22"/>
          <w:szCs w:val="22"/>
        </w:rPr>
        <w:t xml:space="preserve">RESTRICTED STOCK PURCHASE AGREEMENT</w:t>
      </w:r>
    </w:p>
    <w:p>
      <w:pPr>
        <w:spacing w:after="60"/>
      </w:pPr>
    </w:p>
    <w:p>
      <w:pPr>
        <w:spacing w:after="160" w:before="0" w:line="276"/>
        <w:jc w:val="both"/>
      </w:pPr>
      <w:r>
        <w:rPr>
          <w:rFonts w:ascii="Calibri" w:cs="Calibri" w:eastAsia="Calibri" w:hAnsi="Calibri"/>
          <w:b w:val="false"/>
          <w:bCs w:val="false"/>
          <w:i w:val="false"/>
          <w:iCs w:val="false"/>
          <w:color w:val="2D2D2D"/>
          <w:sz w:val="22"/>
          <w:szCs w:val="22"/>
        </w:rPr>
        <w:t xml:space="preserve">This Restricted Stock Purchase Agreement (this "Agreement") is entered into as of [GRANT DATE] (the "Purchase Date") by and between [COMPANY NAME], a [STATE] corporation (the "Company"), and [PURCHASER NAME] (the "Purchaser").</w:t>
      </w:r>
    </w:p>
    <w:p>
      <w:pPr>
        <w:spacing w:after="40"/>
      </w:pPr>
    </w:p>
    <w:p>
      <w:pPr>
        <w:pStyle w:val="Heading2"/>
        <w:spacing w:after="160" w:before="280"/>
        <w:jc w:val="left"/>
      </w:pPr>
      <w:r>
        <w:rPr>
          <w:rFonts w:ascii="Calibri" w:cs="Calibri" w:eastAsia="Calibri" w:hAnsi="Calibri"/>
          <w:b/>
          <w:bCs/>
          <w:color w:val="1B3A5C"/>
          <w:sz w:val="26"/>
          <w:szCs w:val="26"/>
        </w:rPr>
        <w:t xml:space="preserve">E.1 Purchase and Sale of Shares</w:t>
      </w:r>
    </w:p>
    <w:p>
      <w:pPr>
        <w:spacing w:after="160" w:before="0" w:line="276"/>
        <w:jc w:val="both"/>
      </w:pPr>
      <w:r>
        <w:rPr>
          <w:rFonts w:ascii="Calibri" w:cs="Calibri" w:eastAsia="Calibri" w:hAnsi="Calibri"/>
          <w:b w:val="false"/>
          <w:bCs w:val="false"/>
          <w:i w:val="false"/>
          <w:iCs w:val="false"/>
          <w:color w:val="2D2D2D"/>
          <w:sz w:val="22"/>
          <w:szCs w:val="22"/>
        </w:rPr>
        <w:t xml:space="preserve">Subject to the terms and conditions of this Agreement and the [COMPANY NAME] [YEAR] Equity Incentive Plan (the "Plan"), the Company hereby agrees to sell to the Purchaser, and the Purchaser hereby agrees to purchase from the Company, [NUMBER OF SHARES] shares of Common Stock (the "Shares") at a purchase price of $[PURCHASE PRICE] per share (the aggregate "Purchase Price" of $[AGGREGATE PURCHASE PRICE]).</w:t>
      </w:r>
    </w:p>
    <w:p>
      <w:pPr>
        <w:pStyle w:val="Heading2"/>
        <w:spacing w:after="160" w:before="280"/>
        <w:jc w:val="left"/>
      </w:pPr>
      <w:r>
        <w:rPr>
          <w:rFonts w:ascii="Calibri" w:cs="Calibri" w:eastAsia="Calibri" w:hAnsi="Calibri"/>
          <w:b/>
          <w:bCs/>
          <w:color w:val="1B3A5C"/>
          <w:sz w:val="26"/>
          <w:szCs w:val="26"/>
        </w:rPr>
        <w:t xml:space="preserve">E.2 Payment of Purchase Price</w:t>
      </w:r>
    </w:p>
    <w:p>
      <w:pPr>
        <w:spacing w:after="160" w:before="0" w:line="276"/>
        <w:jc w:val="both"/>
      </w:pPr>
      <w:r>
        <w:rPr>
          <w:rFonts w:ascii="Calibri" w:cs="Calibri" w:eastAsia="Calibri" w:hAnsi="Calibri"/>
          <w:b w:val="false"/>
          <w:bCs w:val="false"/>
          <w:i w:val="false"/>
          <w:iCs w:val="false"/>
          <w:color w:val="2D2D2D"/>
          <w:sz w:val="22"/>
          <w:szCs w:val="22"/>
        </w:rPr>
        <w:t xml:space="preserve">The Purchaser shall pay the Purchase Price by [cash / check / cancellation of indebtedness / [OTHER LAWFUL CONSIDERATION]] upon execution of this Agreement.</w:t>
      </w:r>
    </w:p>
    <w:p>
      <w:pPr>
        <w:pStyle w:val="Heading2"/>
        <w:spacing w:after="160" w:before="280"/>
        <w:jc w:val="left"/>
      </w:pPr>
      <w:r>
        <w:rPr>
          <w:rFonts w:ascii="Calibri" w:cs="Calibri" w:eastAsia="Calibri" w:hAnsi="Calibri"/>
          <w:b/>
          <w:bCs/>
          <w:color w:val="1B3A5C"/>
          <w:sz w:val="26"/>
          <w:szCs w:val="26"/>
        </w:rPr>
        <w:t xml:space="preserve">E.3 Vesting Schedule</w:t>
      </w:r>
    </w:p>
    <w:p>
      <w:pPr>
        <w:spacing w:after="160" w:before="0" w:line="276"/>
        <w:jc w:val="both"/>
      </w:pPr>
      <w:r>
        <w:rPr>
          <w:rFonts w:ascii="Calibri" w:cs="Calibri" w:eastAsia="Calibri" w:hAnsi="Calibri"/>
          <w:b w:val="false"/>
          <w:bCs w:val="false"/>
          <w:i w:val="false"/>
          <w:iCs w:val="false"/>
          <w:color w:val="2D2D2D"/>
          <w:sz w:val="22"/>
          <w:szCs w:val="22"/>
        </w:rPr>
        <w:t xml:space="preserve">The Shares shall vest in accordance with the following schedule: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[TWENTY-FIVE PERCENT (25%)] of the Shares shall vest on [CLIFF DATE];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Thereafter, [1/48th] of the total Shares shall vest monthly, subject to the Purchaser's Continuous Service.</w:t>
      </w:r>
    </w:p>
    <w:p>
      <w:pPr>
        <w:spacing w:after="160" w:before="0" w:line="276"/>
        <w:jc w:val="both"/>
      </w:pPr>
      <w:r>
        <w:rPr>
          <w:rFonts w:ascii="Calibri" w:cs="Calibri" w:eastAsia="Calibri" w:hAnsi="Calibri"/>
          <w:b w:val="false"/>
          <w:bCs w:val="false"/>
          <w:i w:val="false"/>
          <w:iCs w:val="false"/>
          <w:color w:val="2D2D2D"/>
          <w:sz w:val="22"/>
          <w:szCs w:val="22"/>
        </w:rPr>
        <w:t xml:space="preserve">Unvested Shares are referred to as "Restricted Shares."</w:t>
      </w:r>
    </w:p>
    <w:p>
      <w:pPr>
        <w:pStyle w:val="Heading2"/>
        <w:spacing w:after="160" w:before="280"/>
        <w:jc w:val="left"/>
      </w:pPr>
      <w:r>
        <w:rPr>
          <w:rFonts w:ascii="Calibri" w:cs="Calibri" w:eastAsia="Calibri" w:hAnsi="Calibri"/>
          <w:b/>
          <w:bCs/>
          <w:color w:val="1B3A5C"/>
          <w:sz w:val="26"/>
          <w:szCs w:val="26"/>
        </w:rPr>
        <w:t xml:space="preserve">E.4 Company's Repurchase Right</w:t>
      </w:r>
    </w:p>
    <w:p>
      <w:pPr>
        <w:spacing w:after="160" w:before="0" w:line="276"/>
        <w:jc w:val="both"/>
      </w:pPr>
      <w:r>
        <w:rPr>
          <w:rFonts w:ascii="Calibri" w:cs="Calibri" w:eastAsia="Calibri" w:hAnsi="Calibri"/>
          <w:b w:val="false"/>
          <w:bCs w:val="false"/>
          <w:i w:val="false"/>
          <w:iCs w:val="false"/>
          <w:color w:val="2D2D2D"/>
          <w:sz w:val="22"/>
          <w:szCs w:val="22"/>
        </w:rPr>
        <w:t xml:space="preserve">Upon termination of the Purchaser's Continuous Service for any reason, the Company shall have the right (but not the obligation) to repurchase any or all of the Restricted Shares at [the original Purchase Price / Fair Market Value] per share (the "Repurchase Right"). The Repurchase Right must be exercised within [NINETY (90)] days of termination.</w:t>
      </w:r>
    </w:p>
    <w:p>
      <w:pPr>
        <w:spacing w:after="160" w:before="0" w:line="276"/>
        <w:jc w:val="both"/>
      </w:pPr>
      <w:r>
        <w:rPr>
          <w:rFonts w:ascii="Calibri" w:cs="Calibri" w:eastAsia="Calibri" w:hAnsi="Calibri"/>
          <w:b w:val="false"/>
          <w:bCs w:val="false"/>
          <w:i w:val="false"/>
          <w:iCs w:val="false"/>
          <w:color w:val="2D2D2D"/>
          <w:sz w:val="22"/>
          <w:szCs w:val="22"/>
        </w:rPr>
        <w:t xml:space="preserve">The Repurchase Right shall lapse as to Shares as they vest. In the event the Company does not timely exercise the Repurchase Right, such right shall terminate.</w:t>
      </w:r>
    </w:p>
    <w:p>
      <w:pPr>
        <w:pStyle w:val="Heading2"/>
        <w:spacing w:after="160" w:before="280"/>
        <w:jc w:val="left"/>
      </w:pPr>
      <w:r>
        <w:rPr>
          <w:rFonts w:ascii="Calibri" w:cs="Calibri" w:eastAsia="Calibri" w:hAnsi="Calibri"/>
          <w:b/>
          <w:bCs/>
          <w:color w:val="1B3A5C"/>
          <w:sz w:val="26"/>
          <w:szCs w:val="26"/>
        </w:rPr>
        <w:t xml:space="preserve">E.5 Escrow</w:t>
      </w:r>
    </w:p>
    <w:p>
      <w:pPr>
        <w:spacing w:after="160" w:before="0" w:line="276"/>
        <w:jc w:val="both"/>
      </w:pPr>
      <w:r>
        <w:rPr>
          <w:rFonts w:ascii="Calibri" w:cs="Calibri" w:eastAsia="Calibri" w:hAnsi="Calibri"/>
          <w:b w:val="false"/>
          <w:bCs w:val="false"/>
          <w:i w:val="false"/>
          <w:iCs w:val="false"/>
          <w:color w:val="2D2D2D"/>
          <w:sz w:val="22"/>
          <w:szCs w:val="22"/>
        </w:rPr>
        <w:t xml:space="preserve">The Restricted Shares and the stock assignment separate from certificate (the "Stock Power") executed by the Purchaser concurrently herewith shall be deposited in escrow with the Secretary of the Company (the "Escrow Agent"). The Escrow Agent shall hold the Restricted Shares and Stock Power in escrow until the Shares vest or the Company exercises its Repurchase Right.</w:t>
      </w:r>
    </w:p>
    <w:p>
      <w:pPr>
        <w:pStyle w:val="Heading2"/>
        <w:spacing w:after="160" w:before="280"/>
        <w:jc w:val="left"/>
      </w:pPr>
      <w:r>
        <w:rPr>
          <w:rFonts w:ascii="Calibri" w:cs="Calibri" w:eastAsia="Calibri" w:hAnsi="Calibri"/>
          <w:b/>
          <w:bCs/>
          <w:color w:val="1B3A5C"/>
          <w:sz w:val="26"/>
          <w:szCs w:val="26"/>
        </w:rPr>
        <w:t xml:space="preserve">E.6 Section 83(b) Election</w:t>
      </w:r>
    </w:p>
    <w:p>
      <w:pPr>
        <w:spacing w:after="160" w:before="0" w:line="276"/>
        <w:jc w:val="both"/>
      </w:pPr>
      <w:r>
        <w:rPr>
          <w:rFonts w:ascii="Calibri" w:cs="Calibri" w:eastAsia="Calibri" w:hAnsi="Calibri"/>
          <w:b/>
          <w:bCs/>
          <w:color w:val="2D2D2D"/>
          <w:sz w:val="22"/>
          <w:szCs w:val="22"/>
        </w:rPr>
        <w:t xml:space="preserve">IMPORTANT: </w:t>
      </w:r>
      <w:r>
        <w:rPr>
          <w:rFonts w:ascii="Calibri" w:cs="Calibri" w:eastAsia="Calibri" w:hAnsi="Calibri"/>
          <w:color w:val="2D2D2D"/>
          <w:sz w:val="22"/>
          <w:szCs w:val="22"/>
        </w:rPr>
        <w:t xml:space="preserve">THE PURCHASER UNDERSTANDS THAT THE PURCHASER MAY FILE AN ELECTION UNDER SECTION 83(b) OF THE INTERNAL REVENUE CODE WITHIN THIRTY (30) DAYS AFTER THE PURCHASE DATE. THE PURCHASER SHOULD CONSULT WITH HIS OR HER TAX ADVISOR REGARDING THE ADVISABILITY OF FILING AN 83(b) ELECTION. A FORM OF 83(b) ELECTION IS ATTACHED TO THIS AGREEMENT.</w:t>
      </w:r>
    </w:p>
    <w:p>
      <w:pPr>
        <w:pStyle w:val="Heading2"/>
        <w:spacing w:after="160" w:before="280"/>
        <w:jc w:val="left"/>
      </w:pPr>
      <w:r>
        <w:rPr>
          <w:rFonts w:ascii="Calibri" w:cs="Calibri" w:eastAsia="Calibri" w:hAnsi="Calibri"/>
          <w:b/>
          <w:bCs/>
          <w:color w:val="1B3A5C"/>
          <w:sz w:val="26"/>
          <w:szCs w:val="26"/>
        </w:rPr>
        <w:t xml:space="preserve">E.7 Legends and Restrictions on Transfer</w:t>
      </w:r>
    </w:p>
    <w:p>
      <w:pPr>
        <w:spacing w:after="160" w:before="0" w:line="276"/>
        <w:jc w:val="both"/>
      </w:pPr>
      <w:r>
        <w:rPr>
          <w:rFonts w:ascii="Calibri" w:cs="Calibri" w:eastAsia="Calibri" w:hAnsi="Calibri"/>
          <w:b w:val="false"/>
          <w:bCs w:val="false"/>
          <w:i w:val="false"/>
          <w:iCs w:val="false"/>
          <w:color w:val="2D2D2D"/>
          <w:sz w:val="22"/>
          <w:szCs w:val="22"/>
        </w:rPr>
        <w:t xml:space="preserve">The Shares shall bear the restrictive legends set forth in Section 6.6 of the Board Consent. The Purchaser shall not sell, transfer, assign, or otherwise dispose of any Restricted Shares without the prior written consent of the Company.</w:t>
      </w:r>
    </w:p>
    <w:p>
      <w:pPr>
        <w:pStyle w:val="Heading2"/>
        <w:spacing w:after="160" w:before="280"/>
        <w:jc w:val="left"/>
      </w:pPr>
      <w:r>
        <w:rPr>
          <w:rFonts w:ascii="Calibri" w:cs="Calibri" w:eastAsia="Calibri" w:hAnsi="Calibri"/>
          <w:b/>
          <w:bCs/>
          <w:color w:val="1B3A5C"/>
          <w:sz w:val="26"/>
          <w:szCs w:val="26"/>
        </w:rPr>
        <w:t xml:space="preserve">E.8 Representations of Purchaser</w:t>
      </w:r>
    </w:p>
    <w:p>
      <w:pPr>
        <w:spacing w:after="160" w:before="0" w:line="276"/>
        <w:jc w:val="both"/>
      </w:pPr>
      <w:r>
        <w:rPr>
          <w:rFonts w:ascii="Calibri" w:cs="Calibri" w:eastAsia="Calibri" w:hAnsi="Calibri"/>
          <w:b w:val="false"/>
          <w:bCs w:val="false"/>
          <w:i w:val="false"/>
          <w:iCs w:val="false"/>
          <w:color w:val="2D2D2D"/>
          <w:sz w:val="22"/>
          <w:szCs w:val="22"/>
        </w:rPr>
        <w:t xml:space="preserve">The Purchaser represents and warrants that: (a) the Shares are being acquired for the Purchaser's own account for investment and not with a view to distribution; (b) the Purchaser has received and reviewed the Plan, this Agreement, and such other information as the Purchaser deems necessary; (c) the Purchaser is an "accredited investor" as defined in Regulation D under the Securities Act or has such knowledge and experience in financial and business matters as to be capable of evaluating the merits and risks of the investment.</w:t>
      </w:r>
    </w:p>
    <w:p>
      <w:pPr>
        <w:pStyle w:val="Heading2"/>
        <w:spacing w:after="160" w:before="280"/>
        <w:jc w:val="left"/>
      </w:pPr>
      <w:r>
        <w:rPr>
          <w:rFonts w:ascii="Calibri" w:cs="Calibri" w:eastAsia="Calibri" w:hAnsi="Calibri"/>
          <w:b/>
          <w:bCs/>
          <w:color w:val="1B3A5C"/>
          <w:sz w:val="26"/>
          <w:szCs w:val="26"/>
        </w:rPr>
        <w:t xml:space="preserve">E.9 Governing Law</w:t>
      </w:r>
    </w:p>
    <w:p>
      <w:pPr>
        <w:spacing w:after="160" w:before="0" w:line="276"/>
        <w:jc w:val="both"/>
      </w:pPr>
      <w:r>
        <w:rPr>
          <w:rFonts w:ascii="Calibri" w:cs="Calibri" w:eastAsia="Calibri" w:hAnsi="Calibri"/>
          <w:b w:val="false"/>
          <w:bCs w:val="false"/>
          <w:i w:val="false"/>
          <w:iCs w:val="false"/>
          <w:color w:val="2D2D2D"/>
          <w:sz w:val="22"/>
          <w:szCs w:val="22"/>
        </w:rPr>
        <w:t xml:space="preserve">This Agreement shall be governed by the laws of the State of [GOVERNING LAW STATE].</w:t>
      </w:r>
    </w:p>
    <w:p>
      <w:pPr>
        <w:spacing w:after="200"/>
      </w:pPr>
    </w:p>
    <w:p>
      <w:pPr>
        <w:spacing w:after="200" w:before="0" w:line="276"/>
        <w:jc w:val="both"/>
      </w:pPr>
      <w:r>
        <w:rPr>
          <w:rFonts w:ascii="Calibri" w:cs="Calibri" w:eastAsia="Calibri" w:hAnsi="Calibri"/>
          <w:b w:val="false"/>
          <w:bCs w:val="false"/>
          <w:i w:val="false"/>
          <w:iCs w:val="false"/>
          <w:color w:val="2D2D2D"/>
          <w:sz w:val="22"/>
          <w:szCs w:val="22"/>
        </w:rPr>
        <w:t xml:space="preserve">IN WITNESS WHEREOF, the parties have executed this Agreement as of the Purchase Date.</w:t>
      </w:r>
    </w:p>
    <w:p>
      <w:pPr>
        <w:spacing w:after="160" w:before="0" w:line="276"/>
        <w:jc w:val="both"/>
      </w:pPr>
      <w:r>
        <w:rPr>
          <w:rFonts w:ascii="Calibri" w:cs="Calibri" w:eastAsia="Calibri" w:hAnsi="Calibri"/>
          <w:b/>
          <w:bCs/>
          <w:i w:val="false"/>
          <w:iCs w:val="false"/>
          <w:color w:val="2D2D2D"/>
          <w:sz w:val="22"/>
          <w:szCs w:val="22"/>
        </w:rPr>
        <w:t xml:space="preserve">[COMPANY NAME]</w:t>
      </w:r>
    </w:p>
    <w:p>
      <w:pPr>
        <w:spacing w:after="160" w:before="0" w:line="276"/>
        <w:jc w:val="both"/>
      </w:pPr>
      <w:r>
        <w:rPr>
          <w:rFonts w:ascii="Calibri" w:cs="Calibri" w:eastAsia="Calibri" w:hAnsi="Calibri"/>
          <w:b w:val="false"/>
          <w:bCs w:val="false"/>
          <w:i w:val="false"/>
          <w:iCs w:val="false"/>
          <w:color w:val="2D2D2D"/>
          <w:sz w:val="22"/>
          <w:szCs w:val="22"/>
        </w:rPr>
        <w:t xml:space="preserve">By: ____________________________</w:t>
      </w:r>
    </w:p>
    <w:p>
      <w:pPr>
        <w:spacing w:after="160" w:before="0" w:line="276"/>
        <w:jc w:val="both"/>
      </w:pPr>
      <w:r>
        <w:rPr>
          <w:rFonts w:ascii="Calibri" w:cs="Calibri" w:eastAsia="Calibri" w:hAnsi="Calibri"/>
          <w:b w:val="false"/>
          <w:bCs w:val="false"/>
          <w:i w:val="false"/>
          <w:iCs w:val="false"/>
          <w:color w:val="2D2D2D"/>
          <w:sz w:val="22"/>
          <w:szCs w:val="22"/>
        </w:rPr>
        <w:t xml:space="preserve">Name: [OFFICER NAME]</w:t>
      </w:r>
    </w:p>
    <w:p>
      <w:pPr>
        <w:spacing w:after="300" w:before="0" w:line="276"/>
        <w:jc w:val="both"/>
      </w:pPr>
      <w:r>
        <w:rPr>
          <w:rFonts w:ascii="Calibri" w:cs="Calibri" w:eastAsia="Calibri" w:hAnsi="Calibri"/>
          <w:b w:val="false"/>
          <w:bCs w:val="false"/>
          <w:i w:val="false"/>
          <w:iCs w:val="false"/>
          <w:color w:val="2D2D2D"/>
          <w:sz w:val="22"/>
          <w:szCs w:val="22"/>
        </w:rPr>
        <w:t xml:space="preserve">Title: [OFFICER TITLE]</w:t>
      </w:r>
    </w:p>
    <w:p>
      <w:pPr>
        <w:spacing w:after="160" w:before="0" w:line="276"/>
        <w:jc w:val="both"/>
      </w:pPr>
      <w:r>
        <w:rPr>
          <w:rFonts w:ascii="Calibri" w:cs="Calibri" w:eastAsia="Calibri" w:hAnsi="Calibri"/>
          <w:b/>
          <w:bCs/>
          <w:i w:val="false"/>
          <w:iCs w:val="false"/>
          <w:color w:val="2D2D2D"/>
          <w:sz w:val="22"/>
          <w:szCs w:val="22"/>
        </w:rPr>
        <w:t xml:space="preserve">PURCHASER:</w:t>
      </w:r>
    </w:p>
    <w:p>
      <w:pPr>
        <w:spacing w:after="160" w:before="0" w:line="276"/>
        <w:jc w:val="both"/>
      </w:pPr>
      <w:r>
        <w:rPr>
          <w:rFonts w:ascii="Calibri" w:cs="Calibri" w:eastAsia="Calibri" w:hAnsi="Calibri"/>
          <w:b w:val="false"/>
          <w:bCs w:val="false"/>
          <w:i w:val="false"/>
          <w:iCs w:val="false"/>
          <w:color w:val="2D2D2D"/>
          <w:sz w:val="22"/>
          <w:szCs w:val="22"/>
        </w:rPr>
        <w:t xml:space="preserve">____________________________</w:t>
      </w:r>
    </w:p>
    <w:p>
      <w:pPr>
        <w:spacing w:after="160" w:before="0" w:line="276"/>
        <w:jc w:val="both"/>
      </w:pPr>
      <w:r>
        <w:rPr>
          <w:rFonts w:ascii="Calibri" w:cs="Calibri" w:eastAsia="Calibri" w:hAnsi="Calibri"/>
          <w:b w:val="false"/>
          <w:bCs w:val="false"/>
          <w:i w:val="false"/>
          <w:iCs w:val="false"/>
          <w:color w:val="2D2D2D"/>
          <w:sz w:val="22"/>
          <w:szCs w:val="22"/>
        </w:rPr>
        <w:t xml:space="preserve">[PURCHASER NAME]</w:t>
      </w:r>
    </w:p>
    <w:p>
      <w:r>
        <w:br w:type="page"/>
      </w:r>
    </w:p>
    <w:p>
      <w:pPr>
        <w:pStyle w:val="Heading1"/>
        <w:spacing w:after="160" w:before="360"/>
        <w:jc w:val="center"/>
      </w:pPr>
      <w:r>
        <w:rPr>
          <w:rFonts w:ascii="Calibri" w:cs="Calibri" w:eastAsia="Calibri" w:hAnsi="Calibri"/>
          <w:b/>
          <w:bCs/>
          <w:color w:val="1B3A5C"/>
          <w:sz w:val="32"/>
          <w:szCs w:val="32"/>
        </w:rPr>
        <w:t xml:space="preserve">EXHIBIT F: FORM OF RSU AGREEMENT</w:t>
      </w:r>
    </w:p>
    <w:p>
      <w:pPr>
        <w:spacing w:after="40"/>
      </w:pPr>
    </w:p>
    <w:p>
      <w:pPr>
        <w:spacing w:after="160" w:before="0" w:line="276"/>
        <w:jc w:val="center"/>
      </w:pPr>
      <w:r>
        <w:rPr>
          <w:rFonts w:ascii="Calibri" w:cs="Calibri" w:eastAsia="Calibri" w:hAnsi="Calibri"/>
          <w:b/>
          <w:bCs/>
          <w:i w:val="false"/>
          <w:iCs w:val="false"/>
          <w:color w:val="2D2D2D"/>
          <w:sz w:val="22"/>
          <w:szCs w:val="22"/>
        </w:rPr>
        <w:t xml:space="preserve">[COMPANY NAME]</w:t>
      </w:r>
    </w:p>
    <w:p>
      <w:pPr>
        <w:spacing w:after="160" w:before="0" w:line="276"/>
        <w:jc w:val="center"/>
      </w:pPr>
      <w:r>
        <w:rPr>
          <w:rFonts w:ascii="Calibri" w:cs="Calibri" w:eastAsia="Calibri" w:hAnsi="Calibri"/>
          <w:b/>
          <w:bCs/>
          <w:i w:val="false"/>
          <w:iCs w:val="false"/>
          <w:color w:val="2D2D2D"/>
          <w:sz w:val="22"/>
          <w:szCs w:val="22"/>
        </w:rPr>
        <w:t xml:space="preserve">[YEAR] EQUITY INCENTIVE PLAN</w:t>
      </w:r>
    </w:p>
    <w:p>
      <w:pPr>
        <w:spacing w:after="160" w:before="0" w:line="276"/>
        <w:jc w:val="center"/>
      </w:pPr>
      <w:r>
        <w:rPr>
          <w:rFonts w:ascii="Calibri" w:cs="Calibri" w:eastAsia="Calibri" w:hAnsi="Calibri"/>
          <w:b/>
          <w:bCs/>
          <w:i w:val="false"/>
          <w:iCs w:val="false"/>
          <w:color w:val="2D2D2D"/>
          <w:sz w:val="22"/>
          <w:szCs w:val="22"/>
        </w:rPr>
        <w:t xml:space="preserve">RESTRICTED STOCK UNIT AGREEMENT</w:t>
      </w:r>
    </w:p>
    <w:p>
      <w:pPr>
        <w:spacing w:after="60"/>
      </w:pPr>
    </w:p>
    <w:p>
      <w:pPr>
        <w:spacing w:after="160" w:before="0" w:line="276"/>
        <w:jc w:val="both"/>
      </w:pPr>
      <w:r>
        <w:rPr>
          <w:rFonts w:ascii="Calibri" w:cs="Calibri" w:eastAsia="Calibri" w:hAnsi="Calibri"/>
          <w:b w:val="false"/>
          <w:bCs w:val="false"/>
          <w:i w:val="false"/>
          <w:iCs w:val="false"/>
          <w:color w:val="2D2D2D"/>
          <w:sz w:val="22"/>
          <w:szCs w:val="22"/>
        </w:rPr>
        <w:t xml:space="preserve">This Restricted Stock Unit Agreement (this "Agreement") is entered into as of [GRANT DATE] (the "Grant Date") by and between [COMPANY NAME], a [STATE] corporation (the "Company"), and [PARTICIPANT NAME] (the "Participant").</w:t>
      </w:r>
    </w:p>
    <w:p>
      <w:pPr>
        <w:spacing w:after="40"/>
      </w:pPr>
    </w:p>
    <w:p>
      <w:pPr>
        <w:pStyle w:val="Heading2"/>
        <w:spacing w:after="160" w:before="280"/>
        <w:jc w:val="left"/>
      </w:pPr>
      <w:r>
        <w:rPr>
          <w:rFonts w:ascii="Calibri" w:cs="Calibri" w:eastAsia="Calibri" w:hAnsi="Calibri"/>
          <w:b/>
          <w:bCs/>
          <w:color w:val="1B3A5C"/>
          <w:sz w:val="26"/>
          <w:szCs w:val="26"/>
        </w:rPr>
        <w:t xml:space="preserve">F.1 Grant of RSUs</w:t>
      </w:r>
    </w:p>
    <w:p>
      <w:pPr>
        <w:spacing w:after="160" w:before="0" w:line="276"/>
        <w:jc w:val="both"/>
      </w:pPr>
      <w:r>
        <w:rPr>
          <w:rFonts w:ascii="Calibri" w:cs="Calibri" w:eastAsia="Calibri" w:hAnsi="Calibri"/>
          <w:b w:val="false"/>
          <w:bCs w:val="false"/>
          <w:i w:val="false"/>
          <w:iCs w:val="false"/>
          <w:color w:val="2D2D2D"/>
          <w:sz w:val="22"/>
          <w:szCs w:val="22"/>
        </w:rPr>
        <w:t xml:space="preserve">The Company hereby grants to the Participant [NUMBER OF RSUs] Restricted Stock Units (the "RSUs"), subject to the terms and conditions of this Agreement and the [COMPANY NAME] [YEAR] Equity Incentive Plan (the "Plan"). Each RSU represents the right to receive one share of Common Stock upon settlement.</w:t>
      </w:r>
    </w:p>
    <w:p>
      <w:pPr>
        <w:pStyle w:val="Heading2"/>
        <w:spacing w:after="160" w:before="280"/>
        <w:jc w:val="left"/>
      </w:pPr>
      <w:r>
        <w:rPr>
          <w:rFonts w:ascii="Calibri" w:cs="Calibri" w:eastAsia="Calibri" w:hAnsi="Calibri"/>
          <w:b/>
          <w:bCs/>
          <w:color w:val="1B3A5C"/>
          <w:sz w:val="26"/>
          <w:szCs w:val="26"/>
        </w:rPr>
        <w:t xml:space="preserve">F.2 Vesting</w:t>
      </w:r>
    </w:p>
    <w:p>
      <w:pPr>
        <w:spacing w:after="160" w:before="0" w:line="276"/>
        <w:jc w:val="both"/>
      </w:pPr>
      <w:r>
        <w:rPr>
          <w:rFonts w:ascii="Calibri" w:cs="Calibri" w:eastAsia="Calibri" w:hAnsi="Calibri"/>
          <w:b w:val="false"/>
          <w:bCs w:val="false"/>
          <w:i w:val="false"/>
          <w:iCs w:val="false"/>
          <w:color w:val="2D2D2D"/>
          <w:sz w:val="22"/>
          <w:szCs w:val="22"/>
        </w:rPr>
        <w:t xml:space="preserve">The RSUs shall vest in accordance with the following schedule: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(a) [TWENTY-FIVE PERCENT (25%)] of the RSUs shall vest on [CLIFF DATE];</w:t>
      </w:r>
    </w:p>
    <w:p>
      <w:pPr>
        <w:spacing w:after="160" w:before="0" w:line="276"/>
        <w:ind w:left="720"/>
        <w:jc w:val="both"/>
      </w:pPr>
      <w:r>
        <w:rPr>
          <w:rFonts w:ascii="Calibri" w:cs="Calibri" w:eastAsia="Calibri" w:hAnsi="Calibri"/>
          <w:b w:val="false"/>
          <w:bCs w:val="false"/>
          <w:i w:val="false"/>
          <w:iCs w:val="false"/>
          <w:color w:val="2D2D2D"/>
          <w:sz w:val="22"/>
          <w:szCs w:val="22"/>
        </w:rPr>
        <w:t xml:space="preserve">(b) Thereafter, [1/16th] of the total RSUs shall vest on each quarterly anniversary of the Vesting Commencement Date of [VESTING COMMENCEMENT DATE], subject to the Participant's Continuous Service.</w:t>
      </w:r>
    </w:p>
    <w:p>
      <w:pPr>
        <w:spacing w:after="160" w:before="0" w:line="276"/>
        <w:jc w:val="both"/>
      </w:pPr>
      <w:r>
        <w:rPr>
          <w:rFonts w:ascii="Calibri" w:cs="Calibri" w:eastAsia="Calibri" w:hAnsi="Calibri"/>
          <w:b w:val="false"/>
          <w:bCs w:val="false"/>
          <w:i w:val="false"/>
          <w:iCs w:val="false"/>
          <w:color w:val="2D2D2D"/>
          <w:sz w:val="22"/>
          <w:szCs w:val="22"/>
        </w:rPr>
        <w:t xml:space="preserve">Unvested RSUs shall be forfeited upon termination of the Participant's Continuous Service, except as provided in Section F.5.</w:t>
      </w:r>
    </w:p>
    <w:p>
      <w:pPr>
        <w:pStyle w:val="Heading2"/>
        <w:spacing w:after="160" w:before="280"/>
        <w:jc w:val="left"/>
      </w:pPr>
      <w:r>
        <w:rPr>
          <w:rFonts w:ascii="Calibri" w:cs="Calibri" w:eastAsia="Calibri" w:hAnsi="Calibri"/>
          <w:b/>
          <w:bCs/>
          <w:color w:val="1B3A5C"/>
          <w:sz w:val="26"/>
          <w:szCs w:val="26"/>
        </w:rPr>
        <w:t xml:space="preserve">F.3 Settlement</w:t>
      </w:r>
    </w:p>
    <w:p>
      <w:pPr>
        <w:spacing w:after="160" w:before="0" w:line="276"/>
        <w:jc w:val="both"/>
      </w:pPr>
      <w:r>
        <w:rPr>
          <w:rFonts w:ascii="Calibri" w:cs="Calibri" w:eastAsia="Calibri" w:hAnsi="Calibri"/>
          <w:b w:val="false"/>
          <w:bCs w:val="false"/>
          <w:i w:val="false"/>
          <w:iCs w:val="false"/>
          <w:color w:val="2D2D2D"/>
          <w:sz w:val="22"/>
          <w:szCs w:val="22"/>
        </w:rPr>
        <w:t xml:space="preserve">[SINGLE-TRIGGER SETTLEMENT:] Vested RSUs shall be settled in shares of Common Stock within [THIRTY (30)] days following each vesting date.</w:t>
      </w:r>
    </w:p>
    <w:p>
      <w:pPr>
        <w:spacing w:after="160" w:before="0" w:line="276"/>
        <w:jc w:val="both"/>
      </w:pPr>
      <w:r>
        <w:rPr>
          <w:rFonts w:ascii="Calibri" w:cs="Calibri" w:eastAsia="Calibri" w:hAnsi="Calibri"/>
          <w:b w:val="false"/>
          <w:bCs w:val="false"/>
          <w:i w:val="false"/>
          <w:iCs w:val="false"/>
          <w:color w:val="2D2D2D"/>
          <w:sz w:val="22"/>
          <w:szCs w:val="22"/>
        </w:rPr>
        <w:t xml:space="preserve">[DOUBLE-TRIGGER SETTLEMENT:] Vested RSUs shall be settled in shares of Common Stock within [THIRTY (30)] days following the earlier of (a) a Change of Control or (b) [SIX (6)] months following an Initial Public Offering.</w:t>
      </w:r>
    </w:p>
    <w:p>
      <w:pPr>
        <w:spacing w:after="160" w:before="0" w:line="276"/>
        <w:jc w:val="both"/>
      </w:pPr>
      <w:r>
        <w:rPr>
          <w:rFonts w:ascii="Calibri" w:cs="Calibri" w:eastAsia="Calibri" w:hAnsi="Calibri"/>
          <w:b w:val="false"/>
          <w:bCs w:val="false"/>
          <w:i w:val="false"/>
          <w:iCs w:val="false"/>
          <w:color w:val="2D2D2D"/>
          <w:sz w:val="22"/>
          <w:szCs w:val="22"/>
        </w:rPr>
        <w:t xml:space="preserve">Settlement is subject to satisfaction of applicable tax withholding obligations.</w:t>
      </w:r>
    </w:p>
    <w:p>
      <w:pPr>
        <w:pStyle w:val="Heading2"/>
        <w:spacing w:after="160" w:before="280"/>
        <w:jc w:val="left"/>
      </w:pPr>
      <w:r>
        <w:rPr>
          <w:rFonts w:ascii="Calibri" w:cs="Calibri" w:eastAsia="Calibri" w:hAnsi="Calibri"/>
          <w:b/>
          <w:bCs/>
          <w:color w:val="1B3A5C"/>
          <w:sz w:val="26"/>
          <w:szCs w:val="26"/>
        </w:rPr>
        <w:t xml:space="preserve">F.4 Tax Withholding</w:t>
      </w:r>
    </w:p>
    <w:p>
      <w:pPr>
        <w:spacing w:after="160" w:before="0" w:line="276"/>
        <w:jc w:val="both"/>
      </w:pPr>
      <w:r>
        <w:rPr>
          <w:rFonts w:ascii="Calibri" w:cs="Calibri" w:eastAsia="Calibri" w:hAnsi="Calibri"/>
          <w:b w:val="false"/>
          <w:bCs w:val="false"/>
          <w:i w:val="false"/>
          <w:iCs w:val="false"/>
          <w:color w:val="2D2D2D"/>
          <w:sz w:val="22"/>
          <w:szCs w:val="22"/>
        </w:rPr>
        <w:t xml:space="preserve">The Company shall withhold from the shares deliverable upon settlement that number of shares having a Fair Market Value equal to the minimum statutory withholding amount (or the maximum rate, as elected by the Company). Alternatively, the Participant may satisfy the withholding obligation by cash payment.</w:t>
      </w:r>
    </w:p>
    <w:p>
      <w:pPr>
        <w:pStyle w:val="Heading2"/>
        <w:spacing w:after="160" w:before="280"/>
        <w:jc w:val="left"/>
      </w:pPr>
      <w:r>
        <w:rPr>
          <w:rFonts w:ascii="Calibri" w:cs="Calibri" w:eastAsia="Calibri" w:hAnsi="Calibri"/>
          <w:b/>
          <w:bCs/>
          <w:color w:val="1B3A5C"/>
          <w:sz w:val="26"/>
          <w:szCs w:val="26"/>
        </w:rPr>
        <w:t xml:space="preserve">F.5 Change of Control and Termination</w:t>
      </w:r>
    </w:p>
    <w:p>
      <w:pPr>
        <w:spacing w:after="160" w:before="0" w:line="276"/>
        <w:jc w:val="both"/>
      </w:pPr>
      <w:r>
        <w:rPr>
          <w:rFonts w:ascii="Calibri" w:cs="Calibri" w:eastAsia="Calibri" w:hAnsi="Calibri"/>
          <w:b w:val="false"/>
          <w:bCs w:val="false"/>
          <w:i w:val="false"/>
          <w:iCs w:val="false"/>
          <w:color w:val="2D2D2D"/>
          <w:sz w:val="22"/>
          <w:szCs w:val="22"/>
        </w:rPr>
        <w:t xml:space="preserve">Acceleration provisions are as set forth in Section 8 of the Board Consent and the Grant Schedule.</w:t>
      </w:r>
    </w:p>
    <w:p>
      <w:pPr>
        <w:pStyle w:val="Heading2"/>
        <w:spacing w:after="160" w:before="280"/>
        <w:jc w:val="left"/>
      </w:pPr>
      <w:r>
        <w:rPr>
          <w:rFonts w:ascii="Calibri" w:cs="Calibri" w:eastAsia="Calibri" w:hAnsi="Calibri"/>
          <w:b/>
          <w:bCs/>
          <w:color w:val="1B3A5C"/>
          <w:sz w:val="26"/>
          <w:szCs w:val="26"/>
        </w:rPr>
        <w:t xml:space="preserve">F.6 Section 409A</w:t>
      </w:r>
    </w:p>
    <w:p>
      <w:pPr>
        <w:spacing w:after="160" w:before="0" w:line="276"/>
        <w:jc w:val="both"/>
      </w:pPr>
      <w:r>
        <w:rPr>
          <w:rFonts w:ascii="Calibri" w:cs="Calibri" w:eastAsia="Calibri" w:hAnsi="Calibri"/>
          <w:b w:val="false"/>
          <w:bCs w:val="false"/>
          <w:i w:val="false"/>
          <w:iCs w:val="false"/>
          <w:color w:val="2D2D2D"/>
          <w:sz w:val="22"/>
          <w:szCs w:val="22"/>
        </w:rPr>
        <w:t xml:space="preserve">This Agreement is intended to comply with Section 409A of the Code or to be exempt therefrom, and shall be interpreted and administered accordingly. Notwithstanding any provision herein to the contrary, if any payment or benefit constitutes "nonqualified deferred compensation" within the meaning of Section 409A, settlement shall be made only upon a permissible distribution event under Section 409A.</w:t>
      </w:r>
    </w:p>
    <w:p>
      <w:pPr>
        <w:spacing w:after="160" w:before="0" w:line="276"/>
        <w:jc w:val="both"/>
      </w:pPr>
      <w:r>
        <w:rPr>
          <w:rFonts w:ascii="Calibri" w:cs="Calibri" w:eastAsia="Calibri" w:hAnsi="Calibri"/>
          <w:b w:val="false"/>
          <w:bCs w:val="false"/>
          <w:i w:val="false"/>
          <w:iCs w:val="false"/>
          <w:color w:val="2D2D2D"/>
          <w:sz w:val="22"/>
          <w:szCs w:val="22"/>
        </w:rPr>
        <w:t xml:space="preserve">If the Participant is a "specified employee" (as defined in Section 409A) at the time of separation from service, any payments that would otherwise be made during the six-month period following separation from service shall be delayed until the first business day following such six-month period.</w:t>
      </w:r>
    </w:p>
    <w:p>
      <w:pPr>
        <w:pStyle w:val="Heading2"/>
        <w:spacing w:after="160" w:before="280"/>
        <w:jc w:val="left"/>
      </w:pPr>
      <w:r>
        <w:rPr>
          <w:rFonts w:ascii="Calibri" w:cs="Calibri" w:eastAsia="Calibri" w:hAnsi="Calibri"/>
          <w:b/>
          <w:bCs/>
          <w:color w:val="1B3A5C"/>
          <w:sz w:val="26"/>
          <w:szCs w:val="26"/>
        </w:rPr>
        <w:t xml:space="preserve">F.7 No Stockholder Rights</w:t>
      </w:r>
    </w:p>
    <w:p>
      <w:pPr>
        <w:spacing w:after="160" w:before="0" w:line="276"/>
        <w:jc w:val="both"/>
      </w:pPr>
      <w:r>
        <w:rPr>
          <w:rFonts w:ascii="Calibri" w:cs="Calibri" w:eastAsia="Calibri" w:hAnsi="Calibri"/>
          <w:b w:val="false"/>
          <w:bCs w:val="false"/>
          <w:i w:val="false"/>
          <w:iCs w:val="false"/>
          <w:color w:val="2D2D2D"/>
          <w:sz w:val="22"/>
          <w:szCs w:val="22"/>
        </w:rPr>
        <w:t xml:space="preserve">The Participant shall have no rights as a stockholder of the Company with respect to any shares subject to RSUs until such shares are actually issued upon settlement. No dividend equivalent rights shall be granted unless explicitly set forth in the Grant Schedule.</w:t>
      </w:r>
    </w:p>
    <w:p>
      <w:pPr>
        <w:pStyle w:val="Heading2"/>
        <w:spacing w:after="160" w:before="280"/>
        <w:jc w:val="left"/>
      </w:pPr>
      <w:r>
        <w:rPr>
          <w:rFonts w:ascii="Calibri" w:cs="Calibri" w:eastAsia="Calibri" w:hAnsi="Calibri"/>
          <w:b/>
          <w:bCs/>
          <w:color w:val="1B3A5C"/>
          <w:sz w:val="26"/>
          <w:szCs w:val="26"/>
        </w:rPr>
        <w:t xml:space="preserve">F.8 Transferability</w:t>
      </w:r>
    </w:p>
    <w:p>
      <w:pPr>
        <w:spacing w:after="160" w:before="0" w:line="276"/>
        <w:jc w:val="both"/>
      </w:pPr>
      <w:r>
        <w:rPr>
          <w:rFonts w:ascii="Calibri" w:cs="Calibri" w:eastAsia="Calibri" w:hAnsi="Calibri"/>
          <w:b w:val="false"/>
          <w:bCs w:val="false"/>
          <w:i w:val="false"/>
          <w:iCs w:val="false"/>
          <w:color w:val="2D2D2D"/>
          <w:sz w:val="22"/>
          <w:szCs w:val="22"/>
        </w:rPr>
        <w:t xml:space="preserve">RSUs may not be sold, transferred, assigned, pledged, or otherwise alienated or hypothecated, other than by will or the laws of descent and distribution.</w:t>
      </w:r>
    </w:p>
    <w:p>
      <w:pPr>
        <w:pStyle w:val="Heading2"/>
        <w:spacing w:after="160" w:before="280"/>
        <w:jc w:val="left"/>
      </w:pPr>
      <w:r>
        <w:rPr>
          <w:rFonts w:ascii="Calibri" w:cs="Calibri" w:eastAsia="Calibri" w:hAnsi="Calibri"/>
          <w:b/>
          <w:bCs/>
          <w:color w:val="1B3A5C"/>
          <w:sz w:val="26"/>
          <w:szCs w:val="26"/>
        </w:rPr>
        <w:t xml:space="preserve">F.9 Governing Law</w:t>
      </w:r>
    </w:p>
    <w:p>
      <w:pPr>
        <w:spacing w:after="160" w:before="0" w:line="276"/>
        <w:jc w:val="both"/>
      </w:pPr>
      <w:r>
        <w:rPr>
          <w:rFonts w:ascii="Calibri" w:cs="Calibri" w:eastAsia="Calibri" w:hAnsi="Calibri"/>
          <w:b w:val="false"/>
          <w:bCs w:val="false"/>
          <w:i w:val="false"/>
          <w:iCs w:val="false"/>
          <w:color w:val="2D2D2D"/>
          <w:sz w:val="22"/>
          <w:szCs w:val="22"/>
        </w:rPr>
        <w:t xml:space="preserve">This Agreement shall be governed by the laws of the State of [GOVERNING LAW STATE].</w:t>
      </w:r>
    </w:p>
    <w:p>
      <w:pPr>
        <w:spacing w:after="200"/>
      </w:pPr>
    </w:p>
    <w:p>
      <w:pPr>
        <w:spacing w:after="200" w:before="0" w:line="276"/>
        <w:jc w:val="both"/>
      </w:pPr>
      <w:r>
        <w:rPr>
          <w:rFonts w:ascii="Calibri" w:cs="Calibri" w:eastAsia="Calibri" w:hAnsi="Calibri"/>
          <w:b w:val="false"/>
          <w:bCs w:val="false"/>
          <w:i w:val="false"/>
          <w:iCs w:val="false"/>
          <w:color w:val="2D2D2D"/>
          <w:sz w:val="22"/>
          <w:szCs w:val="22"/>
        </w:rPr>
        <w:t xml:space="preserve">IN WITNESS WHEREOF, the parties have executed this Agreement as of the Grant Date.</w:t>
      </w:r>
    </w:p>
    <w:p>
      <w:pPr>
        <w:spacing w:after="160" w:before="0" w:line="276"/>
        <w:jc w:val="both"/>
      </w:pPr>
      <w:r>
        <w:rPr>
          <w:rFonts w:ascii="Calibri" w:cs="Calibri" w:eastAsia="Calibri" w:hAnsi="Calibri"/>
          <w:b/>
          <w:bCs/>
          <w:i w:val="false"/>
          <w:iCs w:val="false"/>
          <w:color w:val="2D2D2D"/>
          <w:sz w:val="22"/>
          <w:szCs w:val="22"/>
        </w:rPr>
        <w:t xml:space="preserve">[COMPANY NAME]</w:t>
      </w:r>
    </w:p>
    <w:p>
      <w:pPr>
        <w:spacing w:after="160" w:before="0" w:line="276"/>
        <w:jc w:val="both"/>
      </w:pPr>
      <w:r>
        <w:rPr>
          <w:rFonts w:ascii="Calibri" w:cs="Calibri" w:eastAsia="Calibri" w:hAnsi="Calibri"/>
          <w:b w:val="false"/>
          <w:bCs w:val="false"/>
          <w:i w:val="false"/>
          <w:iCs w:val="false"/>
          <w:color w:val="2D2D2D"/>
          <w:sz w:val="22"/>
          <w:szCs w:val="22"/>
        </w:rPr>
        <w:t xml:space="preserve">By: ____________________________</w:t>
      </w:r>
    </w:p>
    <w:p>
      <w:pPr>
        <w:spacing w:after="160" w:before="0" w:line="276"/>
        <w:jc w:val="both"/>
      </w:pPr>
      <w:r>
        <w:rPr>
          <w:rFonts w:ascii="Calibri" w:cs="Calibri" w:eastAsia="Calibri" w:hAnsi="Calibri"/>
          <w:b w:val="false"/>
          <w:bCs w:val="false"/>
          <w:i w:val="false"/>
          <w:iCs w:val="false"/>
          <w:color w:val="2D2D2D"/>
          <w:sz w:val="22"/>
          <w:szCs w:val="22"/>
        </w:rPr>
        <w:t xml:space="preserve">Name: [OFFICER NAME]</w:t>
      </w:r>
    </w:p>
    <w:p>
      <w:pPr>
        <w:spacing w:after="300" w:before="0" w:line="276"/>
        <w:jc w:val="both"/>
      </w:pPr>
      <w:r>
        <w:rPr>
          <w:rFonts w:ascii="Calibri" w:cs="Calibri" w:eastAsia="Calibri" w:hAnsi="Calibri"/>
          <w:b w:val="false"/>
          <w:bCs w:val="false"/>
          <w:i w:val="false"/>
          <w:iCs w:val="false"/>
          <w:color w:val="2D2D2D"/>
          <w:sz w:val="22"/>
          <w:szCs w:val="22"/>
        </w:rPr>
        <w:t xml:space="preserve">Title: [OFFICER TITLE]</w:t>
      </w:r>
    </w:p>
    <w:p>
      <w:pPr>
        <w:spacing w:after="160" w:before="0" w:line="276"/>
        <w:jc w:val="both"/>
      </w:pPr>
      <w:r>
        <w:rPr>
          <w:rFonts w:ascii="Calibri" w:cs="Calibri" w:eastAsia="Calibri" w:hAnsi="Calibri"/>
          <w:b/>
          <w:bCs/>
          <w:i w:val="false"/>
          <w:iCs w:val="false"/>
          <w:color w:val="2D2D2D"/>
          <w:sz w:val="22"/>
          <w:szCs w:val="22"/>
        </w:rPr>
        <w:t xml:space="preserve">PARTICIPANT:</w:t>
      </w:r>
    </w:p>
    <w:p>
      <w:pPr>
        <w:spacing w:after="160" w:before="0" w:line="276"/>
        <w:jc w:val="both"/>
      </w:pPr>
      <w:r>
        <w:rPr>
          <w:rFonts w:ascii="Calibri" w:cs="Calibri" w:eastAsia="Calibri" w:hAnsi="Calibri"/>
          <w:b w:val="false"/>
          <w:bCs w:val="false"/>
          <w:i w:val="false"/>
          <w:iCs w:val="false"/>
          <w:color w:val="2D2D2D"/>
          <w:sz w:val="22"/>
          <w:szCs w:val="22"/>
        </w:rPr>
        <w:t xml:space="preserve">____________________________</w:t>
      </w:r>
    </w:p>
    <w:p>
      <w:pPr>
        <w:spacing w:after="160" w:before="0" w:line="276"/>
        <w:jc w:val="both"/>
      </w:pPr>
      <w:r>
        <w:rPr>
          <w:rFonts w:ascii="Calibri" w:cs="Calibri" w:eastAsia="Calibri" w:hAnsi="Calibri"/>
          <w:b w:val="false"/>
          <w:bCs w:val="false"/>
          <w:i w:val="false"/>
          <w:iCs w:val="false"/>
          <w:color w:val="2D2D2D"/>
          <w:sz w:val="22"/>
          <w:szCs w:val="22"/>
        </w:rPr>
        <w:t xml:space="preserve">[PARTICIPANT NAME]</w:t>
      </w:r>
    </w:p>
    <w:p>
      <w:r>
        <w:br w:type="page"/>
      </w:r>
    </w:p>
    <w:p>
      <w:pPr>
        <w:pStyle w:val="Heading1"/>
        <w:spacing w:after="160" w:before="360"/>
        <w:jc w:val="center"/>
      </w:pPr>
      <w:r>
        <w:rPr>
          <w:rFonts w:ascii="Calibri" w:cs="Calibri" w:eastAsia="Calibri" w:hAnsi="Calibri"/>
          <w:b/>
          <w:bCs/>
          <w:color w:val="1B3A5C"/>
          <w:sz w:val="32"/>
          <w:szCs w:val="32"/>
        </w:rPr>
        <w:t xml:space="preserve">EXHIBIT G: SECRETARY'S CERTIFICATE</w:t>
      </w:r>
    </w:p>
    <w:p>
      <w:pPr>
        <w:spacing w:after="80"/>
      </w:pPr>
    </w:p>
    <w:p>
      <w:pPr>
        <w:spacing w:after="160" w:before="0" w:line="276"/>
        <w:jc w:val="center"/>
      </w:pPr>
      <w:r>
        <w:rPr>
          <w:rFonts w:ascii="Calibri" w:cs="Calibri" w:eastAsia="Calibri" w:hAnsi="Calibri"/>
          <w:b/>
          <w:bCs/>
          <w:i w:val="false"/>
          <w:iCs w:val="false"/>
          <w:color w:val="2D2D2D"/>
          <w:sz w:val="28"/>
          <w:szCs w:val="28"/>
        </w:rPr>
        <w:t xml:space="preserve">SECRETARY'S CERTIFICATE</w:t>
      </w:r>
    </w:p>
    <w:p>
      <w:pPr>
        <w:spacing w:after="60"/>
      </w:pPr>
    </w:p>
    <w:p>
      <w:pPr>
        <w:spacing w:after="160" w:before="0" w:line="276"/>
        <w:jc w:val="both"/>
      </w:pPr>
      <w:r>
        <w:rPr>
          <w:rFonts w:ascii="Calibri" w:cs="Calibri" w:eastAsia="Calibri" w:hAnsi="Calibri"/>
          <w:b w:val="false"/>
          <w:bCs w:val="false"/>
          <w:i w:val="false"/>
          <w:iCs w:val="false"/>
          <w:color w:val="2D2D2D"/>
          <w:sz w:val="22"/>
          <w:szCs w:val="22"/>
        </w:rPr>
        <w:t xml:space="preserve">I, [SECRETARY NAME], hereby certify that I am the duly elected and acting Secretary of [COMPANY NAME], a [STATE] corporation (the "Company"), and that, as such, I have access to the records of the Company, including the minute books, stock ledger, and equity records.</w:t>
      </w:r>
    </w:p>
    <w:p>
      <w:pPr>
        <w:spacing w:after="40"/>
      </w:pPr>
    </w:p>
    <w:p>
      <w:pPr>
        <w:spacing w:after="160" w:before="0" w:line="276"/>
        <w:jc w:val="both"/>
      </w:pPr>
      <w:r>
        <w:rPr>
          <w:rFonts w:ascii="Calibri" w:cs="Calibri" w:eastAsia="Calibri" w:hAnsi="Calibri"/>
          <w:b w:val="false"/>
          <w:bCs w:val="false"/>
          <w:i w:val="false"/>
          <w:iCs w:val="false"/>
          <w:color w:val="2D2D2D"/>
          <w:sz w:val="22"/>
          <w:szCs w:val="22"/>
        </w:rPr>
        <w:t xml:space="preserve">I further certify as follows:</w:t>
      </w:r>
    </w:p>
    <w:p>
      <w:pPr>
        <w:spacing w:after="40"/>
      </w:pPr>
    </w:p>
    <w:p>
      <w:pPr>
        <w:spacing w:after="160" w:before="0" w:line="276"/>
        <w:jc w:val="both"/>
      </w:pPr>
      <w:r>
        <w:rPr>
          <w:rFonts w:ascii="Calibri" w:cs="Calibri" w:eastAsia="Calibri" w:hAnsi="Calibri"/>
          <w:b/>
          <w:bCs/>
          <w:color w:val="2D2D2D"/>
          <w:sz w:val="22"/>
          <w:szCs w:val="22"/>
        </w:rPr>
        <w:t xml:space="preserve">1.  Board Composition.</w:t>
      </w:r>
      <w:r>
        <w:rPr>
          <w:rFonts w:ascii="Calibri" w:cs="Calibri" w:eastAsia="Calibri" w:hAnsi="Calibri"/>
          <w:color w:val="2D2D2D"/>
          <w:sz w:val="22"/>
          <w:szCs w:val="22"/>
        </w:rPr>
        <w:t xml:space="preserve">  As of [EFFECTIVE DATE], the Board of Directors of the Company consists of [NUMBER] members: [LIST ALL DIRECTOR NAMES].</w:t>
      </w:r>
    </w:p>
    <w:p>
      <w:pPr>
        <w:spacing w:after="20"/>
      </w:pPr>
    </w:p>
    <w:p>
      <w:pPr>
        <w:spacing w:after="160" w:before="0" w:line="276"/>
        <w:jc w:val="both"/>
      </w:pPr>
      <w:r>
        <w:rPr>
          <w:rFonts w:ascii="Calibri" w:cs="Calibri" w:eastAsia="Calibri" w:hAnsi="Calibri"/>
          <w:b/>
          <w:bCs/>
          <w:color w:val="2D2D2D"/>
          <w:sz w:val="22"/>
          <w:szCs w:val="22"/>
        </w:rPr>
        <w:t xml:space="preserve">2.  Execution of Consent.</w:t>
      </w:r>
      <w:r>
        <w:rPr>
          <w:rFonts w:ascii="Calibri" w:cs="Calibri" w:eastAsia="Calibri" w:hAnsi="Calibri"/>
          <w:color w:val="2D2D2D"/>
          <w:sz w:val="22"/>
          <w:szCs w:val="22"/>
        </w:rPr>
        <w:t xml:space="preserve">  The Unanimous Written Consent of the Board of Directors approving equity grants under the [COMPANY NAME] [YEAR] Equity Incentive Plan (the "Consent"), effective as of [EFFECTIVE DATE], has been duly executed by [all / a majority of the] members of the Board, as required by [APPLICABLE STATUTE] and the Company's Bylaws.</w:t>
      </w:r>
    </w:p>
    <w:p>
      <w:pPr>
        <w:spacing w:after="20"/>
      </w:pPr>
    </w:p>
    <w:p>
      <w:pPr>
        <w:spacing w:after="160" w:before="0" w:line="276"/>
        <w:jc w:val="both"/>
      </w:pPr>
      <w:r>
        <w:rPr>
          <w:rFonts w:ascii="Calibri" w:cs="Calibri" w:eastAsia="Calibri" w:hAnsi="Calibri"/>
          <w:b/>
          <w:bCs/>
          <w:color w:val="2D2D2D"/>
          <w:sz w:val="22"/>
          <w:szCs w:val="22"/>
        </w:rPr>
        <w:t xml:space="preserve">3.  Plan Share Reserve.</w:t>
      </w:r>
      <w:r>
        <w:rPr>
          <w:rFonts w:ascii="Calibri" w:cs="Calibri" w:eastAsia="Calibri" w:hAnsi="Calibri"/>
          <w:color w:val="2D2D2D"/>
          <w:sz w:val="22"/>
          <w:szCs w:val="22"/>
        </w:rPr>
        <w:t xml:space="preserve">  The [COMPANY NAME] [YEAR] Equity Incentive Plan (the "Plan") was adopted by the Board on [PLAN ADOPTION DATE] and approved by the stockholders on [STOCKHOLDER APPROVAL DATE]. The Plan reserves [TOTAL SHARES RESERVED] shares of Common Stock for issuance pursuant to awards. As of the Effective Date and after giving effect to the grants approved in the Consent, [AVAILABLE SHARES] shares remain available for future grants under the Plan.</w:t>
      </w:r>
    </w:p>
    <w:p>
      <w:pPr>
        <w:spacing w:after="20"/>
      </w:pPr>
    </w:p>
    <w:p>
      <w:pPr>
        <w:spacing w:after="160" w:before="0" w:line="276"/>
        <w:jc w:val="both"/>
      </w:pPr>
      <w:r>
        <w:rPr>
          <w:rFonts w:ascii="Calibri" w:cs="Calibri" w:eastAsia="Calibri" w:hAnsi="Calibri"/>
          <w:b/>
          <w:bCs/>
          <w:color w:val="2D2D2D"/>
          <w:sz w:val="22"/>
          <w:szCs w:val="22"/>
        </w:rPr>
        <w:t xml:space="preserve">4.  Exercise Price.</w:t>
      </w:r>
      <w:r>
        <w:rPr>
          <w:rFonts w:ascii="Calibri" w:cs="Calibri" w:eastAsia="Calibri" w:hAnsi="Calibri"/>
          <w:color w:val="2D2D2D"/>
          <w:sz w:val="22"/>
          <w:szCs w:val="22"/>
        </w:rPr>
        <w:t xml:space="preserve">  The exercise price for each stock option granted pursuant to the Consent is not less than the fair market value of the Common Stock on the date of grant, as determined by the Board in good faith based on the independent valuation report prepared by [VALUATION FIRM NAME], dated [VALUATION REPORT DATE].</w:t>
      </w:r>
    </w:p>
    <w:p>
      <w:pPr>
        <w:spacing w:after="20"/>
      </w:pPr>
    </w:p>
    <w:p>
      <w:pPr>
        <w:spacing w:after="160" w:before="0" w:line="276"/>
        <w:jc w:val="both"/>
      </w:pPr>
      <w:r>
        <w:rPr>
          <w:rFonts w:ascii="Calibri" w:cs="Calibri" w:eastAsia="Calibri" w:hAnsi="Calibri"/>
          <w:b/>
          <w:bCs/>
          <w:color w:val="2D2D2D"/>
          <w:sz w:val="22"/>
          <w:szCs w:val="22"/>
        </w:rPr>
        <w:t xml:space="preserve">5.  ISO Qualification.</w:t>
      </w:r>
      <w:r>
        <w:rPr>
          <w:rFonts w:ascii="Calibri" w:cs="Calibri" w:eastAsia="Calibri" w:hAnsi="Calibri"/>
          <w:color w:val="2D2D2D"/>
          <w:sz w:val="22"/>
          <w:szCs w:val="22"/>
        </w:rPr>
        <w:t xml:space="preserve">  Each option designated as an Incentive Stock Option in the Consent satisfies the requirements of Section 422 of the Internal Revenue Code, including the exercise price, term, and $100,000 annual limit requirements, based on the information available to the Board.</w:t>
      </w:r>
    </w:p>
    <w:p>
      <w:pPr>
        <w:spacing w:after="20"/>
      </w:pPr>
    </w:p>
    <w:p>
      <w:pPr>
        <w:spacing w:after="160" w:before="0" w:line="276"/>
        <w:jc w:val="both"/>
      </w:pPr>
      <w:r>
        <w:rPr>
          <w:rFonts w:ascii="Calibri" w:cs="Calibri" w:eastAsia="Calibri" w:hAnsi="Calibri"/>
          <w:b/>
          <w:bCs/>
          <w:color w:val="2D2D2D"/>
          <w:sz w:val="22"/>
          <w:szCs w:val="22"/>
        </w:rPr>
        <w:t xml:space="preserve">6.  Rule 701 Compliance.</w:t>
      </w:r>
      <w:r>
        <w:rPr>
          <w:rFonts w:ascii="Calibri" w:cs="Calibri" w:eastAsia="Calibri" w:hAnsi="Calibri"/>
          <w:color w:val="2D2D2D"/>
          <w:sz w:val="22"/>
          <w:szCs w:val="22"/>
        </w:rPr>
        <w:t xml:space="preserve">  The securities issued pursuant to the Consent are exempt from registration under the Securities Act of 1933 pursuant to Rule 701, and the aggregate sales under Rule 701 during the applicable 12-month measurement period do not exceed the ceiling calculated in Exhibit C to the Consent.</w:t>
      </w:r>
    </w:p>
    <w:p>
      <w:pPr>
        <w:spacing w:after="20"/>
      </w:pPr>
    </w:p>
    <w:p>
      <w:pPr>
        <w:spacing w:after="160" w:before="0" w:line="276"/>
        <w:jc w:val="both"/>
      </w:pPr>
      <w:r>
        <w:rPr>
          <w:rFonts w:ascii="Calibri" w:cs="Calibri" w:eastAsia="Calibri" w:hAnsi="Calibri"/>
          <w:b/>
          <w:bCs/>
          <w:color w:val="2D2D2D"/>
          <w:sz w:val="22"/>
          <w:szCs w:val="22"/>
        </w:rPr>
        <w:t xml:space="preserve">7.  Corporate Records.</w:t>
      </w:r>
      <w:r>
        <w:rPr>
          <w:rFonts w:ascii="Calibri" w:cs="Calibri" w:eastAsia="Calibri" w:hAnsi="Calibri"/>
          <w:color w:val="2D2D2D"/>
          <w:sz w:val="22"/>
          <w:szCs w:val="22"/>
        </w:rPr>
        <w:t xml:space="preserve">  A copy of the Consent, together with all exhibits thereto, has been filed with the minutes of the proceedings of the Board of Directors. The Company's capitalization table and stock ledger have been updated to reflect the grants approved in the Consent.</w:t>
      </w:r>
    </w:p>
    <w:p>
      <w:pPr>
        <w:spacing w:after="20"/>
      </w:pPr>
    </w:p>
    <w:p>
      <w:pPr>
        <w:spacing w:after="160" w:before="0" w:line="276"/>
        <w:jc w:val="both"/>
      </w:pPr>
      <w:r>
        <w:rPr>
          <w:rFonts w:ascii="Calibri" w:cs="Calibri" w:eastAsia="Calibri" w:hAnsi="Calibri"/>
          <w:b/>
          <w:bCs/>
          <w:color w:val="2D2D2D"/>
          <w:sz w:val="22"/>
          <w:szCs w:val="22"/>
        </w:rPr>
        <w:t xml:space="preserve">8.  No Conflicts.</w:t>
      </w:r>
      <w:r>
        <w:rPr>
          <w:rFonts w:ascii="Calibri" w:cs="Calibri" w:eastAsia="Calibri" w:hAnsi="Calibri"/>
          <w:color w:val="2D2D2D"/>
          <w:sz w:val="22"/>
          <w:szCs w:val="22"/>
        </w:rPr>
        <w:t xml:space="preserve">  To my knowledge, the grants approved in the Consent do not violate any provision of the Company's Certificate of Incorporation, Bylaws, the Plan, or any agreement to which the Company is a party.</w:t>
      </w:r>
    </w:p>
    <w:p>
      <w:pPr>
        <w:spacing w:after="300"/>
      </w:pPr>
    </w:p>
    <w:p>
      <w:pPr>
        <w:spacing w:after="160" w:before="0" w:line="276"/>
        <w:jc w:val="both"/>
      </w:pPr>
      <w:r>
        <w:rPr>
          <w:rFonts w:ascii="Calibri" w:cs="Calibri" w:eastAsia="Calibri" w:hAnsi="Calibri"/>
          <w:b w:val="false"/>
          <w:bCs w:val="false"/>
          <w:i w:val="false"/>
          <w:iCs w:val="false"/>
          <w:color w:val="2D2D2D"/>
          <w:sz w:val="22"/>
          <w:szCs w:val="22"/>
        </w:rPr>
        <w:t xml:space="preserve">IN WITNESS WHEREOF, I have executed this Certificate as of [DATE].</w:t>
      </w:r>
    </w:p>
    <w:p>
      <w:pPr>
        <w:spacing w:after="300"/>
      </w:pPr>
    </w:p>
    <w:p>
      <w:pPr>
        <w:pBdr>
          <w:bottom w:val="single" w:color="000000" w:sz="1"/>
        </w:pBdr>
        <w:spacing w:after="40"/>
      </w:pPr>
    </w:p>
    <w:p>
      <w:pPr>
        <w:spacing w:after="20" w:before="0" w:line="276"/>
        <w:jc w:val="both"/>
      </w:pPr>
      <w:r>
        <w:rPr>
          <w:rFonts w:ascii="Calibri" w:cs="Calibri" w:eastAsia="Calibri" w:hAnsi="Calibri"/>
          <w:b/>
          <w:bCs/>
          <w:i w:val="false"/>
          <w:iCs w:val="false"/>
          <w:color w:val="2D2D2D"/>
          <w:sz w:val="22"/>
          <w:szCs w:val="22"/>
        </w:rPr>
        <w:t xml:space="preserve">[SECRETARY NAME]</w:t>
      </w:r>
    </w:p>
    <w:p>
      <w:pPr>
        <w:spacing w:after="20" w:before="0" w:line="276"/>
        <w:jc w:val="both"/>
      </w:pPr>
      <w:r>
        <w:rPr>
          <w:rFonts w:ascii="Calibri" w:cs="Calibri" w:eastAsia="Calibri" w:hAnsi="Calibri"/>
          <w:b w:val="false"/>
          <w:bCs w:val="false"/>
          <w:i w:val="false"/>
          <w:iCs w:val="false"/>
          <w:color w:val="2D2D2D"/>
          <w:sz w:val="22"/>
          <w:szCs w:val="22"/>
        </w:rPr>
        <w:t xml:space="preserve">Secretary</w:t>
      </w:r>
    </w:p>
    <w:p>
      <w:pPr>
        <w:spacing w:after="160" w:before="0" w:line="276"/>
        <w:jc w:val="both"/>
      </w:pPr>
      <w:r>
        <w:rPr>
          <w:rFonts w:ascii="Calibri" w:cs="Calibri" w:eastAsia="Calibri" w:hAnsi="Calibri"/>
          <w:b w:val="false"/>
          <w:bCs w:val="false"/>
          <w:i w:val="false"/>
          <w:iCs w:val="false"/>
          <w:color w:val="2D2D2D"/>
          <w:sz w:val="22"/>
          <w:szCs w:val="22"/>
        </w:rPr>
        <w:t xml:space="preserve">[COMPANY NAME]</w:t>
      </w:r>
    </w:p>
    <w:p>
      <w:pPr>
        <w:spacing w:after="300"/>
      </w:pPr>
    </w:p>
    <w:p>
      <w:pPr>
        <w:spacing w:after="160" w:before="0" w:line="276"/>
        <w:jc w:val="center"/>
      </w:pPr>
      <w:r>
        <w:rPr>
          <w:rFonts w:ascii="Calibri" w:cs="Calibri" w:eastAsia="Calibri" w:hAnsi="Calibri"/>
          <w:b w:val="false"/>
          <w:bCs w:val="false"/>
          <w:i/>
          <w:iCs/>
          <w:color w:val="666666"/>
          <w:sz w:val="22"/>
          <w:szCs w:val="22"/>
        </w:rPr>
        <w:t xml:space="preserve">[CORPORATE SEAL]</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6"/>
        <w:szCs w:val="16"/>
      </w:rPr>
      <w:t xml:space="preserve">Montague Law  |  For Informational Purposes Only  |  Page </w:t>
    </w:r>
    <w:r>
      <w:rPr>
        <w:rFonts w:ascii="Calibri" w:cs="Calibri" w:eastAsia="Calibri" w:hAnsi="Calibri"/>
        <w:color w:val="666666"/>
        <w:sz w:val="16"/>
        <w:szCs w:val="16"/>
      </w:rPr>
      <w:fldChar w:fldCharType="begin"/>
      <w:instrText xml:space="preserve">PAGE</w:instrText>
      <w:fldChar w:fldCharType="separate"/>
      <w:fldChar w:fldCharType="end"/>
    </w:r>
    <w:r>
      <w:rPr>
        <w:rFonts w:ascii="Calibri" w:cs="Calibri" w:eastAsia="Calibri" w:hAnsi="Calibri"/>
        <w:color w:val="666666"/>
        <w:sz w:val="16"/>
        <w:szCs w:val="16"/>
      </w:rPr>
      <w:t xml:space="preserve"> of </w:t>
    </w:r>
    <w:r>
      <w:rPr>
        <w:rFonts w:ascii="Calibri" w:cs="Calibri" w:eastAsia="Calibri" w:hAnsi="Calibri"/>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666666"/>
        <w:sz w:val="18"/>
        <w:szCs w:val="18"/>
      </w:rPr>
      <w:t xml:space="preserve">Equity Grant Board Consent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2D2D"/>
        <w:sz w:val="22"/>
        <w:szCs w:val="22"/>
      </w:rPr>
    </w:rPrDefault>
    <w:pPrDefault>
      <w:pPr>
        <w:spacing w:after="16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60" w:before="360"/>
      <w:jc w:val="center"/>
    </w:pPr>
    <w:rPr>
      <w:rFonts w:ascii="Calibri" w:cs="Calibri" w:eastAsia="Calibri" w:hAnsi="Calibri"/>
      <w:b/>
      <w:bCs/>
      <w:color w:val="1B3A5C"/>
      <w:sz w:val="32"/>
      <w:szCs w:val="32"/>
    </w:rPr>
  </w:style>
  <w:style w:type="paragraph" w:styleId="Heading2">
    <w:name w:val="Heading 2"/>
    <w:basedOn w:val="Normal"/>
    <w:next w:val="Normal"/>
    <w:qFormat/>
    <w:pPr>
      <w:spacing w:after="160" w:before="280"/>
    </w:pPr>
    <w:rPr>
      <w:rFonts w:ascii="Calibri" w:cs="Calibri" w:eastAsia="Calibri" w:hAnsi="Calibri"/>
      <w:b/>
      <w:bCs/>
      <w:color w:val="1B3A5C"/>
      <w:sz w:val="26"/>
      <w:szCs w:val="26"/>
    </w:rPr>
  </w:style>
  <w:style w:type="paragraph" w:styleId="Heading3">
    <w:name w:val="Heading 3"/>
    <w:basedOn w:val="Normal"/>
    <w:next w:val="Normal"/>
    <w:qFormat/>
    <w:pPr>
      <w:spacing w:after="120" w:before="240"/>
    </w:pPr>
    <w:rPr>
      <w:rFonts w:ascii="Calibri" w:cs="Calibri" w:eastAsia="Calibri" w:hAnsi="Calibri"/>
      <w:b/>
      <w:bCs/>
      <w:color w:val="1B3A5C"/>
      <w:sz w:val="23"/>
      <w:szCs w:val="23"/>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2026-08-23T04:01:52.792Z</dcterms:created>
  <dcterms:modified xsi:type="dcterms:W3CDTF">2026-08-23T04:01:52.793Z</dcterms:modified>
</cp:coreProperties>
</file>

<file path=docProps/custom.xml><?xml version="1.0" encoding="utf-8"?>
<Properties xmlns="http://schemas.openxmlformats.org/officeDocument/2006/custom-properties" xmlns:vt="http://schemas.openxmlformats.org/officeDocument/2006/docPropsVTypes"/>
</file>