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p>
    <w:p>
      <w:pPr>
        <w:spacing w:after="200" w:before="0"/>
        <w:jc w:val="center"/>
      </w:pPr>
      <w:r>
        <w:rPr>
          <w:rFonts w:ascii="Times New Roman" w:cs="Times New Roman" w:eastAsia="Times New Roman" w:hAnsi="Times New Roman"/>
          <w:b/>
          <w:bCs/>
          <w:sz w:val="36"/>
          <w:szCs w:val="36"/>
        </w:rPr>
        <w:t xml:space="preserve">DUE DILIGENCE</w:t>
      </w:r>
    </w:p>
    <w:p>
      <w:pPr>
        <w:spacing w:after="200" w:before="0"/>
        <w:jc w:val="center"/>
      </w:pPr>
      <w:r>
        <w:rPr>
          <w:rFonts w:ascii="Times New Roman" w:cs="Times New Roman" w:eastAsia="Times New Roman" w:hAnsi="Times New Roman"/>
          <w:b/>
          <w:bCs/>
          <w:sz w:val="36"/>
          <w:szCs w:val="36"/>
        </w:rPr>
        <w:t xml:space="preserve">REQUEST LIST</w:t>
      </w:r>
    </w:p>
    <w:p>
      <w:pPr>
        <w:spacing w:after="400"/>
      </w:pPr>
    </w:p>
    <w:p>
      <w:pPr>
        <w:spacing w:after="200" w:before="0"/>
        <w:jc w:val="center"/>
      </w:pPr>
      <w:r>
        <w:rPr>
          <w:rFonts w:ascii="Times New Roman" w:cs="Times New Roman" w:eastAsia="Times New Roman" w:hAnsi="Times New Roman"/>
          <w:b/>
          <w:bCs/>
          <w:sz w:val="28"/>
          <w:szCs w:val="28"/>
        </w:rPr>
        <w:t xml:space="preserve">[COMPANY NAME]</w:t>
      </w:r>
    </w:p>
    <w:p>
      <w:pPr>
        <w:spacing w:after="200" w:before="0"/>
        <w:jc w:val="center"/>
      </w:pPr>
      <w:r>
        <w:rPr>
          <w:rFonts w:ascii="Times New Roman" w:cs="Times New Roman" w:eastAsia="Times New Roman" w:hAnsi="Times New Roman"/>
          <w:i/>
          <w:iCs/>
          <w:sz w:val="24"/>
          <w:szCs w:val="24"/>
        </w:rPr>
        <w:t xml:space="preserve">[Transaction Type: Series [●] Financing / Acquisition / Merger]</w:t>
      </w:r>
    </w:p>
    <w:p>
      <w:pPr>
        <w:spacing w:after="400"/>
      </w:pPr>
    </w:p>
    <w:p>
      <w:pPr>
        <w:spacing w:after="200" w:before="0"/>
        <w:jc w:val="center"/>
      </w:pPr>
      <w:r>
        <w:rPr>
          <w:rFonts w:ascii="Times New Roman" w:cs="Times New Roman" w:eastAsia="Times New Roman" w:hAnsi="Times New Roman"/>
          <w:sz w:val="24"/>
          <w:szCs w:val="24"/>
        </w:rPr>
        <w:t xml:space="preserve">Prepared by: [Requesting Party / Investor / Acquirer]</w:t>
      </w:r>
    </w:p>
    <w:p>
      <w:pPr>
        <w:spacing w:after="200" w:before="0"/>
        <w:jc w:val="center"/>
      </w:pPr>
      <w:r>
        <w:rPr>
          <w:rFonts w:ascii="Times New Roman" w:cs="Times New Roman" w:eastAsia="Times New Roman" w:hAnsi="Times New Roman"/>
          <w:sz w:val="24"/>
          <w:szCs w:val="24"/>
        </w:rPr>
        <w:t xml:space="preserve">Date: [Date]</w:t>
      </w:r>
    </w:p>
    <w:p>
      <w:pPr>
        <w:spacing w:after="1500"/>
      </w:pPr>
    </w:p>
    <w:p>
      <w:pPr>
        <w:spacing w:after="200" w:before="0"/>
        <w:jc w:val="center"/>
      </w:pPr>
      <w:r>
        <w:rPr>
          <w:rFonts w:ascii="Times New Roman" w:cs="Times New Roman" w:eastAsia="Times New Roman" w:hAnsi="Times New Roman"/>
          <w:b/>
          <w:bCs/>
          <w:color w:val="CC0000"/>
          <w:sz w:val="20"/>
          <w:szCs w:val="20"/>
        </w:rPr>
        <w:t xml:space="preserve">CONFIDENTIAL</w:t>
      </w:r>
    </w:p>
    <w:p>
      <w:pPr>
        <w:spacing w:after="200" w:before="0"/>
        <w:jc w:val="center"/>
      </w:pPr>
      <w:r>
        <w:rPr>
          <w:rFonts w:ascii="Times New Roman" w:cs="Times New Roman" w:eastAsia="Times New Roman" w:hAnsi="Times New Roman"/>
          <w:i/>
          <w:iCs/>
          <w:color w:val="555555"/>
          <w:sz w:val="20"/>
          <w:szCs w:val="20"/>
        </w:rPr>
        <w:t xml:space="preserve">This document and the materials provided in response are confidential and are being furnished solely for purposes of evaluating a potential transaction. The recipient agrees not to disclose, copy, or distribute these materials without the prior written consent of the Company.</w:t>
      </w:r>
    </w:p>
    <w:p>
      <w:r>
        <w:br w:type="page"/>
      </w:r>
    </w:p>
    <w:p>
      <w:pPr>
        <w:pStyle w:val="Heading1"/>
        <w:spacing w:after="300" w:before="0"/>
        <w:jc w:val="center"/>
      </w:pPr>
      <w:r>
        <w:rPr>
          <w:rFonts w:ascii="Times New Roman" w:cs="Times New Roman" w:eastAsia="Times New Roman" w:hAnsi="Times New Roman"/>
          <w:b/>
          <w:bCs/>
          <w:sz w:val="28"/>
          <w:szCs w:val="28"/>
        </w:rPr>
        <w:t xml:space="preserve">DUE DILIGENCE REQUEST LIST</w:t>
      </w:r>
    </w:p>
    <w:p>
      <w:pPr>
        <w:pStyle w:val="Heading2"/>
        <w:spacing w:after="200" w:before="0"/>
      </w:pPr>
      <w:r>
        <w:rPr>
          <w:rFonts w:ascii="Times New Roman" w:cs="Times New Roman" w:eastAsia="Times New Roman" w:hAnsi="Times New Roman"/>
          <w:b/>
          <w:bCs/>
          <w:sz w:val="26"/>
          <w:szCs w:val="26"/>
        </w:rPr>
        <w:t xml:space="preserve">Instructions</w:t>
      </w:r>
    </w:p>
    <w:p>
      <w:pPr>
        <w:spacing w:after="200" w:before="0"/>
      </w:pPr>
      <w:r>
        <w:rPr>
          <w:rFonts w:ascii="Times New Roman" w:cs="Times New Roman" w:eastAsia="Times New Roman" w:hAnsi="Times New Roman"/>
          <w:sz w:val="24"/>
          <w:szCs w:val="24"/>
        </w:rPr>
        <w:t xml:space="preserve">This Due Diligence Request List identifies documents and information that [Investor/Acquirer] requests in connection with its evaluation of a potential [investment in / acquisition of] [Company Name] (the "Company"). Please provide the following materials to the extent they exist and are applicable to the Company. For items that are not applicable, please indicate "N/A" and provide a brief explanation.</w:t>
      </w:r>
    </w:p>
    <w:p>
      <w:pPr>
        <w:spacing w:after="200" w:before="0"/>
      </w:pPr>
      <w:r>
        <w:rPr>
          <w:rFonts w:ascii="Times New Roman" w:cs="Times New Roman" w:eastAsia="Times New Roman" w:hAnsi="Times New Roman"/>
          <w:sz w:val="24"/>
          <w:szCs w:val="24"/>
        </w:rPr>
        <w:t xml:space="preserve">Please organize responses using the category and item numbers below. Electronic copies in a shared virtual data room are preferred. If any requested item is subject to a confidentiality obligation or privilege, please identify it and we will discuss appropriate arrangements.</w:t>
      </w:r>
    </w:p>
    <w:p>
      <w:pPr>
        <w:pBdr>
          <w:left w:val="single" w:color="0f3460" w:sz="6" w:space="10"/>
        </w:pBdr>
        <w:shd w:fill="F0F4FF" w:val="clear"/>
        <w:spacing w:after="200" w:before="200"/>
        <w:ind w:left="200"/>
      </w:pPr>
      <w:r>
        <w:rPr>
          <w:rFonts w:ascii="Times New Roman" w:cs="Times New Roman" w:eastAsia="Times New Roman" w:hAnsi="Times New Roman"/>
          <w:b/>
          <w:bCs/>
          <w:color w:val="0f3460"/>
          <w:sz w:val="24"/>
          <w:szCs w:val="24"/>
        </w:rPr>
        <w:t xml:space="preserve">Practical Note: </w:t>
      </w:r>
      <w:r>
        <w:rPr>
          <w:rFonts w:ascii="Times New Roman" w:cs="Times New Roman" w:eastAsia="Times New Roman" w:hAnsi="Times New Roman"/>
          <w:i/>
          <w:iCs/>
          <w:color w:val="555555"/>
          <w:sz w:val="24"/>
          <w:szCs w:val="24"/>
        </w:rPr>
        <w:t xml:space="preserve">This list is intentionally comprehensive. Not every item will be applicable to every company, especially early-stage startups. For seed and Series A companies, focus on Categories I through VI. Later-stage companies and M&amp;A targets should expect requests across all categories. The requesting party should tailor this list to the specific transaction.</w:t>
      </w:r>
    </w:p>
    <w:p>
      <w:r>
        <w:br w:type="page"/>
      </w:r>
    </w:p>
    <w:p>
      <w:pPr>
        <w:pStyle w:val="Heading2"/>
        <w:pBdr>
          <w:bottom w:val="single" w:color="0f3460" w:sz="2"/>
        </w:pBdr>
        <w:shd w:fill="F0F4FF" w:val="clear"/>
        <w:spacing w:after="150" w:before="300"/>
      </w:pPr>
      <w:r>
        <w:rPr>
          <w:rFonts w:ascii="Times New Roman" w:cs="Times New Roman" w:eastAsia="Times New Roman" w:hAnsi="Times New Roman"/>
          <w:b/>
          <w:bCs/>
          <w:sz w:val="26"/>
          <w:szCs w:val="26"/>
        </w:rPr>
        <w:t xml:space="preserve">I. Corporate Organization and Governance</w:t>
      </w:r>
    </w:p>
    <w:p>
      <w:pPr>
        <w:spacing w:after="120" w:before="0"/>
        <w:ind w:left="360"/>
      </w:pPr>
      <w:r>
        <w:rPr>
          <w:rFonts w:ascii="Times New Roman" w:cs="Times New Roman" w:eastAsia="Times New Roman" w:hAnsi="Times New Roman"/>
          <w:sz w:val="24"/>
          <w:szCs w:val="24"/>
        </w:rPr>
        <w:t xml:space="preserve">1.1. Certificate or Articles of Incorporation (including all amendments and restatements) and Certificate of Good Standing from the state of incorporation</w:t>
      </w:r>
    </w:p>
    <w:p>
      <w:pPr>
        <w:spacing w:after="120" w:before="0"/>
        <w:ind w:left="360"/>
      </w:pPr>
      <w:r>
        <w:rPr>
          <w:rFonts w:ascii="Times New Roman" w:cs="Times New Roman" w:eastAsia="Times New Roman" w:hAnsi="Times New Roman"/>
          <w:sz w:val="24"/>
          <w:szCs w:val="24"/>
        </w:rPr>
        <w:t xml:space="preserve">1.2. Bylaws (including all amendments)</w:t>
      </w:r>
    </w:p>
    <w:p>
      <w:pPr>
        <w:spacing w:after="120" w:before="0"/>
        <w:ind w:left="360"/>
      </w:pPr>
      <w:r>
        <w:rPr>
          <w:rFonts w:ascii="Times New Roman" w:cs="Times New Roman" w:eastAsia="Times New Roman" w:hAnsi="Times New Roman"/>
          <w:sz w:val="24"/>
          <w:szCs w:val="24"/>
        </w:rPr>
        <w:t xml:space="preserve">1.3. All certificates of designation, preferences, and rights of any series of preferred stock</w:t>
      </w:r>
    </w:p>
    <w:p>
      <w:pPr>
        <w:spacing w:after="120" w:before="0"/>
        <w:ind w:left="360"/>
      </w:pPr>
      <w:r>
        <w:rPr>
          <w:rFonts w:ascii="Times New Roman" w:cs="Times New Roman" w:eastAsia="Times New Roman" w:hAnsi="Times New Roman"/>
          <w:sz w:val="24"/>
          <w:szCs w:val="24"/>
        </w:rPr>
        <w:t xml:space="preserve">1.4. Organizational chart showing all subsidiaries, parent entities, and affiliated entities, with jurisdiction of organization and ownership percentages</w:t>
      </w:r>
    </w:p>
    <w:p>
      <w:pPr>
        <w:spacing w:after="120" w:before="0"/>
        <w:ind w:left="360"/>
      </w:pPr>
      <w:r>
        <w:rPr>
          <w:rFonts w:ascii="Times New Roman" w:cs="Times New Roman" w:eastAsia="Times New Roman" w:hAnsi="Times New Roman"/>
          <w:sz w:val="24"/>
          <w:szCs w:val="24"/>
        </w:rPr>
        <w:t xml:space="preserve">1.5. Minutes of all meetings of the Board of Directors and all board committees for the past [3/5] years</w:t>
      </w:r>
    </w:p>
    <w:p>
      <w:pPr>
        <w:spacing w:after="120" w:before="0"/>
        <w:ind w:left="360"/>
      </w:pPr>
      <w:r>
        <w:rPr>
          <w:rFonts w:ascii="Times New Roman" w:cs="Times New Roman" w:eastAsia="Times New Roman" w:hAnsi="Times New Roman"/>
          <w:sz w:val="24"/>
          <w:szCs w:val="24"/>
        </w:rPr>
        <w:t xml:space="preserve">1.6. All written consents of the Board of Directors and stockholders for the past [3/5] years</w:t>
      </w:r>
    </w:p>
    <w:p>
      <w:pPr>
        <w:spacing w:after="120" w:before="0"/>
        <w:ind w:left="360"/>
      </w:pPr>
      <w:r>
        <w:rPr>
          <w:rFonts w:ascii="Times New Roman" w:cs="Times New Roman" w:eastAsia="Times New Roman" w:hAnsi="Times New Roman"/>
          <w:sz w:val="24"/>
          <w:szCs w:val="24"/>
        </w:rPr>
        <w:t xml:space="preserve">1.7. List of all current directors and officers, including titles, appointment dates, and compensation</w:t>
      </w:r>
    </w:p>
    <w:p>
      <w:pPr>
        <w:spacing w:after="120" w:before="0"/>
        <w:ind w:left="360"/>
      </w:pPr>
      <w:r>
        <w:rPr>
          <w:rFonts w:ascii="Times New Roman" w:cs="Times New Roman" w:eastAsia="Times New Roman" w:hAnsi="Times New Roman"/>
          <w:sz w:val="24"/>
          <w:szCs w:val="24"/>
        </w:rPr>
        <w:t xml:space="preserve">1.8. List of all jurisdictions in which the Company is qualified to do business</w:t>
      </w:r>
    </w:p>
    <w:p>
      <w:pPr>
        <w:spacing w:after="120" w:before="0"/>
        <w:ind w:left="360"/>
      </w:pPr>
      <w:r>
        <w:rPr>
          <w:rFonts w:ascii="Times New Roman" w:cs="Times New Roman" w:eastAsia="Times New Roman" w:hAnsi="Times New Roman"/>
          <w:sz w:val="24"/>
          <w:szCs w:val="24"/>
        </w:rPr>
        <w:t xml:space="preserve">1.9. Capitalization table showing all outstanding shares, options, warrants, convertible notes, SAFEs, and other equity or equity-linked securities on a fully diluted basis</w:t>
      </w:r>
    </w:p>
    <w:p>
      <w:pPr>
        <w:spacing w:after="120" w:before="0"/>
        <w:ind w:left="360"/>
      </w:pPr>
      <w:r>
        <w:rPr>
          <w:rFonts w:ascii="Times New Roman" w:cs="Times New Roman" w:eastAsia="Times New Roman" w:hAnsi="Times New Roman"/>
          <w:sz w:val="24"/>
          <w:szCs w:val="24"/>
        </w:rPr>
        <w:t xml:space="preserve">1.10. Stock ledger and all stock transfer records</w:t>
      </w:r>
    </w:p>
    <w:p>
      <w:pPr>
        <w:spacing w:after="120" w:before="0"/>
        <w:ind w:left="360"/>
      </w:pPr>
      <w:r>
        <w:rPr>
          <w:rFonts w:ascii="Times New Roman" w:cs="Times New Roman" w:eastAsia="Times New Roman" w:hAnsi="Times New Roman"/>
          <w:sz w:val="24"/>
          <w:szCs w:val="24"/>
        </w:rPr>
        <w:t xml:space="preserve">1.11. All stockholder agreements, voting agreements, investor rights agreements, right of first refusal agreements, co-sale agreements, and registration rights agreements</w:t>
      </w:r>
    </w:p>
    <w:p>
      <w:pPr>
        <w:spacing w:after="120" w:before="0"/>
        <w:ind w:left="360"/>
      </w:pPr>
      <w:r>
        <w:rPr>
          <w:rFonts w:ascii="Times New Roman" w:cs="Times New Roman" w:eastAsia="Times New Roman" w:hAnsi="Times New Roman"/>
          <w:sz w:val="24"/>
          <w:szCs w:val="24"/>
        </w:rPr>
        <w:t xml:space="preserve">1.12. All agreements or arrangements relating to any pending or contemplated reorganization, recapitalization, or business combination</w:t>
      </w:r>
    </w:p>
    <w:p>
      <w:pPr>
        <w:spacing w:after="120" w:before="0"/>
        <w:ind w:left="360"/>
      </w:pPr>
      <w:r>
        <w:rPr>
          <w:rFonts w:ascii="Times New Roman" w:cs="Times New Roman" w:eastAsia="Times New Roman" w:hAnsi="Times New Roman"/>
          <w:sz w:val="24"/>
          <w:szCs w:val="24"/>
        </w:rPr>
        <w:t xml:space="preserve">1.13. Any stockholder or investor correspondence or disputes within the past [3] years</w:t>
      </w:r>
    </w:p>
    <w:p>
      <w:pPr>
        <w:pStyle w:val="Heading2"/>
        <w:pBdr>
          <w:bottom w:val="single" w:color="0f3460" w:sz="2"/>
        </w:pBdr>
        <w:shd w:fill="F0F4FF" w:val="clear"/>
        <w:spacing w:after="150" w:before="300"/>
      </w:pPr>
      <w:r>
        <w:rPr>
          <w:rFonts w:ascii="Times New Roman" w:cs="Times New Roman" w:eastAsia="Times New Roman" w:hAnsi="Times New Roman"/>
          <w:b/>
          <w:bCs/>
          <w:sz w:val="26"/>
          <w:szCs w:val="26"/>
        </w:rPr>
        <w:t xml:space="preserve">II. Financial Information</w:t>
      </w:r>
    </w:p>
    <w:p>
      <w:pPr>
        <w:spacing w:after="120" w:before="0"/>
        <w:ind w:left="360"/>
      </w:pPr>
      <w:r>
        <w:rPr>
          <w:rFonts w:ascii="Times New Roman" w:cs="Times New Roman" w:eastAsia="Times New Roman" w:hAnsi="Times New Roman"/>
          <w:sz w:val="24"/>
          <w:szCs w:val="24"/>
        </w:rPr>
        <w:t xml:space="preserve">2.1. Audited financial statements for the past [3/5] fiscal years, including balance sheets, income statements, statements of cash flows, and notes thereto</w:t>
      </w:r>
    </w:p>
    <w:p>
      <w:pPr>
        <w:spacing w:after="120" w:before="0"/>
        <w:ind w:left="360"/>
      </w:pPr>
      <w:r>
        <w:rPr>
          <w:rFonts w:ascii="Times New Roman" w:cs="Times New Roman" w:eastAsia="Times New Roman" w:hAnsi="Times New Roman"/>
          <w:sz w:val="24"/>
          <w:szCs w:val="24"/>
        </w:rPr>
        <w:t xml:space="preserve">2.2. Unaudited interim financial statements for the current fiscal year (most recent month-end)</w:t>
      </w:r>
    </w:p>
    <w:p>
      <w:pPr>
        <w:spacing w:after="120" w:before="0"/>
        <w:ind w:left="360"/>
      </w:pPr>
      <w:r>
        <w:rPr>
          <w:rFonts w:ascii="Times New Roman" w:cs="Times New Roman" w:eastAsia="Times New Roman" w:hAnsi="Times New Roman"/>
          <w:sz w:val="24"/>
          <w:szCs w:val="24"/>
        </w:rPr>
        <w:t xml:space="preserve">2.3. Annual operating budgets and financial projections for the next [3/5] fiscal years, including all underlying assumptions</w:t>
      </w:r>
    </w:p>
    <w:p>
      <w:pPr>
        <w:spacing w:after="120" w:before="0"/>
        <w:ind w:left="360"/>
      </w:pPr>
      <w:r>
        <w:rPr>
          <w:rFonts w:ascii="Times New Roman" w:cs="Times New Roman" w:eastAsia="Times New Roman" w:hAnsi="Times New Roman"/>
          <w:sz w:val="24"/>
          <w:szCs w:val="24"/>
        </w:rPr>
        <w:t xml:space="preserve">2.4. Monthly revenue, expenses, and cash flow data for the past [24] months</w:t>
      </w:r>
    </w:p>
    <w:p>
      <w:pPr>
        <w:spacing w:after="120" w:before="0"/>
        <w:ind w:left="360"/>
      </w:pPr>
      <w:r>
        <w:rPr>
          <w:rFonts w:ascii="Times New Roman" w:cs="Times New Roman" w:eastAsia="Times New Roman" w:hAnsi="Times New Roman"/>
          <w:sz w:val="24"/>
          <w:szCs w:val="24"/>
        </w:rPr>
        <w:t xml:space="preserve">2.5. Schedule of all outstanding debt, including principal amounts, interest rates, maturity dates, and any covenants or default provisions</w:t>
      </w:r>
    </w:p>
    <w:p>
      <w:pPr>
        <w:spacing w:after="120" w:before="0"/>
        <w:ind w:left="360"/>
      </w:pPr>
      <w:r>
        <w:rPr>
          <w:rFonts w:ascii="Times New Roman" w:cs="Times New Roman" w:eastAsia="Times New Roman" w:hAnsi="Times New Roman"/>
          <w:sz w:val="24"/>
          <w:szCs w:val="24"/>
        </w:rPr>
        <w:t xml:space="preserve">2.6. All loan agreements, credit facilities, lines of credit, promissory notes, and related security agreements</w:t>
      </w:r>
    </w:p>
    <w:p>
      <w:pPr>
        <w:spacing w:after="120" w:before="0"/>
        <w:ind w:left="360"/>
      </w:pPr>
      <w:r>
        <w:rPr>
          <w:rFonts w:ascii="Times New Roman" w:cs="Times New Roman" w:eastAsia="Times New Roman" w:hAnsi="Times New Roman"/>
          <w:sz w:val="24"/>
          <w:szCs w:val="24"/>
        </w:rPr>
        <w:t xml:space="preserve">2.7. Bank statements for all accounts for the past [12] months</w:t>
      </w:r>
    </w:p>
    <w:p>
      <w:pPr>
        <w:spacing w:after="120" w:before="0"/>
        <w:ind w:left="360"/>
      </w:pPr>
      <w:r>
        <w:rPr>
          <w:rFonts w:ascii="Times New Roman" w:cs="Times New Roman" w:eastAsia="Times New Roman" w:hAnsi="Times New Roman"/>
          <w:sz w:val="24"/>
          <w:szCs w:val="24"/>
        </w:rPr>
        <w:t xml:space="preserve">2.8. Accounts receivable and accounts payable aging reports as of the most recent month-end</w:t>
      </w:r>
    </w:p>
    <w:p>
      <w:pPr>
        <w:spacing w:after="120" w:before="0"/>
        <w:ind w:left="360"/>
      </w:pPr>
      <w:r>
        <w:rPr>
          <w:rFonts w:ascii="Times New Roman" w:cs="Times New Roman" w:eastAsia="Times New Roman" w:hAnsi="Times New Roman"/>
          <w:sz w:val="24"/>
          <w:szCs w:val="24"/>
        </w:rPr>
        <w:t xml:space="preserve">2.9. Description of all off-balance sheet arrangements, contingent liabilities, and guarantees</w:t>
      </w:r>
    </w:p>
    <w:p>
      <w:pPr>
        <w:spacing w:after="120" w:before="0"/>
        <w:ind w:left="360"/>
      </w:pPr>
      <w:r>
        <w:rPr>
          <w:rFonts w:ascii="Times New Roman" w:cs="Times New Roman" w:eastAsia="Times New Roman" w:hAnsi="Times New Roman"/>
          <w:sz w:val="24"/>
          <w:szCs w:val="24"/>
        </w:rPr>
        <w:t xml:space="preserve">2.10. Management letters from auditors for the past [3] years</w:t>
      </w:r>
    </w:p>
    <w:p>
      <w:pPr>
        <w:spacing w:after="120" w:before="0"/>
        <w:ind w:left="360"/>
      </w:pPr>
      <w:r>
        <w:rPr>
          <w:rFonts w:ascii="Times New Roman" w:cs="Times New Roman" w:eastAsia="Times New Roman" w:hAnsi="Times New Roman"/>
          <w:sz w:val="24"/>
          <w:szCs w:val="24"/>
        </w:rPr>
        <w:t xml:space="preserve">2.11. Description of all related-party transactions within the past [3] years</w:t>
      </w:r>
    </w:p>
    <w:p>
      <w:pPr>
        <w:spacing w:after="120" w:before="0"/>
        <w:ind w:left="360"/>
      </w:pPr>
      <w:r>
        <w:rPr>
          <w:rFonts w:ascii="Times New Roman" w:cs="Times New Roman" w:eastAsia="Times New Roman" w:hAnsi="Times New Roman"/>
          <w:sz w:val="24"/>
          <w:szCs w:val="24"/>
        </w:rPr>
        <w:t xml:space="preserve">2.12. Schedule of all capital expenditures for the past [3] years and planned capital expenditures</w:t>
      </w:r>
    </w:p>
    <w:p>
      <w:r>
        <w:br w:type="page"/>
      </w:r>
    </w:p>
    <w:p>
      <w:pPr>
        <w:pStyle w:val="Heading2"/>
        <w:pBdr>
          <w:bottom w:val="single" w:color="0f3460" w:sz="2"/>
        </w:pBdr>
        <w:shd w:fill="F0F4FF" w:val="clear"/>
        <w:spacing w:after="150" w:before="300"/>
      </w:pPr>
      <w:r>
        <w:rPr>
          <w:rFonts w:ascii="Times New Roman" w:cs="Times New Roman" w:eastAsia="Times New Roman" w:hAnsi="Times New Roman"/>
          <w:b/>
          <w:bCs/>
          <w:sz w:val="26"/>
          <w:szCs w:val="26"/>
        </w:rPr>
        <w:t xml:space="preserve">III. Intellectual Property</w:t>
      </w:r>
    </w:p>
    <w:p>
      <w:pPr>
        <w:spacing w:after="120" w:before="0"/>
        <w:ind w:left="360"/>
      </w:pPr>
      <w:r>
        <w:rPr>
          <w:rFonts w:ascii="Times New Roman" w:cs="Times New Roman" w:eastAsia="Times New Roman" w:hAnsi="Times New Roman"/>
          <w:sz w:val="24"/>
          <w:szCs w:val="24"/>
        </w:rPr>
        <w:t xml:space="preserve">3.1. Schedule of all patents and patent applications (domestic and foreign), including status, jurisdiction, expiration dates, and ownership</w:t>
      </w:r>
    </w:p>
    <w:p>
      <w:pPr>
        <w:spacing w:after="120" w:before="0"/>
        <w:ind w:left="360"/>
      </w:pPr>
      <w:r>
        <w:rPr>
          <w:rFonts w:ascii="Times New Roman" w:cs="Times New Roman" w:eastAsia="Times New Roman" w:hAnsi="Times New Roman"/>
          <w:sz w:val="24"/>
          <w:szCs w:val="24"/>
        </w:rPr>
        <w:t xml:space="preserve">3.2. Schedule of all registered and unregistered trademarks, service marks, and domain names</w:t>
      </w:r>
    </w:p>
    <w:p>
      <w:pPr>
        <w:spacing w:after="120" w:before="0"/>
        <w:ind w:left="360"/>
      </w:pPr>
      <w:r>
        <w:rPr>
          <w:rFonts w:ascii="Times New Roman" w:cs="Times New Roman" w:eastAsia="Times New Roman" w:hAnsi="Times New Roman"/>
          <w:sz w:val="24"/>
          <w:szCs w:val="24"/>
        </w:rPr>
        <w:t xml:space="preserve">3.3. Schedule of all registered and unregistered copyrights</w:t>
      </w:r>
    </w:p>
    <w:p>
      <w:pPr>
        <w:spacing w:after="120" w:before="0"/>
        <w:ind w:left="360"/>
      </w:pPr>
      <w:r>
        <w:rPr>
          <w:rFonts w:ascii="Times New Roman" w:cs="Times New Roman" w:eastAsia="Times New Roman" w:hAnsi="Times New Roman"/>
          <w:sz w:val="24"/>
          <w:szCs w:val="24"/>
        </w:rPr>
        <w:t xml:space="preserve">3.4. Description of all trade secrets, proprietary know-how, and confidential business information material to the business</w:t>
      </w:r>
    </w:p>
    <w:p>
      <w:pPr>
        <w:spacing w:after="120" w:before="0"/>
        <w:ind w:left="360"/>
      </w:pPr>
      <w:r>
        <w:rPr>
          <w:rFonts w:ascii="Times New Roman" w:cs="Times New Roman" w:eastAsia="Times New Roman" w:hAnsi="Times New Roman"/>
          <w:sz w:val="24"/>
          <w:szCs w:val="24"/>
        </w:rPr>
        <w:t xml:space="preserve">3.5. All IP assignment agreements from founders, employees, and contractors (including any Proprietary Information and Inventions Assignment Agreements or "PIIAAs")</w:t>
      </w:r>
    </w:p>
    <w:p>
      <w:pPr>
        <w:spacing w:after="120" w:before="0"/>
        <w:ind w:left="360"/>
      </w:pPr>
      <w:r>
        <w:rPr>
          <w:rFonts w:ascii="Times New Roman" w:cs="Times New Roman" w:eastAsia="Times New Roman" w:hAnsi="Times New Roman"/>
          <w:sz w:val="24"/>
          <w:szCs w:val="24"/>
        </w:rPr>
        <w:t xml:space="preserve">3.6. All IP license agreements (inbound and outbound), including open-source software licenses used in the Company's products</w:t>
      </w:r>
    </w:p>
    <w:p>
      <w:pPr>
        <w:spacing w:after="120" w:before="0"/>
        <w:ind w:left="360"/>
      </w:pPr>
      <w:r>
        <w:rPr>
          <w:rFonts w:ascii="Times New Roman" w:cs="Times New Roman" w:eastAsia="Times New Roman" w:hAnsi="Times New Roman"/>
          <w:sz w:val="24"/>
          <w:szCs w:val="24"/>
        </w:rPr>
        <w:t xml:space="preserve">3.7. Open-source software audit report or bill of materials for all products</w:t>
      </w:r>
    </w:p>
    <w:p>
      <w:pPr>
        <w:spacing w:after="120" w:before="0"/>
        <w:ind w:left="360"/>
      </w:pPr>
      <w:r>
        <w:rPr>
          <w:rFonts w:ascii="Times New Roman" w:cs="Times New Roman" w:eastAsia="Times New Roman" w:hAnsi="Times New Roman"/>
          <w:sz w:val="24"/>
          <w:szCs w:val="24"/>
        </w:rPr>
        <w:t xml:space="preserve">3.8. Any IP-related disputes, cease and desist letters, or infringement claims (sent or received)</w:t>
      </w:r>
    </w:p>
    <w:p>
      <w:pPr>
        <w:spacing w:after="120" w:before="0"/>
        <w:ind w:left="360"/>
      </w:pPr>
      <w:r>
        <w:rPr>
          <w:rFonts w:ascii="Times New Roman" w:cs="Times New Roman" w:eastAsia="Times New Roman" w:hAnsi="Times New Roman"/>
          <w:sz w:val="24"/>
          <w:szCs w:val="24"/>
        </w:rPr>
        <w:t xml:space="preserve">3.9. Any agreements with universities, research institutions, or government agencies relating to IP development or rights</w:t>
      </w:r>
    </w:p>
    <w:p>
      <w:pPr>
        <w:spacing w:after="120" w:before="0"/>
        <w:ind w:left="360"/>
      </w:pPr>
      <w:r>
        <w:rPr>
          <w:rFonts w:ascii="Times New Roman" w:cs="Times New Roman" w:eastAsia="Times New Roman" w:hAnsi="Times New Roman"/>
          <w:sz w:val="24"/>
          <w:szCs w:val="24"/>
        </w:rPr>
        <w:t xml:space="preserve">3.10. Description of the Company's procedures for protecting proprietary information and trade secrets</w:t>
      </w:r>
    </w:p>
    <w:p>
      <w:pPr>
        <w:pBdr>
          <w:left w:val="single" w:color="E67E22" w:sz="6" w:space="10"/>
        </w:pBdr>
        <w:shd w:fill="FFF8F0" w:val="clear"/>
        <w:spacing w:after="200" w:before="200"/>
        <w:ind w:left="200"/>
      </w:pPr>
      <w:r>
        <w:rPr>
          <w:rFonts w:ascii="Times New Roman" w:cs="Times New Roman" w:eastAsia="Times New Roman" w:hAnsi="Times New Roman"/>
          <w:b/>
          <w:bCs/>
          <w:color w:val="E67E22"/>
          <w:sz w:val="22"/>
          <w:szCs w:val="22"/>
        </w:rPr>
        <w:t xml:space="preserve">Emerging Provision — AI/ML IP Diligence: </w:t>
      </w:r>
      <w:r>
        <w:rPr>
          <w:rFonts w:ascii="Times New Roman" w:cs="Times New Roman" w:eastAsia="Times New Roman" w:hAnsi="Times New Roman"/>
          <w:sz w:val="22"/>
          <w:szCs w:val="22"/>
        </w:rPr>
        <w:t xml:space="preserve">For companies developing or deploying artificial intelligence or machine learning systems, additional diligence items include: (i) training data provenance and licensing (including any scraping of copyrighted content); (ii) model ownership and development agreements; (iii) AI governance policies and bias auditing procedures; (iv) compliance with emerging AI regulations (EU AI Act, state-level AI laws); and (v) any use of third-party AI APIs or foundation models and associated terms of service.</w:t>
      </w:r>
    </w:p>
    <w:p>
      <w:pPr>
        <w:pStyle w:val="Heading2"/>
        <w:pBdr>
          <w:bottom w:val="single" w:color="0f3460" w:sz="2"/>
        </w:pBdr>
        <w:shd w:fill="F0F4FF" w:val="clear"/>
        <w:spacing w:after="150" w:before="300"/>
      </w:pPr>
      <w:r>
        <w:rPr>
          <w:rFonts w:ascii="Times New Roman" w:cs="Times New Roman" w:eastAsia="Times New Roman" w:hAnsi="Times New Roman"/>
          <w:b/>
          <w:bCs/>
          <w:sz w:val="26"/>
          <w:szCs w:val="26"/>
        </w:rPr>
        <w:t xml:space="preserve">IV. Material Contracts and Agreements</w:t>
      </w:r>
    </w:p>
    <w:p>
      <w:pPr>
        <w:spacing w:after="120" w:before="0"/>
        <w:ind w:left="360"/>
      </w:pPr>
      <w:r>
        <w:rPr>
          <w:rFonts w:ascii="Times New Roman" w:cs="Times New Roman" w:eastAsia="Times New Roman" w:hAnsi="Times New Roman"/>
          <w:sz w:val="24"/>
          <w:szCs w:val="24"/>
        </w:rPr>
        <w:t xml:space="preserve">4.1. All customer contracts representing more than [5]% of annual revenue</w:t>
      </w:r>
    </w:p>
    <w:p>
      <w:pPr>
        <w:spacing w:after="120" w:before="0"/>
        <w:ind w:left="360"/>
      </w:pPr>
      <w:r>
        <w:rPr>
          <w:rFonts w:ascii="Times New Roman" w:cs="Times New Roman" w:eastAsia="Times New Roman" w:hAnsi="Times New Roman"/>
          <w:sz w:val="24"/>
          <w:szCs w:val="24"/>
        </w:rPr>
        <w:t xml:space="preserve">4.2. All supplier and vendor contracts material to the business</w:t>
      </w:r>
    </w:p>
    <w:p>
      <w:pPr>
        <w:spacing w:after="120" w:before="0"/>
        <w:ind w:left="360"/>
      </w:pPr>
      <w:r>
        <w:rPr>
          <w:rFonts w:ascii="Times New Roman" w:cs="Times New Roman" w:eastAsia="Times New Roman" w:hAnsi="Times New Roman"/>
          <w:sz w:val="24"/>
          <w:szCs w:val="24"/>
        </w:rPr>
        <w:t xml:space="preserve">4.3. All partnership, joint venture, or strategic alliance agreements</w:t>
      </w:r>
    </w:p>
    <w:p>
      <w:pPr>
        <w:spacing w:after="120" w:before="0"/>
        <w:ind w:left="360"/>
      </w:pPr>
      <w:r>
        <w:rPr>
          <w:rFonts w:ascii="Times New Roman" w:cs="Times New Roman" w:eastAsia="Times New Roman" w:hAnsi="Times New Roman"/>
          <w:sz w:val="24"/>
          <w:szCs w:val="24"/>
        </w:rPr>
        <w:t xml:space="preserve">4.4. All distribution, reseller, referral, and agency agreements</w:t>
      </w:r>
    </w:p>
    <w:p>
      <w:pPr>
        <w:spacing w:after="120" w:before="0"/>
        <w:ind w:left="360"/>
      </w:pPr>
      <w:r>
        <w:rPr>
          <w:rFonts w:ascii="Times New Roman" w:cs="Times New Roman" w:eastAsia="Times New Roman" w:hAnsi="Times New Roman"/>
          <w:sz w:val="24"/>
          <w:szCs w:val="24"/>
        </w:rPr>
        <w:t xml:space="preserve">4.5. All non-compete, non-solicitation, and exclusivity agreements</w:t>
      </w:r>
    </w:p>
    <w:p>
      <w:pPr>
        <w:spacing w:after="120" w:before="0"/>
        <w:ind w:left="360"/>
      </w:pPr>
      <w:r>
        <w:rPr>
          <w:rFonts w:ascii="Times New Roman" w:cs="Times New Roman" w:eastAsia="Times New Roman" w:hAnsi="Times New Roman"/>
          <w:sz w:val="24"/>
          <w:szCs w:val="24"/>
        </w:rPr>
        <w:t xml:space="preserve">4.6. All government contracts and subcontracts</w:t>
      </w:r>
    </w:p>
    <w:p>
      <w:pPr>
        <w:spacing w:after="120" w:before="0"/>
        <w:ind w:left="360"/>
      </w:pPr>
      <w:r>
        <w:rPr>
          <w:rFonts w:ascii="Times New Roman" w:cs="Times New Roman" w:eastAsia="Times New Roman" w:hAnsi="Times New Roman"/>
          <w:sz w:val="24"/>
          <w:szCs w:val="24"/>
        </w:rPr>
        <w:t xml:space="preserve">4.7. Any agreements with terms extending beyond one year or involving payments exceeding $[●]</w:t>
      </w:r>
    </w:p>
    <w:p>
      <w:pPr>
        <w:spacing w:after="120" w:before="0"/>
        <w:ind w:left="360"/>
      </w:pPr>
      <w:r>
        <w:rPr>
          <w:rFonts w:ascii="Times New Roman" w:cs="Times New Roman" w:eastAsia="Times New Roman" w:hAnsi="Times New Roman"/>
          <w:sz w:val="24"/>
          <w:szCs w:val="24"/>
        </w:rPr>
        <w:t xml:space="preserve">4.8. Any contracts with change-of-control, assignment, or consent provisions that may be triggered by the proposed transaction</w:t>
      </w:r>
    </w:p>
    <w:p>
      <w:pPr>
        <w:spacing w:after="120" w:before="0"/>
        <w:ind w:left="360"/>
      </w:pPr>
      <w:r>
        <w:rPr>
          <w:rFonts w:ascii="Times New Roman" w:cs="Times New Roman" w:eastAsia="Times New Roman" w:hAnsi="Times New Roman"/>
          <w:sz w:val="24"/>
          <w:szCs w:val="24"/>
        </w:rPr>
        <w:t xml:space="preserve">4.9. Any contracts entered into outside the ordinary course of business within the past [24] months</w:t>
      </w:r>
    </w:p>
    <w:p>
      <w:pPr>
        <w:spacing w:after="120" w:before="0"/>
        <w:ind w:left="360"/>
      </w:pPr>
      <w:r>
        <w:rPr>
          <w:rFonts w:ascii="Times New Roman" w:cs="Times New Roman" w:eastAsia="Times New Roman" w:hAnsi="Times New Roman"/>
          <w:sz w:val="24"/>
          <w:szCs w:val="24"/>
        </w:rPr>
        <w:t xml:space="preserve">4.10. Standard form customer agreements, terms of service, and subscription agreements</w:t>
      </w:r>
    </w:p>
    <w:p>
      <w:r>
        <w:br w:type="page"/>
      </w:r>
    </w:p>
    <w:p>
      <w:pPr>
        <w:pStyle w:val="Heading2"/>
        <w:pBdr>
          <w:bottom w:val="single" w:color="0f3460" w:sz="2"/>
        </w:pBdr>
        <w:shd w:fill="F0F4FF" w:val="clear"/>
        <w:spacing w:after="150" w:before="300"/>
      </w:pPr>
      <w:r>
        <w:rPr>
          <w:rFonts w:ascii="Times New Roman" w:cs="Times New Roman" w:eastAsia="Times New Roman" w:hAnsi="Times New Roman"/>
          <w:b/>
          <w:bCs/>
          <w:sz w:val="26"/>
          <w:szCs w:val="26"/>
        </w:rPr>
        <w:t xml:space="preserve">V. Litigation and Regulatory</w:t>
      </w:r>
    </w:p>
    <w:p>
      <w:pPr>
        <w:spacing w:after="120" w:before="0"/>
        <w:ind w:left="360"/>
      </w:pPr>
      <w:r>
        <w:rPr>
          <w:rFonts w:ascii="Times New Roman" w:cs="Times New Roman" w:eastAsia="Times New Roman" w:hAnsi="Times New Roman"/>
          <w:sz w:val="24"/>
          <w:szCs w:val="24"/>
        </w:rPr>
        <w:t xml:space="preserve">5.1. Schedule of all pending or threatened litigation, arbitration, mediation, or administrative proceedings</w:t>
      </w:r>
    </w:p>
    <w:p>
      <w:pPr>
        <w:spacing w:after="120" w:before="0"/>
        <w:ind w:left="360"/>
      </w:pPr>
      <w:r>
        <w:rPr>
          <w:rFonts w:ascii="Times New Roman" w:cs="Times New Roman" w:eastAsia="Times New Roman" w:hAnsi="Times New Roman"/>
          <w:sz w:val="24"/>
          <w:szCs w:val="24"/>
        </w:rPr>
        <w:t xml:space="preserve">5.2. Schedule of all litigation settled or concluded within the past [5] years, including settlement amounts</w:t>
      </w:r>
    </w:p>
    <w:p>
      <w:pPr>
        <w:spacing w:after="120" w:before="0"/>
        <w:ind w:left="360"/>
      </w:pPr>
      <w:r>
        <w:rPr>
          <w:rFonts w:ascii="Times New Roman" w:cs="Times New Roman" w:eastAsia="Times New Roman" w:hAnsi="Times New Roman"/>
          <w:sz w:val="24"/>
          <w:szCs w:val="24"/>
        </w:rPr>
        <w:t xml:space="preserve">5.3. All outstanding judgments, decrees, orders, or injunctions</w:t>
      </w:r>
    </w:p>
    <w:p>
      <w:pPr>
        <w:spacing w:after="120" w:before="0"/>
        <w:ind w:left="360"/>
      </w:pPr>
      <w:r>
        <w:rPr>
          <w:rFonts w:ascii="Times New Roman" w:cs="Times New Roman" w:eastAsia="Times New Roman" w:hAnsi="Times New Roman"/>
          <w:sz w:val="24"/>
          <w:szCs w:val="24"/>
        </w:rPr>
        <w:t xml:space="preserve">5.4. Any correspondence with or investigations by governmental agencies or regulatory bodies</w:t>
      </w:r>
    </w:p>
    <w:p>
      <w:pPr>
        <w:spacing w:after="120" w:before="0"/>
        <w:ind w:left="360"/>
      </w:pPr>
      <w:r>
        <w:rPr>
          <w:rFonts w:ascii="Times New Roman" w:cs="Times New Roman" w:eastAsia="Times New Roman" w:hAnsi="Times New Roman"/>
          <w:sz w:val="24"/>
          <w:szCs w:val="24"/>
        </w:rPr>
        <w:t xml:space="preserve">5.5. Any consent decrees, compliance agreements, or deferred prosecution agreements</w:t>
      </w:r>
    </w:p>
    <w:p>
      <w:pPr>
        <w:spacing w:after="120" w:before="0"/>
        <w:ind w:left="360"/>
      </w:pPr>
      <w:r>
        <w:rPr>
          <w:rFonts w:ascii="Times New Roman" w:cs="Times New Roman" w:eastAsia="Times New Roman" w:hAnsi="Times New Roman"/>
          <w:sz w:val="24"/>
          <w:szCs w:val="24"/>
        </w:rPr>
        <w:t xml:space="preserve">5.6. Description of any pending or threatened claims involving intellectual property infringement</w:t>
      </w:r>
    </w:p>
    <w:p>
      <w:pPr>
        <w:spacing w:after="120" w:before="0"/>
        <w:ind w:left="360"/>
      </w:pPr>
      <w:r>
        <w:rPr>
          <w:rFonts w:ascii="Times New Roman" w:cs="Times New Roman" w:eastAsia="Times New Roman" w:hAnsi="Times New Roman"/>
          <w:sz w:val="24"/>
          <w:szCs w:val="24"/>
        </w:rPr>
        <w:t xml:space="preserve">5.7. Description of any whistleblower complaints, hotline reports, or internal investigations within the past [3] years</w:t>
      </w:r>
    </w:p>
    <w:p>
      <w:pPr>
        <w:spacing w:after="120" w:before="0"/>
        <w:ind w:left="360"/>
      </w:pPr>
      <w:r>
        <w:rPr>
          <w:rFonts w:ascii="Times New Roman" w:cs="Times New Roman" w:eastAsia="Times New Roman" w:hAnsi="Times New Roman"/>
          <w:sz w:val="24"/>
          <w:szCs w:val="24"/>
        </w:rPr>
        <w:t xml:space="preserve">5.8. Legal opinions received in connection with any material matter</w:t>
      </w:r>
    </w:p>
    <w:p>
      <w:pPr>
        <w:pStyle w:val="Heading2"/>
        <w:pBdr>
          <w:bottom w:val="single" w:color="0f3460" w:sz="2"/>
        </w:pBdr>
        <w:shd w:fill="F0F4FF" w:val="clear"/>
        <w:spacing w:after="150" w:before="300"/>
      </w:pPr>
      <w:r>
        <w:rPr>
          <w:rFonts w:ascii="Times New Roman" w:cs="Times New Roman" w:eastAsia="Times New Roman" w:hAnsi="Times New Roman"/>
          <w:b/>
          <w:bCs/>
          <w:sz w:val="26"/>
          <w:szCs w:val="26"/>
        </w:rPr>
        <w:t xml:space="preserve">VI. Employment and Labor</w:t>
      </w:r>
    </w:p>
    <w:p>
      <w:pPr>
        <w:spacing w:after="120" w:before="0"/>
        <w:ind w:left="360"/>
      </w:pPr>
      <w:r>
        <w:rPr>
          <w:rFonts w:ascii="Times New Roman" w:cs="Times New Roman" w:eastAsia="Times New Roman" w:hAnsi="Times New Roman"/>
          <w:sz w:val="24"/>
          <w:szCs w:val="24"/>
        </w:rPr>
        <w:t xml:space="preserve">6.1. List of all current employees, including name, title, start date, compensation (salary, bonus, equity), and employment status (full-time, part-time, contract)</w:t>
      </w:r>
    </w:p>
    <w:p>
      <w:pPr>
        <w:spacing w:after="120" w:before="0"/>
        <w:ind w:left="360"/>
      </w:pPr>
      <w:r>
        <w:rPr>
          <w:rFonts w:ascii="Times New Roman" w:cs="Times New Roman" w:eastAsia="Times New Roman" w:hAnsi="Times New Roman"/>
          <w:sz w:val="24"/>
          <w:szCs w:val="24"/>
        </w:rPr>
        <w:t xml:space="preserve">6.2. All employment agreements, offer letters, and consulting agreements</w:t>
      </w:r>
    </w:p>
    <w:p>
      <w:pPr>
        <w:spacing w:after="120" w:before="0"/>
        <w:ind w:left="360"/>
      </w:pPr>
      <w:r>
        <w:rPr>
          <w:rFonts w:ascii="Times New Roman" w:cs="Times New Roman" w:eastAsia="Times New Roman" w:hAnsi="Times New Roman"/>
          <w:sz w:val="24"/>
          <w:szCs w:val="24"/>
        </w:rPr>
        <w:t xml:space="preserve">6.3. Employee handbook and all company policies</w:t>
      </w:r>
    </w:p>
    <w:p>
      <w:pPr>
        <w:spacing w:after="120" w:before="0"/>
        <w:ind w:left="360"/>
      </w:pPr>
      <w:r>
        <w:rPr>
          <w:rFonts w:ascii="Times New Roman" w:cs="Times New Roman" w:eastAsia="Times New Roman" w:hAnsi="Times New Roman"/>
          <w:sz w:val="24"/>
          <w:szCs w:val="24"/>
        </w:rPr>
        <w:t xml:space="preserve">6.4. All equity incentive plans, stock option plans, and related award agreements</w:t>
      </w:r>
    </w:p>
    <w:p>
      <w:pPr>
        <w:spacing w:after="120" w:before="0"/>
        <w:ind w:left="360"/>
      </w:pPr>
      <w:r>
        <w:rPr>
          <w:rFonts w:ascii="Times New Roman" w:cs="Times New Roman" w:eastAsia="Times New Roman" w:hAnsi="Times New Roman"/>
          <w:sz w:val="24"/>
          <w:szCs w:val="24"/>
        </w:rPr>
        <w:t xml:space="preserve">6.5. Schedule of all outstanding stock options, RSUs, and other equity awards, including vesting schedules and exercise prices</w:t>
      </w:r>
    </w:p>
    <w:p>
      <w:pPr>
        <w:spacing w:after="120" w:before="0"/>
        <w:ind w:left="360"/>
      </w:pPr>
      <w:r>
        <w:rPr>
          <w:rFonts w:ascii="Times New Roman" w:cs="Times New Roman" w:eastAsia="Times New Roman" w:hAnsi="Times New Roman"/>
          <w:sz w:val="24"/>
          <w:szCs w:val="24"/>
        </w:rPr>
        <w:t xml:space="preserve">6.6. All severance agreements, retention agreements, and change-of-control agreements</w:t>
      </w:r>
    </w:p>
    <w:p>
      <w:pPr>
        <w:spacing w:after="120" w:before="0"/>
        <w:ind w:left="360"/>
      </w:pPr>
      <w:r>
        <w:rPr>
          <w:rFonts w:ascii="Times New Roman" w:cs="Times New Roman" w:eastAsia="Times New Roman" w:hAnsi="Times New Roman"/>
          <w:sz w:val="24"/>
          <w:szCs w:val="24"/>
        </w:rPr>
        <w:t xml:space="preserve">6.7. Description of all employee benefit plans (health, dental, vision, 401(k), etc.)</w:t>
      </w:r>
    </w:p>
    <w:p>
      <w:pPr>
        <w:spacing w:after="120" w:before="0"/>
        <w:ind w:left="360"/>
      </w:pPr>
      <w:r>
        <w:rPr>
          <w:rFonts w:ascii="Times New Roman" w:cs="Times New Roman" w:eastAsia="Times New Roman" w:hAnsi="Times New Roman"/>
          <w:sz w:val="24"/>
          <w:szCs w:val="24"/>
        </w:rPr>
        <w:t xml:space="preserve">6.8. All independent contractor agreements and any analysis of contractor classification (1099 vs. W-2)</w:t>
      </w:r>
    </w:p>
    <w:p>
      <w:pPr>
        <w:spacing w:after="120" w:before="0"/>
        <w:ind w:left="360"/>
      </w:pPr>
      <w:r>
        <w:rPr>
          <w:rFonts w:ascii="Times New Roman" w:cs="Times New Roman" w:eastAsia="Times New Roman" w:hAnsi="Times New Roman"/>
          <w:sz w:val="24"/>
          <w:szCs w:val="24"/>
        </w:rPr>
        <w:t xml:space="preserve">6.9. Any pending or threatened employment-related claims, EEOC charges, or Department of Labor investigations</w:t>
      </w:r>
    </w:p>
    <w:p>
      <w:pPr>
        <w:spacing w:after="120" w:before="0"/>
        <w:ind w:left="360"/>
      </w:pPr>
      <w:r>
        <w:rPr>
          <w:rFonts w:ascii="Times New Roman" w:cs="Times New Roman" w:eastAsia="Times New Roman" w:hAnsi="Times New Roman"/>
          <w:sz w:val="24"/>
          <w:szCs w:val="24"/>
        </w:rPr>
        <w:t xml:space="preserve">6.10. Any collective bargaining agreements or union-related matters</w:t>
      </w:r>
    </w:p>
    <w:p>
      <w:pPr>
        <w:spacing w:after="120" w:before="0"/>
        <w:ind w:left="360"/>
      </w:pPr>
      <w:r>
        <w:rPr>
          <w:rFonts w:ascii="Times New Roman" w:cs="Times New Roman" w:eastAsia="Times New Roman" w:hAnsi="Times New Roman"/>
          <w:sz w:val="24"/>
          <w:szCs w:val="24"/>
        </w:rPr>
        <w:t xml:space="preserve">6.11. H-1B, L-1, O-1, or other work visa sponsorship records for foreign employees</w:t>
      </w:r>
    </w:p>
    <w:p>
      <w:pPr>
        <w:spacing w:after="120" w:before="0"/>
        <w:ind w:left="360"/>
      </w:pPr>
      <w:r>
        <w:rPr>
          <w:rFonts w:ascii="Times New Roman" w:cs="Times New Roman" w:eastAsia="Times New Roman" w:hAnsi="Times New Roman"/>
          <w:sz w:val="24"/>
          <w:szCs w:val="24"/>
        </w:rPr>
        <w:t xml:space="preserve">6.12. Any non-compete, non-solicitation, or confidentiality agreements with current or former employees</w:t>
      </w:r>
    </w:p>
    <w:p>
      <w:pPr>
        <w:pStyle w:val="Heading2"/>
        <w:pBdr>
          <w:bottom w:val="single" w:color="0f3460" w:sz="2"/>
        </w:pBdr>
        <w:shd w:fill="F0F4FF" w:val="clear"/>
        <w:spacing w:after="150" w:before="300"/>
      </w:pPr>
      <w:r>
        <w:rPr>
          <w:rFonts w:ascii="Times New Roman" w:cs="Times New Roman" w:eastAsia="Times New Roman" w:hAnsi="Times New Roman"/>
          <w:b/>
          <w:bCs/>
          <w:sz w:val="26"/>
          <w:szCs w:val="26"/>
        </w:rPr>
        <w:t xml:space="preserve">VII. Tax</w:t>
      </w:r>
    </w:p>
    <w:p>
      <w:pPr>
        <w:spacing w:after="120" w:before="0"/>
        <w:ind w:left="360"/>
      </w:pPr>
      <w:r>
        <w:rPr>
          <w:rFonts w:ascii="Times New Roman" w:cs="Times New Roman" w:eastAsia="Times New Roman" w:hAnsi="Times New Roman"/>
          <w:sz w:val="24"/>
          <w:szCs w:val="24"/>
        </w:rPr>
        <w:t xml:space="preserve">7.1. Federal, state, and local income tax returns for the past [3/5] fiscal years</w:t>
      </w:r>
    </w:p>
    <w:p>
      <w:pPr>
        <w:spacing w:after="120" w:before="0"/>
        <w:ind w:left="360"/>
      </w:pPr>
      <w:r>
        <w:rPr>
          <w:rFonts w:ascii="Times New Roman" w:cs="Times New Roman" w:eastAsia="Times New Roman" w:hAnsi="Times New Roman"/>
          <w:sz w:val="24"/>
          <w:szCs w:val="24"/>
        </w:rPr>
        <w:t xml:space="preserve">7.2. Any pending or completed tax audits, assessments, or disputes</w:t>
      </w:r>
    </w:p>
    <w:p>
      <w:pPr>
        <w:spacing w:after="120" w:before="0"/>
        <w:ind w:left="360"/>
      </w:pPr>
      <w:r>
        <w:rPr>
          <w:rFonts w:ascii="Times New Roman" w:cs="Times New Roman" w:eastAsia="Times New Roman" w:hAnsi="Times New Roman"/>
          <w:sz w:val="24"/>
          <w:szCs w:val="24"/>
        </w:rPr>
        <w:t xml:space="preserve">7.3. All tax sharing, tax indemnity, or tax allocation agreements</w:t>
      </w:r>
    </w:p>
    <w:p>
      <w:pPr>
        <w:spacing w:after="120" w:before="0"/>
        <w:ind w:left="360"/>
      </w:pPr>
      <w:r>
        <w:rPr>
          <w:rFonts w:ascii="Times New Roman" w:cs="Times New Roman" w:eastAsia="Times New Roman" w:hAnsi="Times New Roman"/>
          <w:sz w:val="24"/>
          <w:szCs w:val="24"/>
        </w:rPr>
        <w:t xml:space="preserve">7.4. Schedule of any net operating loss (NOL) carryforwards and Section 382 limitations analysis</w:t>
      </w:r>
    </w:p>
    <w:p>
      <w:pPr>
        <w:spacing w:after="120" w:before="0"/>
        <w:ind w:left="360"/>
      </w:pPr>
      <w:r>
        <w:rPr>
          <w:rFonts w:ascii="Times New Roman" w:cs="Times New Roman" w:eastAsia="Times New Roman" w:hAnsi="Times New Roman"/>
          <w:sz w:val="24"/>
          <w:szCs w:val="24"/>
        </w:rPr>
        <w:t xml:space="preserve">7.5. All R&amp;D tax credit studies and supporting documentation</w:t>
      </w:r>
    </w:p>
    <w:p>
      <w:pPr>
        <w:spacing w:after="120" w:before="0"/>
        <w:ind w:left="360"/>
      </w:pPr>
      <w:r>
        <w:rPr>
          <w:rFonts w:ascii="Times New Roman" w:cs="Times New Roman" w:eastAsia="Times New Roman" w:hAnsi="Times New Roman"/>
          <w:sz w:val="24"/>
          <w:szCs w:val="24"/>
        </w:rPr>
        <w:t xml:space="preserve">7.6. Sales and use tax filings and nexus analysis for all jurisdictions</w:t>
      </w:r>
    </w:p>
    <w:p>
      <w:pPr>
        <w:spacing w:after="120" w:before="0"/>
        <w:ind w:left="360"/>
      </w:pPr>
      <w:r>
        <w:rPr>
          <w:rFonts w:ascii="Times New Roman" w:cs="Times New Roman" w:eastAsia="Times New Roman" w:hAnsi="Times New Roman"/>
          <w:sz w:val="24"/>
          <w:szCs w:val="24"/>
        </w:rPr>
        <w:t xml:space="preserve">7.7. Any private letter rulings, technical advice memoranda, or closing agreements with tax authorities</w:t>
      </w:r>
    </w:p>
    <w:p>
      <w:pPr>
        <w:spacing w:after="120" w:before="0"/>
        <w:ind w:left="360"/>
      </w:pPr>
      <w:r>
        <w:rPr>
          <w:rFonts w:ascii="Times New Roman" w:cs="Times New Roman" w:eastAsia="Times New Roman" w:hAnsi="Times New Roman"/>
          <w:sz w:val="24"/>
          <w:szCs w:val="24"/>
        </w:rPr>
        <w:t xml:space="preserve">7.8. Section 409A valuation reports (most recent and all prior reports)</w:t>
      </w:r>
    </w:p>
    <w:p>
      <w:pPr>
        <w:pBdr>
          <w:left w:val="single" w:color="E67E22" w:sz="6" w:space="10"/>
        </w:pBdr>
        <w:shd w:fill="FFF8F0" w:val="clear"/>
        <w:spacing w:after="200" w:before="200"/>
        <w:ind w:left="200"/>
      </w:pPr>
      <w:r>
        <w:rPr>
          <w:rFonts w:ascii="Times New Roman" w:cs="Times New Roman" w:eastAsia="Times New Roman" w:hAnsi="Times New Roman"/>
          <w:b/>
          <w:bCs/>
          <w:color w:val="E67E22"/>
          <w:sz w:val="22"/>
          <w:szCs w:val="22"/>
        </w:rPr>
        <w:t xml:space="preserve">Emerging Provision — QSBS Analysis: </w:t>
      </w:r>
      <w:r>
        <w:rPr>
          <w:rFonts w:ascii="Times New Roman" w:cs="Times New Roman" w:eastAsia="Times New Roman" w:hAnsi="Times New Roman"/>
          <w:sz w:val="22"/>
          <w:szCs w:val="22"/>
        </w:rPr>
        <w:t xml:space="preserve">For early-stage companies, request a Qualified Small Business Stock (QSBS) analysis under IRC Section 1202, including: (i) confirmation the company is a domestic C corporation with gross assets under $50 million; (ii) analysis of the "active business" requirement (80% asset test); (iii) identification of any disqualifying events (redemptions, non-qualifying activities); and (iv) tracking of QSBS holding periods for each stockholder. QSBS status can provide up to 100% exclusion of capital gains upon a qualifying sale.</w:t>
      </w:r>
    </w:p>
    <w:p>
      <w:r>
        <w:br w:type="page"/>
      </w:r>
    </w:p>
    <w:p>
      <w:pPr>
        <w:pStyle w:val="Heading2"/>
        <w:pBdr>
          <w:bottom w:val="single" w:color="0f3460" w:sz="2"/>
        </w:pBdr>
        <w:shd w:fill="F0F4FF" w:val="clear"/>
        <w:spacing w:after="150" w:before="300"/>
      </w:pPr>
      <w:r>
        <w:rPr>
          <w:rFonts w:ascii="Times New Roman" w:cs="Times New Roman" w:eastAsia="Times New Roman" w:hAnsi="Times New Roman"/>
          <w:b/>
          <w:bCs/>
          <w:sz w:val="26"/>
          <w:szCs w:val="26"/>
        </w:rPr>
        <w:t xml:space="preserve">VIII. Insurance</w:t>
      </w:r>
    </w:p>
    <w:p>
      <w:pPr>
        <w:spacing w:after="120" w:before="0"/>
        <w:ind w:left="360"/>
      </w:pPr>
      <w:r>
        <w:rPr>
          <w:rFonts w:ascii="Times New Roman" w:cs="Times New Roman" w:eastAsia="Times New Roman" w:hAnsi="Times New Roman"/>
          <w:sz w:val="24"/>
          <w:szCs w:val="24"/>
        </w:rPr>
        <w:t xml:space="preserve">8.1. Schedule of all insurance policies, including type, carrier, policy number, coverage limits, deductibles, and premium amounts</w:t>
      </w:r>
    </w:p>
    <w:p>
      <w:pPr>
        <w:spacing w:after="120" w:before="0"/>
        <w:ind w:left="360"/>
      </w:pPr>
      <w:r>
        <w:rPr>
          <w:rFonts w:ascii="Times New Roman" w:cs="Times New Roman" w:eastAsia="Times New Roman" w:hAnsi="Times New Roman"/>
          <w:sz w:val="24"/>
          <w:szCs w:val="24"/>
        </w:rPr>
        <w:t xml:space="preserve">8.2. Directors and Officers (D&amp;O) liability insurance policy and any side letters</w:t>
      </w:r>
    </w:p>
    <w:p>
      <w:pPr>
        <w:spacing w:after="120" w:before="0"/>
        <w:ind w:left="360"/>
      </w:pPr>
      <w:r>
        <w:rPr>
          <w:rFonts w:ascii="Times New Roman" w:cs="Times New Roman" w:eastAsia="Times New Roman" w:hAnsi="Times New Roman"/>
          <w:sz w:val="24"/>
          <w:szCs w:val="24"/>
        </w:rPr>
        <w:t xml:space="preserve">8.3. Errors and Omissions (E&amp;O) / Professional Liability insurance policy</w:t>
      </w:r>
    </w:p>
    <w:p>
      <w:pPr>
        <w:spacing w:after="120" w:before="0"/>
        <w:ind w:left="360"/>
      </w:pPr>
      <w:r>
        <w:rPr>
          <w:rFonts w:ascii="Times New Roman" w:cs="Times New Roman" w:eastAsia="Times New Roman" w:hAnsi="Times New Roman"/>
          <w:sz w:val="24"/>
          <w:szCs w:val="24"/>
        </w:rPr>
        <w:t xml:space="preserve">8.4. Cyber liability / data breach insurance policy</w:t>
      </w:r>
    </w:p>
    <w:p>
      <w:pPr>
        <w:spacing w:after="120" w:before="0"/>
        <w:ind w:left="360"/>
      </w:pPr>
      <w:r>
        <w:rPr>
          <w:rFonts w:ascii="Times New Roman" w:cs="Times New Roman" w:eastAsia="Times New Roman" w:hAnsi="Times New Roman"/>
          <w:sz w:val="24"/>
          <w:szCs w:val="24"/>
        </w:rPr>
        <w:t xml:space="preserve">8.5. General commercial liability and umbrella/excess policies</w:t>
      </w:r>
    </w:p>
    <w:p>
      <w:pPr>
        <w:spacing w:after="120" w:before="0"/>
        <w:ind w:left="360"/>
      </w:pPr>
      <w:r>
        <w:rPr>
          <w:rFonts w:ascii="Times New Roman" w:cs="Times New Roman" w:eastAsia="Times New Roman" w:hAnsi="Times New Roman"/>
          <w:sz w:val="24"/>
          <w:szCs w:val="24"/>
        </w:rPr>
        <w:t xml:space="preserve">8.6. Any pending insurance claims or claim history for the past [3] years</w:t>
      </w:r>
    </w:p>
    <w:p>
      <w:pPr>
        <w:spacing w:after="120" w:before="0"/>
        <w:ind w:left="360"/>
      </w:pPr>
      <w:r>
        <w:rPr>
          <w:rFonts w:ascii="Times New Roman" w:cs="Times New Roman" w:eastAsia="Times New Roman" w:hAnsi="Times New Roman"/>
          <w:sz w:val="24"/>
          <w:szCs w:val="24"/>
        </w:rPr>
        <w:t xml:space="preserve">8.7. Any letters from insurers regarding non-renewal, cancellation, or material changes in coverage</w:t>
      </w:r>
    </w:p>
    <w:p>
      <w:pPr>
        <w:pStyle w:val="Heading2"/>
        <w:pBdr>
          <w:bottom w:val="single" w:color="0f3460" w:sz="2"/>
        </w:pBdr>
        <w:shd w:fill="F0F4FF" w:val="clear"/>
        <w:spacing w:after="150" w:before="300"/>
      </w:pPr>
      <w:r>
        <w:rPr>
          <w:rFonts w:ascii="Times New Roman" w:cs="Times New Roman" w:eastAsia="Times New Roman" w:hAnsi="Times New Roman"/>
          <w:b/>
          <w:bCs/>
          <w:sz w:val="26"/>
          <w:szCs w:val="26"/>
        </w:rPr>
        <w:t xml:space="preserve">IX. Data Privacy and Cybersecurity</w:t>
      </w:r>
    </w:p>
    <w:p>
      <w:pPr>
        <w:spacing w:after="120" w:before="0"/>
        <w:ind w:left="360"/>
      </w:pPr>
      <w:r>
        <w:rPr>
          <w:rFonts w:ascii="Times New Roman" w:cs="Times New Roman" w:eastAsia="Times New Roman" w:hAnsi="Times New Roman"/>
          <w:sz w:val="24"/>
          <w:szCs w:val="24"/>
        </w:rPr>
        <w:t xml:space="preserve">9.1. Privacy policy (current and all prior versions for the past [3] years)</w:t>
      </w:r>
    </w:p>
    <w:p>
      <w:pPr>
        <w:spacing w:after="120" w:before="0"/>
        <w:ind w:left="360"/>
      </w:pPr>
      <w:r>
        <w:rPr>
          <w:rFonts w:ascii="Times New Roman" w:cs="Times New Roman" w:eastAsia="Times New Roman" w:hAnsi="Times New Roman"/>
          <w:sz w:val="24"/>
          <w:szCs w:val="24"/>
        </w:rPr>
        <w:t xml:space="preserve">9.2. Data processing agreements with all third-party processors</w:t>
      </w:r>
    </w:p>
    <w:p>
      <w:pPr>
        <w:spacing w:after="120" w:before="0"/>
        <w:ind w:left="360"/>
      </w:pPr>
      <w:r>
        <w:rPr>
          <w:rFonts w:ascii="Times New Roman" w:cs="Times New Roman" w:eastAsia="Times New Roman" w:hAnsi="Times New Roman"/>
          <w:sz w:val="24"/>
          <w:szCs w:val="24"/>
        </w:rPr>
        <w:t xml:space="preserve">9.3. Records of processing activities (GDPR Article 30 or equivalent)</w:t>
      </w:r>
    </w:p>
    <w:p>
      <w:pPr>
        <w:spacing w:after="120" w:before="0"/>
        <w:ind w:left="360"/>
      </w:pPr>
      <w:r>
        <w:rPr>
          <w:rFonts w:ascii="Times New Roman" w:cs="Times New Roman" w:eastAsia="Times New Roman" w:hAnsi="Times New Roman"/>
          <w:sz w:val="24"/>
          <w:szCs w:val="24"/>
        </w:rPr>
        <w:t xml:space="preserve">9.4. Data protection impact assessments for high-risk processing activities</w:t>
      </w:r>
    </w:p>
    <w:p>
      <w:pPr>
        <w:spacing w:after="120" w:before="0"/>
        <w:ind w:left="360"/>
      </w:pPr>
      <w:r>
        <w:rPr>
          <w:rFonts w:ascii="Times New Roman" w:cs="Times New Roman" w:eastAsia="Times New Roman" w:hAnsi="Times New Roman"/>
          <w:sz w:val="24"/>
          <w:szCs w:val="24"/>
        </w:rPr>
        <w:t xml:space="preserve">9.5. Description of technical and organizational security measures (SOC 2 reports, ISO 27001 certification, penetration test results)</w:t>
      </w:r>
    </w:p>
    <w:p>
      <w:pPr>
        <w:spacing w:after="120" w:before="0"/>
        <w:ind w:left="360"/>
      </w:pPr>
      <w:r>
        <w:rPr>
          <w:rFonts w:ascii="Times New Roman" w:cs="Times New Roman" w:eastAsia="Times New Roman" w:hAnsi="Times New Roman"/>
          <w:sz w:val="24"/>
          <w:szCs w:val="24"/>
        </w:rPr>
        <w:t xml:space="preserve">9.6. Any data breaches, security incidents, or unauthorized access events within the past [5] years, including notification records and remediation steps</w:t>
      </w:r>
    </w:p>
    <w:p>
      <w:pPr>
        <w:spacing w:after="120" w:before="0"/>
        <w:ind w:left="360"/>
      </w:pPr>
      <w:r>
        <w:rPr>
          <w:rFonts w:ascii="Times New Roman" w:cs="Times New Roman" w:eastAsia="Times New Roman" w:hAnsi="Times New Roman"/>
          <w:sz w:val="24"/>
          <w:szCs w:val="24"/>
        </w:rPr>
        <w:t xml:space="preserve">9.7. Cookie consent mechanism and tracking technology audit</w:t>
      </w:r>
    </w:p>
    <w:p>
      <w:pPr>
        <w:spacing w:after="120" w:before="0"/>
        <w:ind w:left="360"/>
      </w:pPr>
      <w:r>
        <w:rPr>
          <w:rFonts w:ascii="Times New Roman" w:cs="Times New Roman" w:eastAsia="Times New Roman" w:hAnsi="Times New Roman"/>
          <w:sz w:val="24"/>
          <w:szCs w:val="24"/>
        </w:rPr>
        <w:t xml:space="preserve">9.8. International data transfer mechanisms (Standard Contractual Clauses, Binding Corporate Rules, or equivalent)</w:t>
      </w:r>
    </w:p>
    <w:p>
      <w:pPr>
        <w:spacing w:after="120" w:before="0"/>
        <w:ind w:left="360"/>
      </w:pPr>
      <w:r>
        <w:rPr>
          <w:rFonts w:ascii="Times New Roman" w:cs="Times New Roman" w:eastAsia="Times New Roman" w:hAnsi="Times New Roman"/>
          <w:sz w:val="24"/>
          <w:szCs w:val="24"/>
        </w:rPr>
        <w:t xml:space="preserve">9.9. Children's data compliance documentation (COPPA, Age Appropriate Design Code)</w:t>
      </w:r>
    </w:p>
    <w:p>
      <w:pPr>
        <w:spacing w:after="120" w:before="0"/>
        <w:ind w:left="360"/>
      </w:pPr>
      <w:r>
        <w:rPr>
          <w:rFonts w:ascii="Times New Roman" w:cs="Times New Roman" w:eastAsia="Times New Roman" w:hAnsi="Times New Roman"/>
          <w:sz w:val="24"/>
          <w:szCs w:val="24"/>
        </w:rPr>
        <w:t xml:space="preserve">9.10. State privacy law compliance documentation (CCPA/CPRA, Virginia CDPA, Colorado CPA, etc.)</w:t>
      </w:r>
    </w:p>
    <w:p>
      <w:pPr>
        <w:pStyle w:val="Heading2"/>
        <w:pBdr>
          <w:bottom w:val="single" w:color="0f3460" w:sz="2"/>
        </w:pBdr>
        <w:shd w:fill="F0F4FF" w:val="clear"/>
        <w:spacing w:after="150" w:before="300"/>
      </w:pPr>
      <w:r>
        <w:rPr>
          <w:rFonts w:ascii="Times New Roman" w:cs="Times New Roman" w:eastAsia="Times New Roman" w:hAnsi="Times New Roman"/>
          <w:b/>
          <w:bCs/>
          <w:sz w:val="26"/>
          <w:szCs w:val="26"/>
        </w:rPr>
        <w:t xml:space="preserve">X. Real Property and Environmental</w:t>
      </w:r>
    </w:p>
    <w:p>
      <w:pPr>
        <w:spacing w:after="120" w:before="0"/>
        <w:ind w:left="360"/>
      </w:pPr>
      <w:r>
        <w:rPr>
          <w:rFonts w:ascii="Times New Roman" w:cs="Times New Roman" w:eastAsia="Times New Roman" w:hAnsi="Times New Roman"/>
          <w:sz w:val="24"/>
          <w:szCs w:val="24"/>
        </w:rPr>
        <w:t xml:space="preserve">10.1. All real property leases, subleases, and amendments</w:t>
      </w:r>
    </w:p>
    <w:p>
      <w:pPr>
        <w:spacing w:after="120" w:before="0"/>
        <w:ind w:left="360"/>
      </w:pPr>
      <w:r>
        <w:rPr>
          <w:rFonts w:ascii="Times New Roman" w:cs="Times New Roman" w:eastAsia="Times New Roman" w:hAnsi="Times New Roman"/>
          <w:sz w:val="24"/>
          <w:szCs w:val="24"/>
        </w:rPr>
        <w:t xml:space="preserve">10.2. Any owned real property deeds, mortgages, or liens</w:t>
      </w:r>
    </w:p>
    <w:p>
      <w:pPr>
        <w:spacing w:after="120" w:before="0"/>
        <w:ind w:left="360"/>
      </w:pPr>
      <w:r>
        <w:rPr>
          <w:rFonts w:ascii="Times New Roman" w:cs="Times New Roman" w:eastAsia="Times New Roman" w:hAnsi="Times New Roman"/>
          <w:sz w:val="24"/>
          <w:szCs w:val="24"/>
        </w:rPr>
        <w:t xml:space="preserve">10.3. Any environmental reports, assessments, or audits</w:t>
      </w:r>
    </w:p>
    <w:p>
      <w:pPr>
        <w:spacing w:after="120" w:before="0"/>
        <w:ind w:left="360"/>
      </w:pPr>
      <w:r>
        <w:rPr>
          <w:rFonts w:ascii="Times New Roman" w:cs="Times New Roman" w:eastAsia="Times New Roman" w:hAnsi="Times New Roman"/>
          <w:sz w:val="24"/>
          <w:szCs w:val="24"/>
        </w:rPr>
        <w:t xml:space="preserve">10.4. Any environmental permits, licenses, or compliance orders</w:t>
      </w:r>
    </w:p>
    <w:p>
      <w:pPr>
        <w:spacing w:after="120" w:before="0"/>
        <w:ind w:left="360"/>
      </w:pPr>
      <w:r>
        <w:rPr>
          <w:rFonts w:ascii="Times New Roman" w:cs="Times New Roman" w:eastAsia="Times New Roman" w:hAnsi="Times New Roman"/>
          <w:sz w:val="24"/>
          <w:szCs w:val="24"/>
        </w:rPr>
        <w:t xml:space="preserve">10.5. Any notices of environmental violations or remediation obligations</w:t>
      </w:r>
    </w:p>
    <w:p>
      <w:pPr>
        <w:pStyle w:val="Heading2"/>
        <w:pBdr>
          <w:bottom w:val="single" w:color="0f3460" w:sz="2"/>
        </w:pBdr>
        <w:shd w:fill="F0F4FF" w:val="clear"/>
        <w:spacing w:after="150" w:before="300"/>
      </w:pPr>
      <w:r>
        <w:rPr>
          <w:rFonts w:ascii="Times New Roman" w:cs="Times New Roman" w:eastAsia="Times New Roman" w:hAnsi="Times New Roman"/>
          <w:b/>
          <w:bCs/>
          <w:sz w:val="26"/>
          <w:szCs w:val="26"/>
        </w:rPr>
        <w:t xml:space="preserve">XI. Regulatory and Compliance</w:t>
      </w:r>
    </w:p>
    <w:p>
      <w:pPr>
        <w:spacing w:after="120" w:before="0"/>
        <w:ind w:left="360"/>
      </w:pPr>
      <w:r>
        <w:rPr>
          <w:rFonts w:ascii="Times New Roman" w:cs="Times New Roman" w:eastAsia="Times New Roman" w:hAnsi="Times New Roman"/>
          <w:sz w:val="24"/>
          <w:szCs w:val="24"/>
        </w:rPr>
        <w:t xml:space="preserve">11.1. All permits, licenses, and governmental approvals required to operate the business</w:t>
      </w:r>
    </w:p>
    <w:p>
      <w:pPr>
        <w:spacing w:after="120" w:before="0"/>
        <w:ind w:left="360"/>
      </w:pPr>
      <w:r>
        <w:rPr>
          <w:rFonts w:ascii="Times New Roman" w:cs="Times New Roman" w:eastAsia="Times New Roman" w:hAnsi="Times New Roman"/>
          <w:sz w:val="24"/>
          <w:szCs w:val="24"/>
        </w:rPr>
        <w:t xml:space="preserve">11.2. Any industry-specific regulatory filings (FDA, FCC, SEC, FINRA, etc.)</w:t>
      </w:r>
    </w:p>
    <w:p>
      <w:pPr>
        <w:spacing w:after="120" w:before="0"/>
        <w:ind w:left="360"/>
      </w:pPr>
      <w:r>
        <w:rPr>
          <w:rFonts w:ascii="Times New Roman" w:cs="Times New Roman" w:eastAsia="Times New Roman" w:hAnsi="Times New Roman"/>
          <w:sz w:val="24"/>
          <w:szCs w:val="24"/>
        </w:rPr>
        <w:t xml:space="preserve">11.3. Anti-money laundering (AML) and know-your-customer (KYC) compliance programs</w:t>
      </w:r>
    </w:p>
    <w:p>
      <w:pPr>
        <w:spacing w:after="120" w:before="0"/>
        <w:ind w:left="360"/>
      </w:pPr>
      <w:r>
        <w:rPr>
          <w:rFonts w:ascii="Times New Roman" w:cs="Times New Roman" w:eastAsia="Times New Roman" w:hAnsi="Times New Roman"/>
          <w:sz w:val="24"/>
          <w:szCs w:val="24"/>
        </w:rPr>
        <w:t xml:space="preserve">11.4. Foreign Corrupt Practices Act (FCPA) and anti-bribery compliance programs</w:t>
      </w:r>
    </w:p>
    <w:p>
      <w:pPr>
        <w:spacing w:after="120" w:before="0"/>
        <w:ind w:left="360"/>
      </w:pPr>
      <w:r>
        <w:rPr>
          <w:rFonts w:ascii="Times New Roman" w:cs="Times New Roman" w:eastAsia="Times New Roman" w:hAnsi="Times New Roman"/>
          <w:sz w:val="24"/>
          <w:szCs w:val="24"/>
        </w:rPr>
        <w:t xml:space="preserve">11.5. Export control and sanctions compliance documentation (OFAC, EAR, ITAR)</w:t>
      </w:r>
    </w:p>
    <w:p>
      <w:pPr>
        <w:spacing w:after="120" w:before="0"/>
        <w:ind w:left="360"/>
      </w:pPr>
      <w:r>
        <w:rPr>
          <w:rFonts w:ascii="Times New Roman" w:cs="Times New Roman" w:eastAsia="Times New Roman" w:hAnsi="Times New Roman"/>
          <w:sz w:val="24"/>
          <w:szCs w:val="24"/>
        </w:rPr>
        <w:t xml:space="preserve">11.6. Any correspondence with regulatory agencies within the past [3] years</w:t>
      </w:r>
    </w:p>
    <w:p>
      <w:r>
        <w:br w:type="page"/>
      </w:r>
    </w:p>
    <w:p>
      <w:pPr>
        <w:spacing w:after="300" w:before="0"/>
        <w:jc w:val="center"/>
      </w:pPr>
      <w:r>
        <w:rPr>
          <w:rFonts w:ascii="Times New Roman" w:cs="Times New Roman" w:eastAsia="Times New Roman" w:hAnsi="Times New Roman"/>
          <w:b/>
          <w:bCs/>
          <w:color w:val="888888"/>
          <w:sz w:val="24"/>
          <w:szCs w:val="24"/>
        </w:rPr>
        <w:t xml:space="preserve">DISCLAIMER</w:t>
      </w:r>
    </w:p>
    <w:p>
      <w:pPr>
        <w:shd w:fill="F5F5F5" w:val="clear"/>
        <w:spacing w:after="200" w:before="0"/>
      </w:pPr>
      <w:r>
        <w:rPr>
          <w:rFonts w:ascii="Times New Roman" w:cs="Times New Roman" w:eastAsia="Times New Roman" w:hAnsi="Times New Roman"/>
          <w:i/>
          <w:iCs/>
          <w:color w:val="666666"/>
          <w:sz w:val="20"/>
          <w:szCs w:val="20"/>
        </w:rPr>
        <w:t xml:space="preserve">This template is provided by Montague Law for informational and educational purposes only and does not constitute legal advice. This Due Diligence Request List is intended as a starting point and should be tailored to the specific transaction, industry, and stage of the company. The scope and depth of due diligence will vary based on the nature and size of the transaction, regulatory requirements, and the parties' risk tolerance. Use of this template does not create an attorney-client relationship between you and Montague Law. All parties should consult with qualified legal counsel to determine the appropriate scope of due diligence for their specific transaction. Montague Law expressly disclaims all liability for actions taken or not taken based on this template.</w:t>
      </w:r>
    </w:p>
    <w:p>
      <w:pPr>
        <w:spacing w:after="200" w:before="0"/>
        <w:jc w:val="center"/>
      </w:pPr>
      <w:r>
        <w:rPr>
          <w:rFonts w:ascii="Times New Roman" w:cs="Times New Roman" w:eastAsia="Times New Roman" w:hAnsi="Times New Roman"/>
          <w:color w:val="999999"/>
          <w:sz w:val="18"/>
          <w:szCs w:val="18"/>
        </w:rPr>
        <w:t xml:space="preserve">© 2026 Montague Law. All rights reserved.</w:t>
      </w:r>
    </w:p>
    <w:p>
      <w:pPr>
        <w:spacing w:after="200" w:before="0"/>
        <w:jc w:val="center"/>
      </w:pPr>
      <w:r>
        <w:rPr>
          <w:rFonts w:ascii="Times New Roman" w:cs="Times New Roman" w:eastAsia="Times New Roman" w:hAnsi="Times New Roman"/>
          <w:color w:val="999999"/>
          <w:sz w:val="18"/>
          <w:szCs w:val="18"/>
        </w:rPr>
        <w:t xml:space="preserve">montague.law</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6"/>
        <w:szCs w:val="16"/>
      </w:rPr>
      <w:t xml:space="preserve">Page </w:t>
    </w:r>
    <w:r>
      <w:rPr>
        <w:rFonts w:ascii="Times New Roman" w:cs="Times New Roman" w:eastAsia="Times New Roman" w:hAnsi="Times New Roman"/>
        <w:sz w:val="16"/>
        <w:szCs w:val="16"/>
      </w:rPr>
      <w:fldChar w:fldCharType="begin"/>
      <w:instrText xml:space="preserve">PAGE</w:instrText>
      <w:fldChar w:fldCharType="separate"/>
      <w:fldChar w:fldCharType="end"/>
    </w:r>
    <w:r>
      <w:rPr>
        <w:rFonts w:ascii="Times New Roman" w:cs="Times New Roman" w:eastAsia="Times New Roman" w:hAnsi="Times New Roman"/>
        <w:sz w:val="16"/>
        <w:szCs w:val="16"/>
      </w:rPr>
      <w:t xml:space="preserve"> of </w:t>
    </w:r>
    <w:r>
      <w:rPr>
        <w:rFonts w:ascii="Times New Roman" w:cs="Times New Roman" w:eastAsia="Times New Roman" w:hAnsi="Times New Roman"/>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200" w:before="0"/>
      <w:jc w:val="center"/>
    </w:pPr>
    <w:r>
      <w:rPr>
        <w:rFonts w:ascii="Times New Roman" w:cs="Times New Roman" w:eastAsia="Times New Roman" w:hAnsi="Times New Roman"/>
        <w:color w:val="888888"/>
        <w:sz w:val="16"/>
        <w:szCs w:val="16"/>
      </w:rPr>
      <w:t xml:space="preserve">DUE DILIGENCE REQUEST LIST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2026-08-18T17:49:11.102Z</dcterms:created>
  <dcterms:modified xsi:type="dcterms:W3CDTF">2026-08-18T17:49:11.103Z</dcterms:modified>
</cp:coreProperties>
</file>

<file path=docProps/custom.xml><?xml version="1.0" encoding="utf-8"?>
<Properties xmlns="http://schemas.openxmlformats.org/officeDocument/2006/custom-properties" xmlns:vt="http://schemas.openxmlformats.org/officeDocument/2006/docPropsVTypes"/>
</file>