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p>
    <w:p>
      <w:pPr>
        <w:spacing w:after="200"/>
      </w:pPr>
    </w:p>
    <w:p>
      <w:pPr>
        <w:spacing w:after="200"/>
      </w:pPr>
    </w:p>
    <w:p>
      <w:pPr>
        <w:spacing w:after="200"/>
      </w:pPr>
    </w:p>
    <w:p>
      <w:pPr>
        <w:spacing w:after="200"/>
      </w:pPr>
    </w:p>
    <w:p>
      <w:pPr>
        <w:spacing w:after="200"/>
      </w:pPr>
    </w:p>
    <w:p>
      <w:pPr>
        <w:spacing w:after="200"/>
      </w:pPr>
    </w:p>
    <w:p>
      <w:pPr>
        <w:spacing w:after="200"/>
      </w:pPr>
    </w:p>
    <w:p>
      <w:pPr>
        <w:spacing w:after="0"/>
        <w:jc w:val="center"/>
      </w:pPr>
      <w:r>
        <w:rPr>
          <w:rFonts w:ascii="Calibri" w:cs="Calibri" w:eastAsia="Calibri" w:hAnsi="Calibri"/>
          <w:b/>
          <w:bCs/>
          <w:color w:val="1F3864"/>
          <w:sz w:val="52"/>
          <w:szCs w:val="52"/>
        </w:rPr>
        <w:t xml:space="preserve">DATA AND SECURITY</w:t>
      </w:r>
    </w:p>
    <w:p>
      <w:pPr>
        <w:spacing w:after="400"/>
        <w:jc w:val="center"/>
      </w:pPr>
      <w:r>
        <w:rPr>
          <w:rFonts w:ascii="Calibri" w:cs="Calibri" w:eastAsia="Calibri" w:hAnsi="Calibri"/>
          <w:b/>
          <w:bCs/>
          <w:color w:val="1F3864"/>
          <w:sz w:val="52"/>
          <w:szCs w:val="52"/>
        </w:rPr>
        <w:t xml:space="preserve">INCIDENT RESPONSE PLAN</w:t>
      </w:r>
    </w:p>
    <w:p>
      <w:pPr>
        <w:spacing w:after="200"/>
      </w:pPr>
    </w:p>
    <w:p>
      <w:pPr>
        <w:spacing w:after="120"/>
        <w:jc w:val="center"/>
      </w:pPr>
      <w:r>
        <w:rPr>
          <w:rFonts w:ascii="Calibri" w:cs="Calibri" w:eastAsia="Calibri" w:hAnsi="Calibri"/>
          <w:b/>
          <w:bCs/>
          <w:i/>
          <w:iCs/>
          <w:color w:val="1F3864"/>
          <w:sz w:val="36"/>
          <w:szCs w:val="36"/>
        </w:rPr>
        <w:t xml:space="preserve">[COMPANY NAME]</w:t>
      </w:r>
    </w:p>
    <w:p>
      <w:pPr>
        <w:spacing w:after="200"/>
      </w:pPr>
    </w:p>
    <w:p>
      <w:pPr>
        <w:spacing w:after="60"/>
        <w:jc w:val="center"/>
      </w:pPr>
      <w:r>
        <w:rPr>
          <w:rFonts w:ascii="Calibri" w:cs="Calibri" w:eastAsia="Calibri" w:hAnsi="Calibri"/>
          <w:b w:val="false"/>
          <w:bCs w:val="false"/>
          <w:i w:val="false"/>
          <w:iCs w:val="false"/>
          <w:color w:val="000000"/>
          <w:sz w:val="22"/>
          <w:szCs w:val="22"/>
        </w:rPr>
        <w:t xml:space="preserve">Version </w:t>
      </w:r>
      <w:r>
        <w:rPr>
          <w:rFonts w:ascii="Calibri" w:cs="Calibri" w:eastAsia="Calibri" w:hAnsi="Calibri"/>
          <w:b/>
          <w:bCs/>
          <w:i w:val="false"/>
          <w:iCs w:val="false"/>
          <w:color w:val="000000"/>
          <w:sz w:val="22"/>
          <w:szCs w:val="22"/>
        </w:rPr>
        <w:t xml:space="preserve">[VERSION NUMBER]</w:t>
      </w:r>
    </w:p>
    <w:p>
      <w:pPr>
        <w:spacing w:after="60"/>
        <w:jc w:val="center"/>
      </w:pPr>
      <w:r>
        <w:rPr>
          <w:rFonts w:ascii="Calibri" w:cs="Calibri" w:eastAsia="Calibri" w:hAnsi="Calibri"/>
          <w:b w:val="false"/>
          <w:bCs w:val="false"/>
          <w:i w:val="false"/>
          <w:iCs w:val="false"/>
          <w:color w:val="000000"/>
          <w:sz w:val="22"/>
          <w:szCs w:val="22"/>
        </w:rPr>
        <w:t xml:space="preserve">Effective Date: </w:t>
      </w:r>
      <w:r>
        <w:rPr>
          <w:rFonts w:ascii="Calibri" w:cs="Calibri" w:eastAsia="Calibri" w:hAnsi="Calibri"/>
          <w:b/>
          <w:bCs/>
          <w:i w:val="false"/>
          <w:iCs w:val="false"/>
          <w:color w:val="000000"/>
          <w:sz w:val="22"/>
          <w:szCs w:val="22"/>
        </w:rPr>
        <w:t xml:space="preserve">[EFFECTIVE DATE]</w:t>
      </w:r>
    </w:p>
    <w:p>
      <w:pPr>
        <w:spacing w:after="60"/>
        <w:jc w:val="center"/>
      </w:pPr>
      <w:r>
        <w:rPr>
          <w:rFonts w:ascii="Calibri" w:cs="Calibri" w:eastAsia="Calibri" w:hAnsi="Calibri"/>
          <w:b w:val="false"/>
          <w:bCs w:val="false"/>
          <w:i w:val="false"/>
          <w:iCs w:val="false"/>
          <w:color w:val="000000"/>
          <w:sz w:val="22"/>
          <w:szCs w:val="22"/>
        </w:rPr>
        <w:t xml:space="preserve">Last Revised: </w:t>
      </w:r>
      <w:r>
        <w:rPr>
          <w:rFonts w:ascii="Calibri" w:cs="Calibri" w:eastAsia="Calibri" w:hAnsi="Calibri"/>
          <w:b/>
          <w:bCs/>
          <w:i w:val="false"/>
          <w:iCs w:val="false"/>
          <w:color w:val="000000"/>
          <w:sz w:val="22"/>
          <w:szCs w:val="22"/>
        </w:rPr>
        <w:t xml:space="preserve">[LAST REVISED DATE]</w:t>
      </w:r>
    </w:p>
    <w:p>
      <w:pPr>
        <w:spacing w:after="60"/>
        <w:jc w:val="center"/>
      </w:pPr>
      <w:r>
        <w:rPr>
          <w:rFonts w:ascii="Calibri" w:cs="Calibri" w:eastAsia="Calibri" w:hAnsi="Calibri"/>
          <w:b w:val="false"/>
          <w:bCs w:val="false"/>
          <w:i w:val="false"/>
          <w:iCs w:val="false"/>
          <w:color w:val="000000"/>
          <w:sz w:val="22"/>
          <w:szCs w:val="22"/>
        </w:rPr>
        <w:t xml:space="preserve">Document Owner: </w:t>
      </w:r>
      <w:r>
        <w:rPr>
          <w:rFonts w:ascii="Calibri" w:cs="Calibri" w:eastAsia="Calibri" w:hAnsi="Calibri"/>
          <w:b/>
          <w:bCs/>
          <w:i w:val="false"/>
          <w:iCs w:val="false"/>
          <w:color w:val="000000"/>
          <w:sz w:val="22"/>
          <w:szCs w:val="22"/>
        </w:rPr>
        <w:t xml:space="preserve">[DOCUMENT OWNER/TITLE]</w:t>
      </w:r>
    </w:p>
    <w:p>
      <w:pPr>
        <w:spacing w:after="60"/>
        <w:jc w:val="center"/>
      </w:pPr>
      <w:r>
        <w:rPr>
          <w:rFonts w:ascii="Calibri" w:cs="Calibri" w:eastAsia="Calibri" w:hAnsi="Calibri"/>
          <w:b w:val="false"/>
          <w:bCs w:val="false"/>
          <w:i w:val="false"/>
          <w:iCs w:val="false"/>
          <w:color w:val="000000"/>
          <w:sz w:val="22"/>
          <w:szCs w:val="22"/>
        </w:rPr>
        <w:t xml:space="preserve">Classification: </w:t>
      </w:r>
      <w:r>
        <w:rPr>
          <w:rFonts w:ascii="Calibri" w:cs="Calibri" w:eastAsia="Calibri" w:hAnsi="Calibri"/>
          <w:b/>
          <w:bCs/>
          <w:i w:val="false"/>
          <w:iCs w:val="false"/>
          <w:color w:val="000000"/>
          <w:sz w:val="22"/>
          <w:szCs w:val="22"/>
        </w:rPr>
        <w:t xml:space="preserve">[CONFIDENTIAL/INTERNAL USE ONLY]</w:t>
      </w:r>
    </w:p>
    <w:p>
      <w:pPr>
        <w:spacing w:after="200"/>
      </w:pPr>
    </w:p>
    <w:p>
      <w:pPr>
        <w:spacing w:after="200"/>
      </w:pPr>
    </w:p>
    <w:p>
      <w:pPr>
        <w:spacing w:after="200"/>
      </w:pPr>
    </w:p>
    <w:p>
      <w:pPr>
        <w:spacing w:after="200"/>
      </w:pPr>
    </w:p>
    <w:p>
      <w:pPr>
        <w:spacing w:after="200"/>
      </w:pPr>
    </w:p>
    <w:p>
      <w:pPr>
        <w:spacing w:after="60"/>
        <w:jc w:val="center"/>
      </w:pPr>
      <w:r>
        <w:rPr>
          <w:rFonts w:ascii="Calibri" w:cs="Calibri" w:eastAsia="Calibri" w:hAnsi="Calibri"/>
          <w:b/>
          <w:bCs/>
          <w:color w:val="808080"/>
          <w:sz w:val="20"/>
          <w:szCs w:val="20"/>
        </w:rPr>
        <w:t xml:space="preserve">CONFIDENTIAL</w:t>
      </w:r>
    </w:p>
    <w:p>
      <w:pPr>
        <w:spacing w:after="60"/>
        <w:jc w:val="center"/>
      </w:pPr>
      <w:r>
        <w:rPr>
          <w:rFonts w:ascii="Calibri" w:cs="Calibri" w:eastAsia="Calibri" w:hAnsi="Calibri"/>
          <w:i/>
          <w:iCs/>
          <w:color w:val="808080"/>
          <w:sz w:val="18"/>
          <w:szCs w:val="18"/>
        </w:rPr>
        <w:t xml:space="preserve">This document contains confidential and proprietary information of [COMPANY NAME].</w:t>
      </w:r>
    </w:p>
    <w:p>
      <w:pPr>
        <w:spacing w:after="60"/>
        <w:jc w:val="center"/>
      </w:pPr>
      <w:r>
        <w:rPr>
          <w:rFonts w:ascii="Calibri" w:cs="Calibri" w:eastAsia="Calibri" w:hAnsi="Calibri"/>
          <w:i/>
          <w:iCs/>
          <w:color w:val="808080"/>
          <w:sz w:val="18"/>
          <w:szCs w:val="18"/>
        </w:rPr>
        <w:t xml:space="preserve">Unauthorized disclosure, copying, or distribution is strictly prohibited.</w:t>
      </w:r>
    </w:p>
    <w:p>
      <w:r>
        <w:br w:type="page"/>
      </w:r>
    </w:p>
    <w:p>
      <w:pPr>
        <w:pStyle w:val="Heading1"/>
        <w:keepNext/>
        <w:spacing w:after="200" w:before="360"/>
      </w:pPr>
      <w:r>
        <w:rPr>
          <w:rFonts w:ascii="Calibri" w:cs="Calibri" w:eastAsia="Calibri" w:hAnsi="Calibri"/>
          <w:b/>
          <w:bCs/>
          <w:color w:val="1F3864"/>
          <w:sz w:val="32"/>
          <w:szCs w:val="32"/>
        </w:rPr>
        <w:t xml:space="preserve">DOCUMENT CONTROL</w:t>
      </w:r>
    </w:p>
    <w:p>
      <w:pPr>
        <w:pStyle w:val="Heading2"/>
        <w:keepNext/>
        <w:spacing w:after="120" w:before="240"/>
      </w:pPr>
      <w:r>
        <w:rPr>
          <w:rFonts w:ascii="Calibri" w:cs="Calibri" w:eastAsia="Calibri" w:hAnsi="Calibri"/>
          <w:b/>
          <w:bCs/>
          <w:color w:val="1F3864"/>
          <w:sz w:val="26"/>
          <w:szCs w:val="26"/>
        </w:rPr>
        <w:t xml:space="preserve">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400"/>
        <w:gridCol w:w="1760"/>
        <w:gridCol w:w="5000"/>
      </w:tblGrid>
      <w:tr>
        <w:trPr>
          <w:tblHeader/>
        </w:trPr>
        <w:tc>
          <w:tcPr>
            <w:tcW w:type="dxa" w:w="1200"/>
            <w:shd w:fill="1F3864" w:color="auto" w:val="clear"/>
          </w:tcPr>
          <w:p>
            <w:pPr>
              <w:spacing w:after="60" w:before="60"/>
            </w:pPr>
            <w:r>
              <w:rPr>
                <w:rFonts w:ascii="Calibri" w:cs="Calibri" w:eastAsia="Calibri" w:hAnsi="Calibri"/>
                <w:b/>
                <w:bCs/>
                <w:color w:val="FFFFFF"/>
                <w:sz w:val="20"/>
                <w:szCs w:val="20"/>
              </w:rPr>
              <w:t xml:space="preserve">Version</w:t>
            </w:r>
          </w:p>
        </w:tc>
        <w:tc>
          <w:tcPr>
            <w:tcW w:type="dxa" w:w="1400"/>
            <w:shd w:fill="1F3864" w:color="auto" w:val="clear"/>
          </w:tcPr>
          <w:p>
            <w:pPr>
              <w:spacing w:after="60" w:before="60"/>
            </w:pPr>
            <w:r>
              <w:rPr>
                <w:rFonts w:ascii="Calibri" w:cs="Calibri" w:eastAsia="Calibri" w:hAnsi="Calibri"/>
                <w:b/>
                <w:bCs/>
                <w:color w:val="FFFFFF"/>
                <w:sz w:val="20"/>
                <w:szCs w:val="20"/>
              </w:rPr>
              <w:t xml:space="preserve">Date</w:t>
            </w:r>
          </w:p>
        </w:tc>
        <w:tc>
          <w:tcPr>
            <w:tcW w:type="dxa" w:w="1760"/>
            <w:shd w:fill="1F3864" w:color="auto" w:val="clear"/>
          </w:tcPr>
          <w:p>
            <w:pPr>
              <w:spacing w:after="60" w:before="60"/>
            </w:pPr>
            <w:r>
              <w:rPr>
                <w:rFonts w:ascii="Calibri" w:cs="Calibri" w:eastAsia="Calibri" w:hAnsi="Calibri"/>
                <w:b/>
                <w:bCs/>
                <w:color w:val="FFFFFF"/>
                <w:sz w:val="20"/>
                <w:szCs w:val="20"/>
              </w:rPr>
              <w:t xml:space="preserve">Author</w:t>
            </w:r>
          </w:p>
        </w:tc>
        <w:tc>
          <w:tcPr>
            <w:tcW w:type="dxa" w:w="5000"/>
            <w:shd w:fill="1F3864" w:color="auto" w:val="clear"/>
          </w:tcPr>
          <w:p>
            <w:pPr>
              <w:spacing w:after="60" w:before="60"/>
            </w:pPr>
            <w:r>
              <w:rPr>
                <w:rFonts w:ascii="Calibri" w:cs="Calibri" w:eastAsia="Calibri" w:hAnsi="Calibri"/>
                <w:b/>
                <w:bCs/>
                <w:color w:val="FFFFFF"/>
                <w:sz w:val="20"/>
                <w:szCs w:val="20"/>
              </w:rPr>
              <w:t xml:space="preserve">Description</w:t>
            </w:r>
          </w:p>
        </w:tc>
      </w:tr>
      <w:tr>
        <w:tc>
          <w:tcPr>
            <w:tcW w:type="dxa" w:w="1200"/>
          </w:tcPr>
          <w:p>
            <w:pPr>
              <w:spacing w:after="30" w:before="30"/>
            </w:pPr>
            <w:r>
              <w:rPr>
                <w:rFonts w:ascii="Calibri" w:cs="Calibri" w:eastAsia="Calibri" w:hAnsi="Calibri"/>
                <w:b/>
                <w:bCs/>
                <w:i w:val="false"/>
                <w:iCs w:val="false"/>
                <w:color w:val="000000"/>
                <w:sz w:val="20"/>
                <w:szCs w:val="20"/>
              </w:rPr>
              <w:t xml:space="preserve">[VERSION]</w:t>
            </w:r>
          </w:p>
        </w:tc>
        <w:tc>
          <w:tcPr>
            <w:tcW w:type="dxa" w:w="1400"/>
          </w:tcPr>
          <w:p>
            <w:pPr>
              <w:spacing w:after="30" w:before="30"/>
            </w:pPr>
            <w:r>
              <w:rPr>
                <w:rFonts w:ascii="Calibri" w:cs="Calibri" w:eastAsia="Calibri" w:hAnsi="Calibri"/>
                <w:b/>
                <w:bCs/>
                <w:i w:val="false"/>
                <w:iCs w:val="false"/>
                <w:color w:val="000000"/>
                <w:sz w:val="20"/>
                <w:szCs w:val="20"/>
              </w:rPr>
              <w:t xml:space="preserve">[DATE]</w:t>
            </w:r>
          </w:p>
        </w:tc>
        <w:tc>
          <w:tcPr>
            <w:tcW w:type="dxa" w:w="1760"/>
          </w:tcPr>
          <w:p>
            <w:pPr>
              <w:spacing w:after="30" w:before="30"/>
            </w:pPr>
            <w:r>
              <w:rPr>
                <w:rFonts w:ascii="Calibri" w:cs="Calibri" w:eastAsia="Calibri" w:hAnsi="Calibri"/>
                <w:b/>
                <w:bCs/>
                <w:i w:val="false"/>
                <w:iCs w:val="false"/>
                <w:color w:val="000000"/>
                <w:sz w:val="20"/>
                <w:szCs w:val="20"/>
              </w:rPr>
              <w:t xml:space="preserve">[AUTHOR]</w:t>
            </w:r>
          </w:p>
        </w:tc>
        <w:tc>
          <w:tcPr>
            <w:tcW w:type="dxa" w:w="5000"/>
          </w:tcPr>
          <w:p>
            <w:pPr>
              <w:spacing w:after="30" w:before="30"/>
            </w:pPr>
            <w:r>
              <w:rPr>
                <w:rFonts w:ascii="Calibri" w:cs="Calibri" w:eastAsia="Calibri" w:hAnsi="Calibri"/>
                <w:b w:val="false"/>
                <w:bCs w:val="false"/>
                <w:i w:val="false"/>
                <w:iCs w:val="false"/>
                <w:color w:val="000000"/>
                <w:sz w:val="20"/>
                <w:szCs w:val="20"/>
              </w:rPr>
              <w:t xml:space="preserve">Initial release of the Data and Security Incident Response Plan.</w:t>
            </w:r>
          </w:p>
        </w:tc>
      </w:tr>
      <w:tr>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[VERSION]</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760"/>
            <w:shd w:fill="F2F2F2" w:color="auto" w:val="clear"/>
          </w:tcPr>
          <w:p>
            <w:pPr>
              <w:spacing w:after="30" w:before="30"/>
            </w:pPr>
            <w:r>
              <w:rPr>
                <w:rFonts w:ascii="Calibri" w:cs="Calibri" w:eastAsia="Calibri" w:hAnsi="Calibri"/>
                <w:b/>
                <w:bCs/>
                <w:i w:val="false"/>
                <w:iCs w:val="false"/>
                <w:color w:val="000000"/>
                <w:sz w:val="20"/>
                <w:szCs w:val="20"/>
              </w:rPr>
              <w:t xml:space="preserve">[AUTHOR]</w:t>
            </w:r>
          </w:p>
        </w:tc>
        <w:tc>
          <w:tcPr>
            <w:tcW w:type="dxa" w:w="5000"/>
            <w:shd w:fill="F2F2F2" w:color="auto" w:val="clear"/>
          </w:tcPr>
          <w:p>
            <w:pPr>
              <w:spacing w:after="30" w:before="30"/>
            </w:pPr>
            <w:r>
              <w:rPr>
                <w:rFonts w:ascii="Calibri" w:cs="Calibri" w:eastAsia="Calibri" w:hAnsi="Calibri"/>
                <w:b/>
                <w:bCs/>
                <w:i w:val="false"/>
                <w:iCs w:val="false"/>
                <w:color w:val="000000"/>
                <w:sz w:val="20"/>
                <w:szCs w:val="20"/>
              </w:rPr>
              <w:t xml:space="preserve">[DESCRIPTION OF CHANGES]</w:t>
            </w:r>
          </w:p>
        </w:tc>
      </w:tr>
      <w:tr>
        <w:tc>
          <w:tcPr>
            <w:tcW w:type="dxa" w:w="1200"/>
          </w:tcPr>
          <w:p>
            <w:pPr>
              <w:spacing w:after="30" w:before="30"/>
            </w:pPr>
            <w:r>
              <w:rPr>
                <w:rFonts w:ascii="Calibri" w:cs="Calibri" w:eastAsia="Calibri" w:hAnsi="Calibri"/>
                <w:b/>
                <w:bCs/>
                <w:i w:val="false"/>
                <w:iCs w:val="false"/>
                <w:color w:val="000000"/>
                <w:sz w:val="20"/>
                <w:szCs w:val="20"/>
              </w:rPr>
              <w:t xml:space="preserve">[VERSION]</w:t>
            </w:r>
          </w:p>
        </w:tc>
        <w:tc>
          <w:tcPr>
            <w:tcW w:type="dxa" w:w="1400"/>
          </w:tcPr>
          <w:p>
            <w:pPr>
              <w:spacing w:after="30" w:before="30"/>
            </w:pPr>
            <w:r>
              <w:rPr>
                <w:rFonts w:ascii="Calibri" w:cs="Calibri" w:eastAsia="Calibri" w:hAnsi="Calibri"/>
                <w:b/>
                <w:bCs/>
                <w:i w:val="false"/>
                <w:iCs w:val="false"/>
                <w:color w:val="000000"/>
                <w:sz w:val="20"/>
                <w:szCs w:val="20"/>
              </w:rPr>
              <w:t xml:space="preserve">[DATE]</w:t>
            </w:r>
          </w:p>
        </w:tc>
        <w:tc>
          <w:tcPr>
            <w:tcW w:type="dxa" w:w="1760"/>
          </w:tcPr>
          <w:p>
            <w:pPr>
              <w:spacing w:after="30" w:before="30"/>
            </w:pPr>
            <w:r>
              <w:rPr>
                <w:rFonts w:ascii="Calibri" w:cs="Calibri" w:eastAsia="Calibri" w:hAnsi="Calibri"/>
                <w:b/>
                <w:bCs/>
                <w:i w:val="false"/>
                <w:iCs w:val="false"/>
                <w:color w:val="000000"/>
                <w:sz w:val="20"/>
                <w:szCs w:val="20"/>
              </w:rPr>
              <w:t xml:space="preserve">[AUTHOR]</w:t>
            </w:r>
          </w:p>
        </w:tc>
        <w:tc>
          <w:tcPr>
            <w:tcW w:type="dxa" w:w="5000"/>
          </w:tcPr>
          <w:p>
            <w:pPr>
              <w:spacing w:after="30" w:before="30"/>
            </w:pPr>
            <w:r>
              <w:rPr>
                <w:rFonts w:ascii="Calibri" w:cs="Calibri" w:eastAsia="Calibri" w:hAnsi="Calibri"/>
                <w:b/>
                <w:bCs/>
                <w:i w:val="false"/>
                <w:iCs w:val="false"/>
                <w:color w:val="000000"/>
                <w:sz w:val="20"/>
                <w:szCs w:val="20"/>
              </w:rPr>
              <w:t xml:space="preserve">[DESCRIPTION OF CHANGES]</w:t>
            </w:r>
          </w:p>
        </w:tc>
      </w:tr>
    </w:tbl>
    <w:p>
      <w:pPr>
        <w:spacing w:after="200"/>
      </w:pPr>
    </w:p>
    <w:p>
      <w:pPr>
        <w:pStyle w:val="Heading2"/>
        <w:keepNext/>
        <w:spacing w:after="120" w:before="240"/>
      </w:pPr>
      <w:r>
        <w:rPr>
          <w:rFonts w:ascii="Calibri" w:cs="Calibri" w:eastAsia="Calibri" w:hAnsi="Calibri"/>
          <w:b/>
          <w:bCs/>
          <w:color w:val="1F3864"/>
          <w:sz w:val="26"/>
          <w:szCs w:val="26"/>
        </w:rPr>
        <w:t xml:space="preserve">Approvals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800"/>
        <w:gridCol w:w="3200"/>
        <w:gridCol w:w="1960"/>
      </w:tblGrid>
      <w:tr>
        <w:trPr>
          <w:tblHeader/>
        </w:trPr>
        <w:tc>
          <w:tcPr>
            <w:tcW w:type="dxa" w:w="2400"/>
            <w:shd w:fill="1F3864" w:color="auto" w:val="clear"/>
          </w:tcPr>
          <w:p>
            <w:pPr>
              <w:spacing w:after="60" w:before="60"/>
            </w:pPr>
            <w:r>
              <w:rPr>
                <w:rFonts w:ascii="Calibri" w:cs="Calibri" w:eastAsia="Calibri" w:hAnsi="Calibri"/>
                <w:b/>
                <w:bCs/>
                <w:color w:val="FFFFFF"/>
                <w:sz w:val="20"/>
                <w:szCs w:val="20"/>
              </w:rPr>
              <w:t xml:space="preserve">Role</w:t>
            </w:r>
          </w:p>
        </w:tc>
        <w:tc>
          <w:tcPr>
            <w:tcW w:type="dxa" w:w="1800"/>
            <w:shd w:fill="1F3864" w:color="auto" w:val="clear"/>
          </w:tcPr>
          <w:p>
            <w:pPr>
              <w:spacing w:after="60" w:before="60"/>
            </w:pPr>
            <w:r>
              <w:rPr>
                <w:rFonts w:ascii="Calibri" w:cs="Calibri" w:eastAsia="Calibri" w:hAnsi="Calibri"/>
                <w:b/>
                <w:bCs/>
                <w:color w:val="FFFFFF"/>
                <w:sz w:val="20"/>
                <w:szCs w:val="20"/>
              </w:rPr>
              <w:t xml:space="preserve">Name</w:t>
            </w:r>
          </w:p>
        </w:tc>
        <w:tc>
          <w:tcPr>
            <w:tcW w:type="dxa" w:w="3200"/>
            <w:shd w:fill="1F3864" w:color="auto" w:val="clear"/>
          </w:tcPr>
          <w:p>
            <w:pPr>
              <w:spacing w:after="60" w:before="60"/>
            </w:pPr>
            <w:r>
              <w:rPr>
                <w:rFonts w:ascii="Calibri" w:cs="Calibri" w:eastAsia="Calibri" w:hAnsi="Calibri"/>
                <w:b/>
                <w:bCs/>
                <w:color w:val="FFFFFF"/>
                <w:sz w:val="20"/>
                <w:szCs w:val="20"/>
              </w:rPr>
              <w:t xml:space="preserve">Signature</w:t>
            </w:r>
          </w:p>
        </w:tc>
        <w:tc>
          <w:tcPr>
            <w:tcW w:type="dxa" w:w="1960"/>
            <w:shd w:fill="1F3864" w:color="auto" w:val="clear"/>
          </w:tcPr>
          <w:p>
            <w:pPr>
              <w:spacing w:after="60" w:before="60"/>
            </w:pPr>
            <w:r>
              <w:rPr>
                <w:rFonts w:ascii="Calibri" w:cs="Calibri" w:eastAsia="Calibri" w:hAnsi="Calibri"/>
                <w:b/>
                <w:bCs/>
                <w:color w:val="FFFFFF"/>
                <w:sz w:val="20"/>
                <w:szCs w:val="20"/>
              </w:rPr>
              <w:t xml:space="preserve">Date</w:t>
            </w:r>
          </w:p>
        </w:tc>
      </w:tr>
      <w:tr>
        <w:tc>
          <w:tcPr>
            <w:tcW w:type="dxa" w:w="2400"/>
          </w:tcPr>
          <w:p>
            <w:pPr>
              <w:spacing w:after="30" w:before="30"/>
            </w:pPr>
            <w:r>
              <w:rPr>
                <w:rFonts w:ascii="Calibri" w:cs="Calibri" w:eastAsia="Calibri" w:hAnsi="Calibri"/>
                <w:b w:val="false"/>
                <w:bCs w:val="false"/>
                <w:i w:val="false"/>
                <w:iCs w:val="false"/>
                <w:color w:val="000000"/>
                <w:sz w:val="20"/>
                <w:szCs w:val="20"/>
              </w:rPr>
              <w:t xml:space="preserve">General Counsel</w:t>
            </w:r>
          </w:p>
        </w:tc>
        <w:tc>
          <w:tcPr>
            <w:tcW w:type="dxa" w:w="1800"/>
          </w:tcPr>
          <w:p>
            <w:pPr>
              <w:spacing w:after="30" w:before="30"/>
            </w:pPr>
            <w:r>
              <w:rPr>
                <w:rFonts w:ascii="Calibri" w:cs="Calibri" w:eastAsia="Calibri" w:hAnsi="Calibri"/>
                <w:b/>
                <w:bCs/>
                <w:i w:val="false"/>
                <w:iCs w:val="false"/>
                <w:color w:val="000000"/>
                <w:sz w:val="20"/>
                <w:szCs w:val="20"/>
              </w:rPr>
              <w:t xml:space="preserve">[NAME]</w:t>
            </w:r>
          </w:p>
        </w:tc>
        <w:tc>
          <w:tcPr>
            <w:tcW w:type="dxa" w:w="3200"/>
          </w:tcPr>
          <w:p>
            <w:pPr>
              <w:spacing w:after="30" w:before="30"/>
            </w:pPr>
            <w:r>
              <w:rPr>
                <w:rFonts w:ascii="Calibri" w:cs="Calibri" w:eastAsia="Calibri" w:hAnsi="Calibri"/>
                <w:b w:val="false"/>
                <w:bCs w:val="false"/>
                <w:i w:val="false"/>
                <w:iCs w:val="false"/>
                <w:color w:val="000000"/>
                <w:sz w:val="20"/>
                <w:szCs w:val="20"/>
              </w:rPr>
              <w:t xml:space="preserve">________________________</w:t>
            </w:r>
          </w:p>
        </w:tc>
        <w:tc>
          <w:tcPr>
            <w:tcW w:type="dxa" w:w="1960"/>
          </w:tcPr>
          <w:p>
            <w:pPr>
              <w:spacing w:after="30" w:before="30"/>
            </w:pPr>
            <w:r>
              <w:rPr>
                <w:rFonts w:ascii="Calibri" w:cs="Calibri" w:eastAsia="Calibri" w:hAnsi="Calibri"/>
                <w:b/>
                <w:bCs/>
                <w:i w:val="false"/>
                <w:iCs w:val="false"/>
                <w:color w:val="000000"/>
                <w:sz w:val="20"/>
                <w:szCs w:val="20"/>
              </w:rPr>
              <w:t xml:space="preserve">[DATE]</w:t>
            </w:r>
          </w:p>
        </w:tc>
      </w:tr>
      <w:tr>
        <w:tc>
          <w:tcPr>
            <w:tcW w:type="dxa" w:w="2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Chief Information Security Officer</w:t>
            </w:r>
          </w:p>
        </w:tc>
        <w:tc>
          <w:tcPr>
            <w:tcW w:type="dxa" w:w="18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________________________</w:t>
            </w:r>
          </w:p>
        </w:tc>
        <w:tc>
          <w:tcPr>
            <w:tcW w:type="dxa" w:w="19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r>
        <w:tc>
          <w:tcPr>
            <w:tcW w:type="dxa" w:w="2400"/>
          </w:tcPr>
          <w:p>
            <w:pPr>
              <w:spacing w:after="30" w:before="30"/>
            </w:pPr>
            <w:r>
              <w:rPr>
                <w:rFonts w:ascii="Calibri" w:cs="Calibri" w:eastAsia="Calibri" w:hAnsi="Calibri"/>
                <w:b w:val="false"/>
                <w:bCs w:val="false"/>
                <w:i w:val="false"/>
                <w:iCs w:val="false"/>
                <w:color w:val="000000"/>
                <w:sz w:val="20"/>
                <w:szCs w:val="20"/>
              </w:rPr>
              <w:t xml:space="preserve">Chief Technology Officer</w:t>
            </w:r>
          </w:p>
        </w:tc>
        <w:tc>
          <w:tcPr>
            <w:tcW w:type="dxa" w:w="1800"/>
          </w:tcPr>
          <w:p>
            <w:pPr>
              <w:spacing w:after="30" w:before="30"/>
            </w:pPr>
            <w:r>
              <w:rPr>
                <w:rFonts w:ascii="Calibri" w:cs="Calibri" w:eastAsia="Calibri" w:hAnsi="Calibri"/>
                <w:b/>
                <w:bCs/>
                <w:i w:val="false"/>
                <w:iCs w:val="false"/>
                <w:color w:val="000000"/>
                <w:sz w:val="20"/>
                <w:szCs w:val="20"/>
              </w:rPr>
              <w:t xml:space="preserve">[NAME]</w:t>
            </w:r>
          </w:p>
        </w:tc>
        <w:tc>
          <w:tcPr>
            <w:tcW w:type="dxa" w:w="3200"/>
          </w:tcPr>
          <w:p>
            <w:pPr>
              <w:spacing w:after="30" w:before="30"/>
            </w:pPr>
            <w:r>
              <w:rPr>
                <w:rFonts w:ascii="Calibri" w:cs="Calibri" w:eastAsia="Calibri" w:hAnsi="Calibri"/>
                <w:b w:val="false"/>
                <w:bCs w:val="false"/>
                <w:i w:val="false"/>
                <w:iCs w:val="false"/>
                <w:color w:val="000000"/>
                <w:sz w:val="20"/>
                <w:szCs w:val="20"/>
              </w:rPr>
              <w:t xml:space="preserve">________________________</w:t>
            </w:r>
          </w:p>
        </w:tc>
        <w:tc>
          <w:tcPr>
            <w:tcW w:type="dxa" w:w="1960"/>
          </w:tcPr>
          <w:p>
            <w:pPr>
              <w:spacing w:after="30" w:before="30"/>
            </w:pPr>
            <w:r>
              <w:rPr>
                <w:rFonts w:ascii="Calibri" w:cs="Calibri" w:eastAsia="Calibri" w:hAnsi="Calibri"/>
                <w:b/>
                <w:bCs/>
                <w:i w:val="false"/>
                <w:iCs w:val="false"/>
                <w:color w:val="000000"/>
                <w:sz w:val="20"/>
                <w:szCs w:val="20"/>
              </w:rPr>
              <w:t xml:space="preserve">[DATE]</w:t>
            </w:r>
          </w:p>
        </w:tc>
      </w:tr>
      <w:tr>
        <w:tc>
          <w:tcPr>
            <w:tcW w:type="dxa" w:w="2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Chief Executive Officer</w:t>
            </w:r>
          </w:p>
        </w:tc>
        <w:tc>
          <w:tcPr>
            <w:tcW w:type="dxa" w:w="18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________________________</w:t>
            </w:r>
          </w:p>
        </w:tc>
        <w:tc>
          <w:tcPr>
            <w:tcW w:type="dxa" w:w="19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bl>
    <w:p>
      <w:pPr>
        <w:spacing w:after="200"/>
      </w:pPr>
    </w:p>
    <w:p>
      <w:pPr>
        <w:pStyle w:val="Heading2"/>
        <w:keepNext/>
        <w:spacing w:after="120" w:before="240"/>
      </w:pPr>
      <w:r>
        <w:rPr>
          <w:rFonts w:ascii="Calibri" w:cs="Calibri" w:eastAsia="Calibri" w:hAnsi="Calibri"/>
          <w:b/>
          <w:bCs/>
          <w:color w:val="1F3864"/>
          <w:sz w:val="26"/>
          <w:szCs w:val="26"/>
        </w:rPr>
        <w:t xml:space="preserve">Distribution</w:t>
      </w:r>
    </w:p>
    <w:p>
      <w:pPr>
        <w:spacing w:after="120" w:line="276"/>
      </w:pPr>
      <w:r>
        <w:rPr>
          <w:rFonts w:ascii="Calibri" w:cs="Calibri" w:eastAsia="Calibri" w:hAnsi="Calibri"/>
          <w:b w:val="false"/>
          <w:bCs w:val="false"/>
          <w:i w:val="false"/>
          <w:iCs w:val="false"/>
          <w:color w:val="000000"/>
          <w:sz w:val="22"/>
          <w:szCs w:val="22"/>
        </w:rPr>
        <w:t xml:space="preserve">This Plan is distributed to the individuals and groups identified in the 24/7 Contacts Matrix (Exhibit A). Additional copies require approval from </w:t>
      </w:r>
      <w:r>
        <w:rPr>
          <w:rFonts w:ascii="Calibri" w:cs="Calibri" w:eastAsia="Calibri" w:hAnsi="Calibri"/>
          <w:b/>
          <w:bCs/>
          <w:i w:val="false"/>
          <w:iCs w:val="false"/>
          <w:color w:val="000000"/>
          <w:sz w:val="22"/>
          <w:szCs w:val="22"/>
        </w:rPr>
        <w:t xml:space="preserve">[DOCUMENT OWNER/TITLE]</w:t>
      </w:r>
      <w:r>
        <w:rPr>
          <w:rFonts w:ascii="Calibri" w:cs="Calibri" w:eastAsia="Calibri" w:hAnsi="Calibri"/>
          <w:b w:val="false"/>
          <w:bCs w:val="false"/>
          <w:i w:val="false"/>
          <w:iCs w:val="false"/>
          <w:color w:val="000000"/>
          <w:sz w:val="22"/>
          <w:szCs w:val="22"/>
        </w:rPr>
        <w:t xml:space="preserve">. Recipients are responsible for maintaining the confidentiality of this Plan and for returning or destroying all copies upon request or upon separation from the Company.</w:t>
      </w:r>
    </w:p>
    <w:p>
      <w:r>
        <w:br w:type="page"/>
      </w:r>
    </w:p>
    <w:p>
      <w:pPr>
        <w:pStyle w:val="Heading1"/>
        <w:keepNext/>
        <w:spacing w:after="200" w:before="360"/>
      </w:pPr>
      <w:r>
        <w:rPr>
          <w:rFonts w:ascii="Calibri" w:cs="Calibri" w:eastAsia="Calibri" w:hAnsi="Calibri"/>
          <w:b/>
          <w:bCs/>
          <w:color w:val="1F3864"/>
          <w:sz w:val="32"/>
          <w:szCs w:val="32"/>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pPr>
        <w:spacing w:after="200"/>
      </w:pPr>
    </w:p>
    <w:p>
      <w:pPr>
        <w:spacing w:after="120" w:line="276"/>
      </w:pPr>
      <w:r>
        <w:rPr>
          <w:rFonts w:ascii="Calibri" w:cs="Calibri" w:eastAsia="Calibri" w:hAnsi="Calibri"/>
          <w:b w:val="false"/>
          <w:bCs w:val="false"/>
          <w:i/>
          <w:iCs/>
          <w:color w:val="000000"/>
          <w:sz w:val="22"/>
          <w:szCs w:val="22"/>
        </w:rPr>
        <w:t xml:space="preserve">Note: To update this Table of Contents after editing, right-click any entry in Microsoft Word and select "Update Field," then choose "Update entire table."</w:t>
      </w:r>
    </w:p>
    <w:p>
      <w:r>
        <w:br w:type="page"/>
      </w:r>
    </w:p>
    <w:p>
      <w:pPr>
        <w:pStyle w:val="Heading1"/>
        <w:keepNext/>
        <w:spacing w:after="200" w:before="360"/>
      </w:pPr>
      <w:r>
        <w:rPr>
          <w:rFonts w:ascii="Calibri" w:cs="Calibri" w:eastAsia="Calibri" w:hAnsi="Calibri"/>
          <w:b/>
          <w:bCs/>
          <w:color w:val="1F3864"/>
          <w:sz w:val="32"/>
          <w:szCs w:val="32"/>
        </w:rPr>
        <w:t xml:space="preserve">1.  PURPOSE, SCOPE, DEFINITIONS, AND ACTIVATION</w:t>
      </w:r>
    </w:p>
    <w:p>
      <w:pPr>
        <w:pStyle w:val="Heading2"/>
        <w:keepNext/>
        <w:spacing w:after="120" w:before="240"/>
      </w:pPr>
      <w:r>
        <w:rPr>
          <w:rFonts w:ascii="Calibri" w:cs="Calibri" w:eastAsia="Calibri" w:hAnsi="Calibri"/>
          <w:b/>
          <w:bCs/>
          <w:color w:val="1F3864"/>
          <w:sz w:val="26"/>
          <w:szCs w:val="26"/>
        </w:rPr>
        <w:t xml:space="preserve">1.1  Purpose</w:t>
      </w:r>
    </w:p>
    <w:p>
      <w:pPr>
        <w:spacing w:after="120" w:line="276"/>
      </w:pPr>
      <w:r>
        <w:rPr>
          <w:rFonts w:ascii="Calibri" w:cs="Calibri" w:eastAsia="Calibri" w:hAnsi="Calibri"/>
          <w:b w:val="false"/>
          <w:bCs w:val="false"/>
          <w:i w:val="false"/>
          <w:iCs w:val="false"/>
          <w:color w:val="000000"/>
          <w:sz w:val="22"/>
          <w:szCs w:val="22"/>
        </w:rPr>
        <w:t xml:space="preserve">This Data and Security Incident Response Plan (the "Plan") establishes a coordinated, repeatable framework for detecting, analyzing, containing, eradicating, and recovering from data and security incidents affecting </w:t>
      </w: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(the "Company"). The Plan is aligned with the incident response lifecycle described in NIST Special Publication 800-61, Revision 3 (Incident Response Recommendations and Considerations for Cybersecurity Risk Management) and incorporates the Detect (DE), Respond (RS), and Recover (RC) functions of the NIST Cybersecurity Framework (CSF) 2.0.</w:t>
      </w:r>
    </w:p>
    <w:p>
      <w:pPr>
        <w:spacing w:after="120" w:line="276"/>
      </w:pPr>
      <w:r>
        <w:rPr>
          <w:rFonts w:ascii="Calibri" w:cs="Calibri" w:eastAsia="Calibri" w:hAnsi="Calibri"/>
          <w:b w:val="false"/>
          <w:bCs w:val="false"/>
          <w:i w:val="false"/>
          <w:iCs w:val="false"/>
          <w:color w:val="000000"/>
          <w:sz w:val="22"/>
          <w:szCs w:val="22"/>
        </w:rPr>
        <w:t xml:space="preserve">The objectives of this Plan are to: (a) minimize harm to the Company, its customers, employees, and business partners; (b) preserve evidence and protect attorney-client privilege and work-product protections; (c) satisfy applicable legal, regulatory, and contractual notification obligations within required timeframes; (d) restore normal business operations as quickly and safely as practicable; (e) maintain stakeholder trust and confidence through transparent, accurate communications; and (f) identify root causes and drive corrective actions that continuously strengthen the Company's security posture.</w:t>
      </w:r>
    </w:p>
    <w:p>
      <w:pPr>
        <w:pStyle w:val="Heading2"/>
        <w:keepNext/>
        <w:spacing w:after="120" w:before="240"/>
      </w:pPr>
      <w:r>
        <w:rPr>
          <w:rFonts w:ascii="Calibri" w:cs="Calibri" w:eastAsia="Calibri" w:hAnsi="Calibri"/>
          <w:b/>
          <w:bCs/>
          <w:color w:val="1F3864"/>
          <w:sz w:val="26"/>
          <w:szCs w:val="26"/>
        </w:rPr>
        <w:t xml:space="preserve">1.2  Scope</w:t>
      </w:r>
    </w:p>
    <w:p>
      <w:pPr>
        <w:spacing w:after="120" w:line="276"/>
      </w:pPr>
      <w:r>
        <w:rPr>
          <w:rFonts w:ascii="Calibri" w:cs="Calibri" w:eastAsia="Calibri" w:hAnsi="Calibri"/>
          <w:b w:val="false"/>
          <w:bCs w:val="false"/>
          <w:i w:val="false"/>
          <w:iCs w:val="false"/>
          <w:color w:val="000000"/>
          <w:sz w:val="22"/>
          <w:szCs w:val="22"/>
        </w:rPr>
        <w:t xml:space="preserve">This Plan applies to all data and security incidents affecting the Company's information systems, networks, applications, data, and physical facilities, regardless of whether such systems are operated by the Company directly or by third-party service providers on the Company's behalf. The Plan covers all </w:t>
      </w: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personnel, including full-time and part-time employees, temporary workers, contractors, consultants, interns, and any other individual with access to Company systems or data (collectively, "Workforce Members").</w:t>
      </w:r>
    </w:p>
    <w:p>
      <w:pPr>
        <w:spacing w:after="120" w:line="276"/>
      </w:pPr>
      <w:r>
        <w:rPr>
          <w:rFonts w:ascii="Calibri" w:cs="Calibri" w:eastAsia="Calibri" w:hAnsi="Calibri"/>
          <w:b w:val="false"/>
          <w:bCs w:val="false"/>
          <w:i w:val="false"/>
          <w:iCs w:val="false"/>
          <w:color w:val="000000"/>
          <w:sz w:val="22"/>
          <w:szCs w:val="22"/>
        </w:rPr>
        <w:t xml:space="preserve">The geographic scope of this Plan is </w:t>
      </w:r>
      <w:r>
        <w:rPr>
          <w:rFonts w:ascii="Calibri" w:cs="Calibri" w:eastAsia="Calibri" w:hAnsi="Calibri"/>
          <w:b/>
          <w:bCs/>
          <w:i w:val="false"/>
          <w:iCs w:val="false"/>
          <w:color w:val="000000"/>
          <w:sz w:val="22"/>
          <w:szCs w:val="22"/>
        </w:rPr>
        <w:t xml:space="preserve">[DESCRIBE GEOGRAPHIC SCOPE, E.G., "WORLDWIDE" OR LIST SPECIFIC JURISDICTIONS]</w:t>
      </w:r>
      <w:r>
        <w:rPr>
          <w:rFonts w:ascii="Calibri" w:cs="Calibri" w:eastAsia="Calibri" w:hAnsi="Calibri"/>
          <w:b w:val="false"/>
          <w:bCs w:val="false"/>
          <w:i w:val="false"/>
          <w:iCs w:val="false"/>
          <w:color w:val="000000"/>
          <w:sz w:val="22"/>
          <w:szCs w:val="22"/>
        </w:rPr>
        <w:t xml:space="preserve">. The Plan extends to all data processing environments, including on-premises infrastructure, cloud-hosted environments (</w:t>
      </w:r>
      <w:r>
        <w:rPr>
          <w:rFonts w:ascii="Calibri" w:cs="Calibri" w:eastAsia="Calibri" w:hAnsi="Calibri"/>
          <w:b/>
          <w:bCs/>
          <w:i w:val="false"/>
          <w:iCs w:val="false"/>
          <w:color w:val="000000"/>
          <w:sz w:val="22"/>
          <w:szCs w:val="22"/>
        </w:rPr>
        <w:t xml:space="preserve">[LIST CLOUD PROVIDERS, E.G., AWS, AZURE, GCP]</w:t>
      </w:r>
      <w:r>
        <w:rPr>
          <w:rFonts w:ascii="Calibri" w:cs="Calibri" w:eastAsia="Calibri" w:hAnsi="Calibri"/>
          <w:b w:val="false"/>
          <w:bCs w:val="false"/>
          <w:i w:val="false"/>
          <w:iCs w:val="false"/>
          <w:color w:val="000000"/>
          <w:sz w:val="22"/>
          <w:szCs w:val="22"/>
        </w:rPr>
        <w:t xml:space="preserve">), software-as-a-service applications, mobile devices, and Internet of Things (IoT) endpoints managed or used by the Company.</w:t>
      </w:r>
    </w:p>
    <w:p>
      <w:pPr>
        <w:spacing w:after="120" w:line="276"/>
      </w:pPr>
      <w:r>
        <w:rPr>
          <w:rFonts w:ascii="Calibri" w:cs="Calibri" w:eastAsia="Calibri" w:hAnsi="Calibri"/>
          <w:b w:val="false"/>
          <w:bCs w:val="false"/>
          <w:i w:val="false"/>
          <w:iCs w:val="false"/>
          <w:color w:val="000000"/>
          <w:sz w:val="22"/>
          <w:szCs w:val="22"/>
        </w:rPr>
        <w:t xml:space="preserve">This Plan should be read in conjunction with the following Company policies and plans, each of which is incorporated herein by reference to the extent applicable: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[INFORMATION SECURITY POLICY]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[ACCEPTABLE USE POLICY]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[BUSINESS CONTINUITY PLAN / DISASTER RECOVERY PLAN]</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[PRIVACY POLICY AND DATA CLASSIFICATION POLICY]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[VENDOR AND THIRD-PARTY RISK MANAGEMENT POLICY]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[EMPLOYEE HANDBOOK — REPORTING AND WHISTLEBLOWER PROTECTIONS]</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[CYBER INSURANCE POLICY — CURRENT POLICY NUMBER AND CARRIER]</w:t>
      </w:r>
    </w:p>
    <w:p>
      <w:pPr>
        <w:pStyle w:val="Heading2"/>
        <w:keepNext/>
        <w:spacing w:after="120" w:before="240"/>
      </w:pPr>
      <w:r>
        <w:rPr>
          <w:rFonts w:ascii="Calibri" w:cs="Calibri" w:eastAsia="Calibri" w:hAnsi="Calibri"/>
          <w:b/>
          <w:bCs/>
          <w:color w:val="1F3864"/>
          <w:sz w:val="26"/>
          <w:szCs w:val="26"/>
        </w:rPr>
        <w:t xml:space="preserve">1.3  Definitions</w:t>
      </w:r>
    </w:p>
    <w:p>
      <w:pPr>
        <w:spacing w:after="120" w:line="276"/>
      </w:pPr>
      <w:r>
        <w:rPr>
          <w:rFonts w:ascii="Calibri" w:cs="Calibri" w:eastAsia="Calibri" w:hAnsi="Calibri"/>
          <w:b w:val="false"/>
          <w:bCs w:val="false"/>
          <w:i w:val="false"/>
          <w:iCs w:val="false"/>
          <w:color w:val="000000"/>
          <w:sz w:val="22"/>
          <w:szCs w:val="22"/>
        </w:rPr>
        <w:t xml:space="preserve">The following terms have the meanings set forth below when used in this Plan. Capitalized terms not defined in this Section have the meanings ascribed to them elsewhere in this Plan or in the Company's Information Security Policy.</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shd w:fill="1F3864" w:color="auto" w:val="clear"/>
          </w:tcPr>
          <w:p>
            <w:pPr>
              <w:spacing w:after="60" w:before="60"/>
            </w:pPr>
            <w:r>
              <w:rPr>
                <w:rFonts w:ascii="Calibri" w:cs="Calibri" w:eastAsia="Calibri" w:hAnsi="Calibri"/>
                <w:b/>
                <w:bCs/>
                <w:color w:val="FFFFFF"/>
                <w:sz w:val="20"/>
                <w:szCs w:val="20"/>
              </w:rPr>
              <w:t xml:space="preserve">Term</w:t>
            </w:r>
          </w:p>
        </w:tc>
        <w:tc>
          <w:tcPr>
            <w:tcW w:type="dxa" w:w="7160"/>
            <w:shd w:fill="1F3864" w:color="auto" w:val="clear"/>
          </w:tcPr>
          <w:p>
            <w:pPr>
              <w:spacing w:after="60" w:before="60"/>
            </w:pPr>
            <w:r>
              <w:rPr>
                <w:rFonts w:ascii="Calibri" w:cs="Calibri" w:eastAsia="Calibri" w:hAnsi="Calibri"/>
                <w:b/>
                <w:bCs/>
                <w:color w:val="FFFFFF"/>
                <w:sz w:val="20"/>
                <w:szCs w:val="20"/>
              </w:rPr>
              <w:t xml:space="preserve">Definition</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Breach</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A Security Event that has been confirmed to involve the unauthorized acquisition, access, use, or disclosure of Personal Data or other protected information in a manner that triggers one or more legal, regulatory, or contractual notification obligations. The determination of whether a Security Event constitutes a Breach is made by Legal and Privacy Counsel in consultation with the Incident Commander.</w:t>
            </w:r>
          </w:p>
        </w:tc>
      </w:tr>
      <w:tr>
        <w:tc>
          <w:tcPr>
            <w:tcW w:type="dxa" w:w="2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Closure</w:t>
            </w:r>
          </w:p>
        </w:tc>
        <w:tc>
          <w:tcPr>
            <w:tcW w:type="dxa" w:w="7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The formal conclusion of the incident response lifecycle for a particular Incident, documented by the Incident Commander upon confirmation that containment, eradication, recovery, and all required notifications have been completed, and that corrective actions have been assigned and tracked. See Section 13.</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Containment</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The set of actions taken to limit the scope and impact of an Incident, prevent further unauthorized access or data exfiltration, and stabilize affected systems while preserving evidence for investigation. Containment actions may be immediate, short-term, or long-term. See Section 7.</w:t>
            </w:r>
          </w:p>
        </w:tc>
      </w:tr>
      <w:tr>
        <w:tc>
          <w:tcPr>
            <w:tcW w:type="dxa" w:w="2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Critical Service</w:t>
            </w:r>
          </w:p>
        </w:tc>
        <w:tc>
          <w:tcPr>
            <w:tcW w:type="dxa" w:w="7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Any information system, application, data store, network segment, or business process identified in the Company's Business Impact Analysis as essential to the Company's core operations, the disruption of which would cause material financial, operational, reputational, or legal harm. The current list of Critical Services is maintained in </w:t>
            </w:r>
            <w:r>
              <w:rPr>
                <w:rFonts w:ascii="Calibri" w:cs="Calibri" w:eastAsia="Calibri" w:hAnsi="Calibri"/>
                <w:b/>
                <w:bCs/>
                <w:i w:val="false"/>
                <w:iCs w:val="false"/>
                <w:color w:val="000000"/>
                <w:sz w:val="20"/>
                <w:szCs w:val="20"/>
              </w:rPr>
              <w:t xml:space="preserve">[LOCATION/SYSTEM OF RECORD]</w:t>
            </w:r>
            <w:r>
              <w:rPr>
                <w:rFonts w:ascii="Calibri" w:cs="Calibri" w:eastAsia="Calibri" w:hAnsi="Calibri"/>
                <w:b w:val="false"/>
                <w:bCs w:val="false"/>
                <w:i w:val="false"/>
                <w:iCs w:val="false"/>
                <w:color w:val="000000"/>
                <w:sz w:val="20"/>
                <w:szCs w:val="20"/>
              </w:rPr>
              <w:t xml:space="preserve">.</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Eradication</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The process of identifying and eliminating the root cause of an Incident, including removing malware, closing exploited vulnerabilities, eliminating unauthorized access mechanisms, and revoking compromised credentials. Eradication precedes Recovery. See Section 11.</w:t>
            </w:r>
          </w:p>
        </w:tc>
      </w:tr>
      <w:tr>
        <w:tc>
          <w:tcPr>
            <w:tcW w:type="dxa" w:w="2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Incident</w:t>
            </w:r>
          </w:p>
        </w:tc>
        <w:tc>
          <w:tcPr>
            <w:tcW w:type="dxa" w:w="7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 Security Event, or series of related Security Events, that has been assessed as having a reasonable likelihood of compromising the confidentiality, integrity, or availability of Company information systems or data, and that requires activation of this Plan. Not every Security Event rises to the level of an Incident.</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Incident Commander</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The individual designated pursuant to Section 3.1 to exercise overall authority and responsibility for managing the Company's response to a specific Incident, including coordinating response activities, making resource allocation decisions, and serving as the single point of accountability for incident status and communications.</w:t>
            </w:r>
          </w:p>
        </w:tc>
      </w:tr>
      <w:tr>
        <w:tc>
          <w:tcPr>
            <w:tcW w:type="dxa" w:w="2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Personal Data</w:t>
            </w:r>
          </w:p>
        </w:tc>
        <w:tc>
          <w:tcPr>
            <w:tcW w:type="dxa" w:w="7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Any information relating to an identified or identifiable natural person, as defined under applicable data protection laws, including but not limited to the GDPR, CCPA/CPRA, state breach-notification statutes, and sector-specific regulations (e.g., HIPAA, GLBA). Personal Data includes, without limitation: names, email addresses, Social Security numbers, financial account numbers, health information, biometric data, geolocation data, and online identifiers.</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Recovery</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The process of restoring affected systems and services to normal, verified operational status following Containment and Eradication, including validating backups, staging and executing restoration plans, and implementing enhanced monitoring to detect recurrence. See Section 11.</w:t>
            </w:r>
          </w:p>
        </w:tc>
      </w:tr>
      <w:tr>
        <w:tc>
          <w:tcPr>
            <w:tcW w:type="dxa" w:w="2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Security Event</w:t>
            </w:r>
          </w:p>
        </w:tc>
        <w:tc>
          <w:tcPr>
            <w:tcW w:type="dxa" w:w="7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Any observable occurrence in an information system, network, or process that may indicate a potential compromise, policy violation, or threat to the confidentiality, integrity, or availability of Company data or systems. Security Events include, but are not limited to: alerts from security monitoring tools, reports from Workforce Members, notifications from third parties, and anomalous system behavior. A Security Event may or may not, upon investigation, be classified as an Incident.</w:t>
            </w:r>
          </w:p>
        </w:tc>
      </w:tr>
      <w:tr>
        <w:tc>
          <w:tcPr>
            <w:tcW w:type="dxa" w:w="2200"/>
          </w:tcPr>
          <w:p>
            <w:pPr>
              <w:spacing w:after="30" w:before="30"/>
            </w:pPr>
            <w:r>
              <w:rPr>
                <w:rFonts w:ascii="Calibri" w:cs="Calibri" w:eastAsia="Calibri" w:hAnsi="Calibri"/>
                <w:b w:val="false"/>
                <w:bCs w:val="false"/>
                <w:i w:val="false"/>
                <w:iCs w:val="false"/>
                <w:color w:val="000000"/>
                <w:sz w:val="20"/>
                <w:szCs w:val="20"/>
              </w:rPr>
              <w:t xml:space="preserve">Severity</w:t>
            </w:r>
          </w:p>
        </w:tc>
        <w:tc>
          <w:tcPr>
            <w:tcW w:type="dxa" w:w="7160"/>
          </w:tcPr>
          <w:p>
            <w:pPr>
              <w:spacing w:after="30" w:before="30"/>
            </w:pPr>
            <w:r>
              <w:rPr>
                <w:rFonts w:ascii="Calibri" w:cs="Calibri" w:eastAsia="Calibri" w:hAnsi="Calibri"/>
                <w:b w:val="false"/>
                <w:bCs w:val="false"/>
                <w:i w:val="false"/>
                <w:iCs w:val="false"/>
                <w:color w:val="000000"/>
                <w:sz w:val="20"/>
                <w:szCs w:val="20"/>
              </w:rPr>
              <w:t xml:space="preserve">A classification assigned to an Incident based on its actual or potential impact on the Company's operations, data, customers, legal obligations, and reputation. Severity levels range from Severity 1 (Critical) to Severity 4 (Informational) and determine escalation requirements, response timelines, and resource allocation. See Section 5.2 for the Severity classification matrix.</w:t>
            </w:r>
          </w:p>
        </w:tc>
      </w:tr>
    </w:tbl>
    <w:p>
      <w:pPr>
        <w:spacing w:after="200"/>
      </w:pPr>
    </w:p>
    <w:p>
      <w:pPr>
        <w:pStyle w:val="Heading2"/>
        <w:keepNext/>
        <w:spacing w:after="120" w:before="240"/>
      </w:pPr>
      <w:r>
        <w:rPr>
          <w:rFonts w:ascii="Calibri" w:cs="Calibri" w:eastAsia="Calibri" w:hAnsi="Calibri"/>
          <w:b/>
          <w:bCs/>
          <w:color w:val="1F3864"/>
          <w:sz w:val="26"/>
          <w:szCs w:val="26"/>
        </w:rPr>
        <w:t xml:space="preserve">1.4  Plan Activation</w:t>
      </w:r>
    </w:p>
    <w:p>
      <w:pPr>
        <w:spacing w:after="120" w:line="276"/>
      </w:pPr>
      <w:r>
        <w:rPr>
          <w:rFonts w:ascii="Calibri" w:cs="Calibri" w:eastAsia="Calibri" w:hAnsi="Calibri"/>
          <w:b w:val="false"/>
          <w:bCs w:val="false"/>
          <w:i w:val="false"/>
          <w:iCs w:val="false"/>
          <w:color w:val="000000"/>
          <w:sz w:val="22"/>
          <w:szCs w:val="22"/>
        </w:rPr>
        <w:t xml:space="preserve">This Plan is activated whenever a Security Event is assessed as meeting the definition of an Incident set forth in Section 1.3, or whenever the Incident Commander or designated alternate determines, in their reasonable judgment, that activation is warranted to protect the Company's interests.</w:t>
      </w:r>
    </w:p>
    <w:p>
      <w:pPr>
        <w:spacing w:after="120" w:line="276"/>
      </w:pPr>
      <w:r>
        <w:rPr>
          <w:rFonts w:ascii="Calibri" w:cs="Calibri" w:eastAsia="Calibri" w:hAnsi="Calibri"/>
          <w:b w:val="false"/>
          <w:bCs w:val="false"/>
          <w:i w:val="false"/>
          <w:iCs w:val="false"/>
          <w:color w:val="000000"/>
          <w:sz w:val="22"/>
          <w:szCs w:val="22"/>
        </w:rPr>
        <w:t xml:space="preserve">Activation authority resides with the following individuals, in order of availability: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[INCIDENT COMMANDER — PRIMARY, NAME/TITLE]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[INCIDENT COMMANDER — FIRST ALTERNATE, NAME/TITLE]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[INCIDENT COMMANDER — SECOND ALTERNATE, NAME/TITLE]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[CISO OR VP OF SECURITY]</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[GENERAL COUNSEL]</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[CEO OR COO]</w:t>
      </w:r>
    </w:p>
    <w:p>
      <w:pPr>
        <w:spacing w:after="120" w:line="276"/>
      </w:pPr>
      <w:r>
        <w:rPr>
          <w:rFonts w:ascii="Calibri" w:cs="Calibri" w:eastAsia="Calibri" w:hAnsi="Calibri"/>
          <w:b w:val="false"/>
          <w:bCs w:val="false"/>
          <w:i w:val="false"/>
          <w:iCs w:val="false"/>
          <w:color w:val="000000"/>
          <w:sz w:val="22"/>
          <w:szCs w:val="22"/>
        </w:rPr>
        <w:t xml:space="preserve">Upon activation, the Incident Commander will: (a) establish a dedicated, secure communication channel for the Incident Response Team (see Section 3); (b) notify Legal and Privacy Counsel within </w:t>
      </w:r>
      <w:r>
        <w:rPr>
          <w:rFonts w:ascii="Calibri" w:cs="Calibri" w:eastAsia="Calibri" w:hAnsi="Calibri"/>
          <w:b/>
          <w:bCs/>
          <w:i w:val="false"/>
          <w:iCs w:val="false"/>
          <w:color w:val="000000"/>
          <w:sz w:val="22"/>
          <w:szCs w:val="22"/>
        </w:rPr>
        <w:t xml:space="preserve">[TIME PERIOD, E.G., ONE HOUR]</w:t>
      </w:r>
      <w:r>
        <w:rPr>
          <w:rFonts w:ascii="Calibri" w:cs="Calibri" w:eastAsia="Calibri" w:hAnsi="Calibri"/>
          <w:b w:val="false"/>
          <w:bCs w:val="false"/>
          <w:i w:val="false"/>
          <w:iCs w:val="false"/>
          <w:color w:val="000000"/>
          <w:sz w:val="22"/>
          <w:szCs w:val="22"/>
        </w:rPr>
        <w:t xml:space="preserve"> of activation; (c) assign initial Severity classification pursuant to Section 5; (d) initiate the Authoritative Timeline and Decision Log pursuant to Section 6; and (e) convene the initial response briefing within </w:t>
      </w:r>
      <w:r>
        <w:rPr>
          <w:rFonts w:ascii="Calibri" w:cs="Calibri" w:eastAsia="Calibri" w:hAnsi="Calibri"/>
          <w:b/>
          <w:bCs/>
          <w:i w:val="false"/>
          <w:iCs w:val="false"/>
          <w:color w:val="000000"/>
          <w:sz w:val="22"/>
          <w:szCs w:val="22"/>
        </w:rPr>
        <w:t xml:space="preserve">[TIME PERIOD, E.G., TWO HOURS]</w:t>
      </w:r>
      <w:r>
        <w:rPr>
          <w:rFonts w:ascii="Calibri" w:cs="Calibri" w:eastAsia="Calibri" w:hAnsi="Calibri"/>
          <w:b w:val="false"/>
          <w:bCs w:val="false"/>
          <w:i w:val="false"/>
          <w:iCs w:val="false"/>
          <w:color w:val="000000"/>
          <w:sz w:val="22"/>
          <w:szCs w:val="22"/>
        </w:rPr>
        <w:t xml:space="preserve"> of activation or as soon as practicable.</w:t>
      </w:r>
    </w:p>
    <w:p>
      <w:pPr>
        <w:spacing w:after="120" w:line="276"/>
      </w:pPr>
      <w:r>
        <w:rPr>
          <w:rFonts w:ascii="Calibri" w:cs="Calibri" w:eastAsia="Calibri" w:hAnsi="Calibri"/>
          <w:b w:val="false"/>
          <w:bCs w:val="false"/>
          <w:i w:val="false"/>
          <w:iCs w:val="false"/>
          <w:color w:val="000000"/>
          <w:sz w:val="22"/>
          <w:szCs w:val="22"/>
        </w:rPr>
        <w:t xml:space="preserve">The Plan remains active until the Incident Commander formally declares Closure pursuant to Section 13. The Incident Commander may stand down the full Incident Response Team while maintaining the Plan in an active monitoring state if the Incident is stable but not yet resolved.</w:t>
      </w:r>
    </w:p>
    <w:p>
      <w:r>
        <w:br w:type="page"/>
      </w:r>
    </w:p>
    <w:p>
      <w:pPr>
        <w:pStyle w:val="Heading1"/>
        <w:keepNext/>
        <w:spacing w:after="200" w:before="360"/>
      </w:pPr>
      <w:r>
        <w:rPr>
          <w:rFonts w:ascii="Calibri" w:cs="Calibri" w:eastAsia="Calibri" w:hAnsi="Calibri"/>
          <w:b/>
          <w:bCs/>
          <w:color w:val="1F3864"/>
          <w:sz w:val="32"/>
          <w:szCs w:val="32"/>
        </w:rPr>
        <w:t xml:space="preserve">2.  REPORTING</w:t>
      </w:r>
    </w:p>
    <w:p>
      <w:pPr>
        <w:pStyle w:val="Heading2"/>
        <w:keepNext/>
        <w:spacing w:after="120" w:before="240"/>
      </w:pPr>
      <w:r>
        <w:rPr>
          <w:rFonts w:ascii="Calibri" w:cs="Calibri" w:eastAsia="Calibri" w:hAnsi="Calibri"/>
          <w:b/>
          <w:bCs/>
          <w:color w:val="1F3864"/>
          <w:sz w:val="26"/>
          <w:szCs w:val="26"/>
        </w:rPr>
        <w:t xml:space="preserve">2.1  Obligation to Report</w:t>
      </w:r>
    </w:p>
    <w:p>
      <w:pPr>
        <w:spacing w:after="120" w:line="276"/>
      </w:pPr>
      <w:r>
        <w:rPr>
          <w:rFonts w:ascii="Calibri" w:cs="Calibri" w:eastAsia="Calibri" w:hAnsi="Calibri"/>
          <w:b w:val="false"/>
          <w:bCs w:val="false"/>
          <w:i w:val="false"/>
          <w:iCs w:val="false"/>
          <w:color w:val="000000"/>
          <w:sz w:val="22"/>
          <w:szCs w:val="22"/>
        </w:rPr>
        <w:t xml:space="preserve">Every Workforce Member has an affirmative obligation to immediately report any known or suspected Security Event to the Company's incident reporting channels described in this Section. The duty to report applies regardless of whether the Workforce Member believes the event is significant, whether the Workforce Member was personally involved in the event, or whether the event involves a system or process outside the Workforce Member's area of responsibility. Timely reporting is essential; the Company's ability to contain and remediate an Incident depends on the speed with which it is identified.</w:t>
      </w:r>
    </w:p>
    <w:p>
      <w:pPr>
        <w:pStyle w:val="Heading2"/>
        <w:keepNext/>
        <w:spacing w:after="120" w:before="240"/>
      </w:pPr>
      <w:r>
        <w:rPr>
          <w:rFonts w:ascii="Calibri" w:cs="Calibri" w:eastAsia="Calibri" w:hAnsi="Calibri"/>
          <w:b/>
          <w:bCs/>
          <w:color w:val="1F3864"/>
          <w:sz w:val="26"/>
          <w:szCs w:val="26"/>
        </w:rPr>
        <w:t xml:space="preserve">2.2  Primary Reporting Channels — Available 24/7</w:t>
      </w:r>
    </w:p>
    <w:p>
      <w:pPr>
        <w:spacing w:after="120" w:line="276"/>
      </w:pPr>
      <w:r>
        <w:rPr>
          <w:rFonts w:ascii="Calibri" w:cs="Calibri" w:eastAsia="Calibri" w:hAnsi="Calibri"/>
          <w:b w:val="false"/>
          <w:bCs w:val="false"/>
          <w:i w:val="false"/>
          <w:iCs w:val="false"/>
          <w:color w:val="000000"/>
          <w:sz w:val="22"/>
          <w:szCs w:val="22"/>
        </w:rPr>
        <w:t xml:space="preserve">The Company maintains the following reporting channels, each of which is monitored on a 24-hour, 7-day-per-week, 365-day-per-year basis: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Security Operations Center (SOC): </w:t>
      </w:r>
      <w:r>
        <w:rPr>
          <w:rFonts w:ascii="Calibri" w:cs="Calibri" w:eastAsia="Calibri" w:hAnsi="Calibri"/>
          <w:b/>
          <w:bCs/>
          <w:i w:val="false"/>
          <w:iCs w:val="false"/>
          <w:color w:val="000000"/>
          <w:sz w:val="22"/>
          <w:szCs w:val="22"/>
        </w:rPr>
        <w:t xml:space="preserve">[PHONE NUMBER]</w:t>
      </w:r>
      <w:r>
        <w:rPr>
          <w:rFonts w:ascii="Calibri" w:cs="Calibri" w:eastAsia="Calibri" w:hAnsi="Calibri"/>
          <w:b w:val="false"/>
          <w:bCs w:val="false"/>
          <w:i w:val="false"/>
          <w:iCs w:val="false"/>
          <w:color w:val="000000"/>
          <w:sz w:val="22"/>
          <w:szCs w:val="22"/>
        </w:rPr>
        <w:t xml:space="preserve"> (staffed 24/7)</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Incident Reporting Email: </w:t>
      </w:r>
      <w:r>
        <w:rPr>
          <w:rFonts w:ascii="Calibri" w:cs="Calibri" w:eastAsia="Calibri" w:hAnsi="Calibri"/>
          <w:b/>
          <w:bCs/>
          <w:i w:val="false"/>
          <w:iCs w:val="false"/>
          <w:color w:val="000000"/>
          <w:sz w:val="22"/>
          <w:szCs w:val="22"/>
        </w:rPr>
        <w:t xml:space="preserve">[EMAIL ADDRESS, E.G., SECURITY@COMPANY.COM]</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Incident Reporting Portal: </w:t>
      </w:r>
      <w:r>
        <w:rPr>
          <w:rFonts w:ascii="Calibri" w:cs="Calibri" w:eastAsia="Calibri" w:hAnsi="Calibri"/>
          <w:b/>
          <w:bCs/>
          <w:i w:val="false"/>
          <w:iCs w:val="false"/>
          <w:color w:val="000000"/>
          <w:sz w:val="22"/>
          <w:szCs w:val="22"/>
        </w:rPr>
        <w:t xml:space="preserve">[URL OF INTERNAL REPORTING TOOL OR TICKETING SYSTEM]</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Slack/Teams Channel: </w:t>
      </w:r>
      <w:r>
        <w:rPr>
          <w:rFonts w:ascii="Calibri" w:cs="Calibri" w:eastAsia="Calibri" w:hAnsi="Calibri"/>
          <w:b/>
          <w:bCs/>
          <w:i w:val="false"/>
          <w:iCs w:val="false"/>
          <w:color w:val="000000"/>
          <w:sz w:val="22"/>
          <w:szCs w:val="22"/>
        </w:rPr>
        <w:t xml:space="preserve">[CHANNEL NAME, E.G., #SECURITY-INCIDENTS]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On-Call Security Pager/Rotation: </w:t>
      </w:r>
      <w:r>
        <w:rPr>
          <w:rFonts w:ascii="Calibri" w:cs="Calibri" w:eastAsia="Calibri" w:hAnsi="Calibri"/>
          <w:b/>
          <w:bCs/>
          <w:i w:val="false"/>
          <w:iCs w:val="false"/>
          <w:color w:val="000000"/>
          <w:sz w:val="22"/>
          <w:szCs w:val="22"/>
        </w:rPr>
        <w:t xml:space="preserve">[PAGER NUMBER OR PAGERDUTY/OPSGENIE DETAILS]</w:t>
      </w:r>
    </w:p>
    <w:p>
      <w:pPr>
        <w:pStyle w:val="Heading2"/>
        <w:keepNext/>
        <w:spacing w:after="120" w:before="240"/>
      </w:pPr>
      <w:r>
        <w:rPr>
          <w:rFonts w:ascii="Calibri" w:cs="Calibri" w:eastAsia="Calibri" w:hAnsi="Calibri"/>
          <w:b/>
          <w:bCs/>
          <w:color w:val="1F3864"/>
          <w:sz w:val="26"/>
          <w:szCs w:val="26"/>
        </w:rPr>
        <w:t xml:space="preserve">2.3  Backup Reporting Methods</w:t>
      </w:r>
    </w:p>
    <w:p>
      <w:pPr>
        <w:spacing w:after="120" w:line="276"/>
      </w:pPr>
      <w:r>
        <w:rPr>
          <w:rFonts w:ascii="Calibri" w:cs="Calibri" w:eastAsia="Calibri" w:hAnsi="Calibri"/>
          <w:b w:val="false"/>
          <w:bCs w:val="false"/>
          <w:i w:val="false"/>
          <w:iCs w:val="false"/>
          <w:color w:val="000000"/>
          <w:sz w:val="22"/>
          <w:szCs w:val="22"/>
        </w:rPr>
        <w:t xml:space="preserve">If the primary reporting channels are unavailable (e.g., due to a network outage or compromise of internal systems), Workforce Members should use the following backup methods: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Personal mobile phone call to the Incident Commander or CISO: </w:t>
      </w:r>
      <w:r>
        <w:rPr>
          <w:rFonts w:ascii="Calibri" w:cs="Calibri" w:eastAsia="Calibri" w:hAnsi="Calibri"/>
          <w:b/>
          <w:bCs/>
          <w:i w:val="false"/>
          <w:iCs w:val="false"/>
          <w:color w:val="000000"/>
          <w:sz w:val="22"/>
          <w:szCs w:val="22"/>
        </w:rPr>
        <w:t xml:space="preserve">[PERSONAL MOBILE NUMBERS]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SMS text message to the on-call security rotation: </w:t>
      </w:r>
      <w:r>
        <w:rPr>
          <w:rFonts w:ascii="Calibri" w:cs="Calibri" w:eastAsia="Calibri" w:hAnsi="Calibri"/>
          <w:b/>
          <w:bCs/>
          <w:i w:val="false"/>
          <w:iCs w:val="false"/>
          <w:color w:val="000000"/>
          <w:sz w:val="22"/>
          <w:szCs w:val="22"/>
        </w:rPr>
        <w:t xml:space="preserve">[SMS NUMBER]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In-person report to the Workforce Member's direct manager or any member of the </w:t>
      </w:r>
      <w:r>
        <w:rPr>
          <w:rFonts w:ascii="Calibri" w:cs="Calibri" w:eastAsia="Calibri" w:hAnsi="Calibri"/>
          <w:b/>
          <w:bCs/>
          <w:i w:val="false"/>
          <w:iCs w:val="false"/>
          <w:color w:val="000000"/>
          <w:sz w:val="22"/>
          <w:szCs w:val="22"/>
        </w:rPr>
        <w:t xml:space="preserve">[SECURITY/IT TEAM]</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Third-party incident reporting hotline (if established): </w:t>
      </w:r>
      <w:r>
        <w:rPr>
          <w:rFonts w:ascii="Calibri" w:cs="Calibri" w:eastAsia="Calibri" w:hAnsi="Calibri"/>
          <w:b/>
          <w:bCs/>
          <w:i w:val="false"/>
          <w:iCs w:val="false"/>
          <w:color w:val="000000"/>
          <w:sz w:val="22"/>
          <w:szCs w:val="22"/>
        </w:rPr>
        <w:t xml:space="preserve">[HOTLINE NUMBER AND PROVIDER]</w:t>
      </w:r>
    </w:p>
    <w:p>
      <w:pPr>
        <w:pStyle w:val="Heading2"/>
        <w:keepNext/>
        <w:spacing w:after="120" w:before="240"/>
      </w:pPr>
      <w:r>
        <w:rPr>
          <w:rFonts w:ascii="Calibri" w:cs="Calibri" w:eastAsia="Calibri" w:hAnsi="Calibri"/>
          <w:b/>
          <w:bCs/>
          <w:color w:val="1F3864"/>
          <w:sz w:val="26"/>
          <w:szCs w:val="26"/>
        </w:rPr>
        <w:t xml:space="preserve">2.4  Information to Report</w:t>
      </w:r>
    </w:p>
    <w:p>
      <w:pPr>
        <w:spacing w:after="120" w:line="276"/>
      </w:pPr>
      <w:r>
        <w:rPr>
          <w:rFonts w:ascii="Calibri" w:cs="Calibri" w:eastAsia="Calibri" w:hAnsi="Calibri"/>
          <w:b w:val="false"/>
          <w:bCs w:val="false"/>
          <w:i w:val="false"/>
          <w:iCs w:val="false"/>
          <w:color w:val="000000"/>
          <w:sz w:val="22"/>
          <w:szCs w:val="22"/>
        </w:rPr>
        <w:t xml:space="preserve">When reporting a Security Event, the reporter should provide as much of the following information as is known at the time. Incomplete information should not delay the initial report; additional facts can be provided as they become available: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and time the event was discovered, and date and time the event is believed to have occurred (if different)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How the event was detected (e.g., automated alert, user observation, third-party notification, customer complaint)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Description of the event, including what happened or what was observed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Systems, applications, or network segments affected or potentially affected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User accounts or credentials believed to be involved or compromised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Types and estimated volume of data affected, if known (e.g., customer PII, financial records, source code, trade secrets)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Number and categories of individuals whose data may be affected (e.g., customers, employees, business partners)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Physical locations or geographic regions involved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Any actions already taken by the reporter (e.g., disconnected a device, changed a password, contacted a vendor)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Contact information for the reporter, including name, title, department, phone, and email</w:t>
      </w:r>
    </w:p>
    <w:p>
      <w:pPr>
        <w:pStyle w:val="Heading2"/>
        <w:keepNext/>
        <w:spacing w:after="120" w:before="240"/>
      </w:pPr>
      <w:r>
        <w:rPr>
          <w:rFonts w:ascii="Calibri" w:cs="Calibri" w:eastAsia="Calibri" w:hAnsi="Calibri"/>
          <w:b/>
          <w:bCs/>
          <w:color w:val="1F3864"/>
          <w:sz w:val="26"/>
          <w:szCs w:val="26"/>
        </w:rPr>
        <w:t xml:space="preserve">2.5  Evidence Preservation</w:t>
      </w:r>
    </w:p>
    <w:p>
      <w:pPr>
        <w:spacing w:after="120" w:line="276"/>
      </w:pPr>
      <w:r>
        <w:rPr>
          <w:rFonts w:ascii="Calibri" w:cs="Calibri" w:eastAsia="Calibri" w:hAnsi="Calibri"/>
          <w:b w:val="false"/>
          <w:bCs w:val="false"/>
          <w:i w:val="false"/>
          <w:iCs w:val="false"/>
          <w:color w:val="000000"/>
          <w:sz w:val="22"/>
          <w:szCs w:val="22"/>
        </w:rPr>
        <w:t xml:space="preserve">Workforce Members who discover or report a Security Event must take reasonable steps to preserve evidence, including: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 not power off, reboot, or modify affected systems unless directed to do so by the Incident Commander, the Security/IT Team, or outside forensic investigators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 not attempt to "clean up" or remediate the issue independently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 not delete, modify, or forward suspicious emails — leave them in the inbox or quarantine as instructed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Preserve screenshots, error messages, log entries, and any other observable artifacts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Note and preserve any physical evidence (e.g., unauthorized hardware devices, printed documents, visitor logs)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Record the names and contact information of any witnesses</w:t>
      </w:r>
    </w:p>
    <w:p>
      <w:pPr>
        <w:pStyle w:val="Heading2"/>
        <w:keepNext/>
        <w:spacing w:after="120" w:before="240"/>
      </w:pPr>
      <w:r>
        <w:rPr>
          <w:rFonts w:ascii="Calibri" w:cs="Calibri" w:eastAsia="Calibri" w:hAnsi="Calibri"/>
          <w:b/>
          <w:bCs/>
          <w:color w:val="1F3864"/>
          <w:sz w:val="26"/>
          <w:szCs w:val="26"/>
        </w:rPr>
        <w:t xml:space="preserve">2.6  Protected Reports and Non-Retaliation</w:t>
      </w:r>
    </w:p>
    <w:p>
      <w:pPr>
        <w:spacing w:after="120" w:line="276"/>
      </w:pPr>
      <w:r>
        <w:rPr>
          <w:rFonts w:ascii="Calibri" w:cs="Calibri" w:eastAsia="Calibri" w:hAnsi="Calibri"/>
          <w:b w:val="false"/>
          <w:bCs w:val="false"/>
          <w:i w:val="false"/>
          <w:iCs w:val="false"/>
          <w:color w:val="000000"/>
          <w:sz w:val="22"/>
          <w:szCs w:val="22"/>
        </w:rPr>
        <w:t xml:space="preserve">The Company prohibits retaliation against any Workforce Member who, in good faith, reports a known or suspected Security Event, participates in an investigation, or cooperates with regulatory or law-enforcement authorities. Reports may be made anonymously through the Company's ethics hotline at </w:t>
      </w:r>
      <w:r>
        <w:rPr>
          <w:rFonts w:ascii="Calibri" w:cs="Calibri" w:eastAsia="Calibri" w:hAnsi="Calibri"/>
          <w:b/>
          <w:bCs/>
          <w:i w:val="false"/>
          <w:iCs w:val="false"/>
          <w:color w:val="000000"/>
          <w:sz w:val="22"/>
          <w:szCs w:val="22"/>
        </w:rPr>
        <w:t xml:space="preserve">[ETHICS HOTLINE NUMBER/URL]</w:t>
      </w:r>
      <w:r>
        <w:rPr>
          <w:rFonts w:ascii="Calibri" w:cs="Calibri" w:eastAsia="Calibri" w:hAnsi="Calibri"/>
          <w:b w:val="false"/>
          <w:bCs w:val="false"/>
          <w:i w:val="false"/>
          <w:iCs w:val="false"/>
          <w:color w:val="000000"/>
          <w:sz w:val="22"/>
          <w:szCs w:val="22"/>
        </w:rPr>
        <w:t xml:space="preserve"> or through any other channel described in this Section.</w:t>
      </w:r>
    </w:p>
    <w:p>
      <w:pPr>
        <w:spacing w:after="120" w:line="276"/>
      </w:pPr>
      <w:r>
        <w:rPr>
          <w:rFonts w:ascii="Calibri" w:cs="Calibri" w:eastAsia="Calibri" w:hAnsi="Calibri"/>
          <w:b w:val="false"/>
          <w:bCs w:val="false"/>
          <w:i w:val="false"/>
          <w:iCs w:val="false"/>
          <w:color w:val="000000"/>
          <w:sz w:val="22"/>
          <w:szCs w:val="22"/>
        </w:rPr>
        <w:t xml:space="preserve">The Company's non-retaliation policy is consistent with applicable whistleblower protection laws, including </w:t>
      </w:r>
      <w:r>
        <w:rPr>
          <w:rFonts w:ascii="Calibri" w:cs="Calibri" w:eastAsia="Calibri" w:hAnsi="Calibri"/>
          <w:b/>
          <w:bCs/>
          <w:i w:val="false"/>
          <w:iCs w:val="false"/>
          <w:color w:val="000000"/>
          <w:sz w:val="22"/>
          <w:szCs w:val="22"/>
        </w:rPr>
        <w:t xml:space="preserve">[LIST APPLICABLE LAWS, E.G., SARBANES-OXLEY ACT SECTION 806, DODD-FRANK ACT SECTION 922, EU WHISTLEBLOWER DIRECTIVE]</w:t>
      </w:r>
      <w:r>
        <w:rPr>
          <w:rFonts w:ascii="Calibri" w:cs="Calibri" w:eastAsia="Calibri" w:hAnsi="Calibri"/>
          <w:b w:val="false"/>
          <w:bCs w:val="false"/>
          <w:i w:val="false"/>
          <w:iCs w:val="false"/>
          <w:color w:val="000000"/>
          <w:sz w:val="22"/>
          <w:szCs w:val="22"/>
        </w:rPr>
        <w:t xml:space="preserve">. Workforce Members who believe they have experienced retaliation for making a good-faith report should contact </w:t>
      </w:r>
      <w:r>
        <w:rPr>
          <w:rFonts w:ascii="Calibri" w:cs="Calibri" w:eastAsia="Calibri" w:hAnsi="Calibri"/>
          <w:b/>
          <w:bCs/>
          <w:i w:val="false"/>
          <w:iCs w:val="false"/>
          <w:color w:val="000000"/>
          <w:sz w:val="22"/>
          <w:szCs w:val="22"/>
        </w:rPr>
        <w:t xml:space="preserve">[HR CONTACT]</w:t>
      </w:r>
      <w:r>
        <w:rPr>
          <w:rFonts w:ascii="Calibri" w:cs="Calibri" w:eastAsia="Calibri" w:hAnsi="Calibri"/>
          <w:b w:val="false"/>
          <w:bCs w:val="false"/>
          <w:i w:val="false"/>
          <w:iCs w:val="false"/>
          <w:color w:val="000000"/>
          <w:sz w:val="22"/>
          <w:szCs w:val="22"/>
        </w:rPr>
        <w:t xml:space="preserve"> or </w:t>
      </w:r>
      <w:r>
        <w:rPr>
          <w:rFonts w:ascii="Calibri" w:cs="Calibri" w:eastAsia="Calibri" w:hAnsi="Calibri"/>
          <w:b/>
          <w:bCs/>
          <w:i w:val="false"/>
          <w:iCs w:val="false"/>
          <w:color w:val="000000"/>
          <w:sz w:val="22"/>
          <w:szCs w:val="22"/>
        </w:rPr>
        <w:t xml:space="preserve">[GENERAL COUNSEL]</w:t>
      </w:r>
      <w:r>
        <w:rPr>
          <w:rFonts w:ascii="Calibri" w:cs="Calibri" w:eastAsia="Calibri" w:hAnsi="Calibri"/>
          <w:b w:val="false"/>
          <w:bCs w:val="false"/>
          <w:i w:val="false"/>
          <w:iCs w:val="false"/>
          <w:color w:val="000000"/>
          <w:sz w:val="22"/>
          <w:szCs w:val="22"/>
        </w:rPr>
        <w:t xml:space="preserve"> immediately.</w:t>
      </w:r>
    </w:p>
    <w:p>
      <w:r>
        <w:br w:type="page"/>
      </w:r>
    </w:p>
    <w:p>
      <w:pPr>
        <w:pStyle w:val="Heading1"/>
        <w:keepNext/>
        <w:spacing w:after="200" w:before="360"/>
      </w:pPr>
      <w:r>
        <w:rPr>
          <w:rFonts w:ascii="Calibri" w:cs="Calibri" w:eastAsia="Calibri" w:hAnsi="Calibri"/>
          <w:b/>
          <w:bCs/>
          <w:color w:val="1F3864"/>
          <w:sz w:val="32"/>
          <w:szCs w:val="32"/>
        </w:rPr>
        <w:t xml:space="preserve">3.  AUTHORITY AND ROLES</w:t>
      </w:r>
    </w:p>
    <w:p>
      <w:pPr>
        <w:spacing w:after="120" w:line="276"/>
      </w:pPr>
      <w:r>
        <w:rPr>
          <w:rFonts w:ascii="Calibri" w:cs="Calibri" w:eastAsia="Calibri" w:hAnsi="Calibri"/>
          <w:b w:val="false"/>
          <w:bCs w:val="false"/>
          <w:i w:val="false"/>
          <w:iCs w:val="false"/>
          <w:color w:val="000000"/>
          <w:sz w:val="22"/>
          <w:szCs w:val="22"/>
        </w:rPr>
        <w:t xml:space="preserve">The Company's incident response capability is organized around a cross-functional Incident Response Team ("IRT"). The IRT composition may vary by Incident, but the roles described below represent the standing roster. The Incident Commander will activate the specific roles required for each Incident based on its nature, Severity, and scope. All IRT members must be reachable within </w:t>
      </w:r>
      <w:r>
        <w:rPr>
          <w:rFonts w:ascii="Calibri" w:cs="Calibri" w:eastAsia="Calibri" w:hAnsi="Calibri"/>
          <w:b/>
          <w:bCs/>
          <w:i w:val="false"/>
          <w:iCs w:val="false"/>
          <w:color w:val="000000"/>
          <w:sz w:val="22"/>
          <w:szCs w:val="22"/>
        </w:rPr>
        <w:t xml:space="preserve">[TIME PERIOD, E.G., 30 MINUTES]</w:t>
      </w:r>
      <w:r>
        <w:rPr>
          <w:rFonts w:ascii="Calibri" w:cs="Calibri" w:eastAsia="Calibri" w:hAnsi="Calibri"/>
          <w:b w:val="false"/>
          <w:bCs w:val="false"/>
          <w:i w:val="false"/>
          <w:iCs w:val="false"/>
          <w:color w:val="000000"/>
          <w:sz w:val="22"/>
          <w:szCs w:val="22"/>
        </w:rPr>
        <w:t xml:space="preserve"> of notification during an active Incident.</w:t>
      </w:r>
    </w:p>
    <w:p>
      <w:pPr>
        <w:pStyle w:val="Heading2"/>
        <w:keepNext/>
        <w:spacing w:after="120" w:before="240"/>
      </w:pPr>
      <w:r>
        <w:rPr>
          <w:rFonts w:ascii="Calibri" w:cs="Calibri" w:eastAsia="Calibri" w:hAnsi="Calibri"/>
          <w:b/>
          <w:bCs/>
          <w:color w:val="1F3864"/>
          <w:sz w:val="26"/>
          <w:szCs w:val="26"/>
        </w:rPr>
        <w:t xml:space="preserve">3.1  Incident Commander</w:t>
      </w:r>
    </w:p>
    <w:p>
      <w:pPr>
        <w:spacing w:after="120" w:line="276"/>
      </w:pPr>
      <w:r>
        <w:rPr>
          <w:rFonts w:ascii="Calibri" w:cs="Calibri" w:eastAsia="Calibri" w:hAnsi="Calibri"/>
          <w:b w:val="false"/>
          <w:bCs w:val="false"/>
          <w:i w:val="false"/>
          <w:iCs w:val="false"/>
          <w:color w:val="000000"/>
          <w:sz w:val="22"/>
          <w:szCs w:val="22"/>
        </w:rPr>
        <w:t xml:space="preserve">The Incident Commander ("IC") is the single point of authority and accountability for the Company's response to a specific Incident. The primary Incident Commander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 Designated alternates are </w:t>
      </w:r>
      <w:r>
        <w:rPr>
          <w:rFonts w:ascii="Calibri" w:cs="Calibri" w:eastAsia="Calibri" w:hAnsi="Calibri"/>
          <w:b/>
          <w:bCs/>
          <w:i w:val="false"/>
          <w:iCs w:val="false"/>
          <w:color w:val="000000"/>
          <w:sz w:val="22"/>
          <w:szCs w:val="22"/>
        </w:rPr>
        <w:t xml:space="preserve">[FIRST ALTERNATE NAME/TITLE]</w:t>
      </w:r>
      <w:r>
        <w:rPr>
          <w:rFonts w:ascii="Calibri" w:cs="Calibri" w:eastAsia="Calibri" w:hAnsi="Calibri"/>
          <w:b w:val="false"/>
          <w:bCs w:val="false"/>
          <w:i w:val="false"/>
          <w:iCs w:val="false"/>
          <w:color w:val="000000"/>
          <w:sz w:val="22"/>
          <w:szCs w:val="22"/>
        </w:rPr>
        <w:t xml:space="preserve"> and </w:t>
      </w:r>
      <w:r>
        <w:rPr>
          <w:rFonts w:ascii="Calibri" w:cs="Calibri" w:eastAsia="Calibri" w:hAnsi="Calibri"/>
          <w:b/>
          <w:bCs/>
          <w:i w:val="false"/>
          <w:iCs w:val="false"/>
          <w:color w:val="000000"/>
          <w:sz w:val="22"/>
          <w:szCs w:val="22"/>
        </w:rPr>
        <w:t xml:space="preserve">[SECOND ALTERNATE NAME/TITLE]</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The Incident Commander's responsibilities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Activating this Plan and convening the Incident Response Team</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Assigning and adjusting the Severity classification throughout the Incident lifecycle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Coordinating and prioritizing response activities across all functional workstreams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Making time-sensitive decisions regarding containment, eradication, and recovery actions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Maintaining the Authoritative Timeline and Decision Log (Section 6)</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Approving all external communications related to the Incident (in coordination with Legal, Communications, and Executive Leadership)</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Conducting periodic status briefings for the IRT and Executive Leadership</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Declaring Closure and initiating the post-incident review process</w:t>
      </w:r>
    </w:p>
    <w:p>
      <w:pPr>
        <w:pStyle w:val="Heading2"/>
        <w:keepNext/>
        <w:spacing w:after="120" w:before="240"/>
      </w:pPr>
      <w:r>
        <w:rPr>
          <w:rFonts w:ascii="Calibri" w:cs="Calibri" w:eastAsia="Calibri" w:hAnsi="Calibri"/>
          <w:b/>
          <w:bCs/>
          <w:color w:val="1F3864"/>
          <w:sz w:val="26"/>
          <w:szCs w:val="26"/>
        </w:rPr>
        <w:t xml:space="preserve">3.2  Security and IT Team</w:t>
      </w:r>
    </w:p>
    <w:p>
      <w:pPr>
        <w:spacing w:after="120" w:line="276"/>
      </w:pPr>
      <w:r>
        <w:rPr>
          <w:rFonts w:ascii="Calibri" w:cs="Calibri" w:eastAsia="Calibri" w:hAnsi="Calibri"/>
          <w:b w:val="false"/>
          <w:bCs w:val="false"/>
          <w:i w:val="false"/>
          <w:iCs w:val="false"/>
          <w:color w:val="000000"/>
          <w:sz w:val="22"/>
          <w:szCs w:val="22"/>
        </w:rPr>
        <w:t xml:space="preserve">The Security and IT Team is responsible for the technical investigation and remediation of Incidents. The team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Perform initial triage and technical assessment of reported Security Events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Execute containment actions (network isolation, account suspension, token revocation) as directed by the Incident Commander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Collect and preserve volatile and non-volatile evidence in accordance with Section 8</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Conduct technical forensic analysis to determine entry vectors, lateral movement, persistence mechanisms, and data exposure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Implement eradication measures (malware removal, vulnerability patching, configuration hardening)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Execute staged recovery and restoration of affected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Deploy enhanced monitoring and detection rules to identify recurrence or related activity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Maintain chain-of-custody documentation for all evidence</w:t>
      </w:r>
    </w:p>
    <w:p>
      <w:pPr>
        <w:pStyle w:val="Heading2"/>
        <w:keepNext/>
        <w:spacing w:after="120" w:before="240"/>
      </w:pPr>
      <w:r>
        <w:rPr>
          <w:rFonts w:ascii="Calibri" w:cs="Calibri" w:eastAsia="Calibri" w:hAnsi="Calibri"/>
          <w:b/>
          <w:bCs/>
          <w:color w:val="1F3864"/>
          <w:sz w:val="26"/>
          <w:szCs w:val="26"/>
        </w:rPr>
        <w:t xml:space="preserve">3.3  Product and Engineering Team</w:t>
      </w:r>
    </w:p>
    <w:p>
      <w:pPr>
        <w:spacing w:after="120" w:line="276"/>
      </w:pPr>
      <w:r>
        <w:rPr>
          <w:rFonts w:ascii="Calibri" w:cs="Calibri" w:eastAsia="Calibri" w:hAnsi="Calibri"/>
          <w:b w:val="false"/>
          <w:bCs w:val="false"/>
          <w:i w:val="false"/>
          <w:iCs w:val="false"/>
          <w:color w:val="000000"/>
          <w:sz w:val="22"/>
          <w:szCs w:val="22"/>
        </w:rPr>
        <w:t xml:space="preserve">The Product and Engineering Team supports incident response when the Incident involves the Company's products, customer-facing services, or software development infrastructure. The team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the impact of the Incident on product functionality, customer data, and service availability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Develop and deploy hotfixes, patches, or configuration changes to address product-level vulnerabilities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with the Security/IT Team on code-level forensic analysis (e.g., source code review, commit history analysis, CI/CD pipeline investigation)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Support customer-facing technical communications and provide subject-matter expertise for customer inquiries</w:t>
      </w:r>
    </w:p>
    <w:p>
      <w:pPr>
        <w:pStyle w:val="Heading2"/>
        <w:keepNext/>
        <w:spacing w:after="120" w:before="240"/>
      </w:pPr>
      <w:r>
        <w:rPr>
          <w:rFonts w:ascii="Calibri" w:cs="Calibri" w:eastAsia="Calibri" w:hAnsi="Calibri"/>
          <w:b/>
          <w:bCs/>
          <w:color w:val="1F3864"/>
          <w:sz w:val="26"/>
          <w:szCs w:val="26"/>
        </w:rPr>
        <w:t xml:space="preserve">3.4  Legal and Privacy Counsel</w:t>
      </w:r>
    </w:p>
    <w:p>
      <w:pPr>
        <w:spacing w:after="120" w:line="276"/>
      </w:pPr>
      <w:r>
        <w:rPr>
          <w:rFonts w:ascii="Calibri" w:cs="Calibri" w:eastAsia="Calibri" w:hAnsi="Calibri"/>
          <w:b w:val="false"/>
          <w:bCs w:val="false"/>
          <w:i w:val="false"/>
          <w:iCs w:val="false"/>
          <w:color w:val="000000"/>
          <w:sz w:val="22"/>
          <w:szCs w:val="22"/>
        </w:rPr>
        <w:t xml:space="preserve">Legal and Privacy Counsel advises the Incident Commander and the IRT on all legal, regulatory, and contractual aspects of the Incident. The lead attorney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 Outside counsel is </w:t>
      </w:r>
      <w:r>
        <w:rPr>
          <w:rFonts w:ascii="Calibri" w:cs="Calibri" w:eastAsia="Calibri" w:hAnsi="Calibri"/>
          <w:b/>
          <w:bCs/>
          <w:i w:val="false"/>
          <w:iCs w:val="false"/>
          <w:color w:val="000000"/>
          <w:sz w:val="22"/>
          <w:szCs w:val="22"/>
        </w:rPr>
        <w:t xml:space="preserve">[OUTSIDE COUNSEL FIRM NAME AND PRIMARY CONTACT]</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whether the Incident constitutes a Breach under applicable data protection laws and breach-notification statutes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Identify and track all applicable notification obligations and decision clocks (Section 9)</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Direct the privilege protocol (Section 4) and ensure that privileged communications are properly marked and separated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 and direct outside forensic investigators under attorney-client privilege, where appropriate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Draft, review, and approve all notifications to regulators, affected individuals, and law enforcement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Advise on litigation risk, regulatory exposure, and insurance coverage implications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and approve all external communications for legal accuracy</w:t>
      </w:r>
    </w:p>
    <w:p>
      <w:pPr>
        <w:pStyle w:val="Heading2"/>
        <w:keepNext/>
        <w:spacing w:after="120" w:before="240"/>
      </w:pPr>
      <w:r>
        <w:rPr>
          <w:rFonts w:ascii="Calibri" w:cs="Calibri" w:eastAsia="Calibri" w:hAnsi="Calibri"/>
          <w:b/>
          <w:bCs/>
          <w:color w:val="1F3864"/>
          <w:sz w:val="26"/>
          <w:szCs w:val="26"/>
        </w:rPr>
        <w:t xml:space="preserve">3.5  Communications Team</w:t>
      </w:r>
    </w:p>
    <w:p>
      <w:pPr>
        <w:spacing w:after="120" w:line="276"/>
      </w:pPr>
      <w:r>
        <w:rPr>
          <w:rFonts w:ascii="Calibri" w:cs="Calibri" w:eastAsia="Calibri" w:hAnsi="Calibri"/>
          <w:b w:val="false"/>
          <w:bCs w:val="false"/>
          <w:i w:val="false"/>
          <w:iCs w:val="false"/>
          <w:color w:val="000000"/>
          <w:sz w:val="22"/>
          <w:szCs w:val="22"/>
        </w:rPr>
        <w:t xml:space="preserve">The Communications Team manages all internal and external messaging related to the Incident. The team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Draft and coordinate internal communications to the Workforce, including initial notifications, status updates, and post-incident summaries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Draft external communications to customers, business partners, media, and other stakeholders, subject to Legal and Executive approval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Monitor social media, news outlets, and customer-facing channels for Incident-related discussions or inquiries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Prepare holding statements, FAQs, and talking points for authorized spokespeople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media inquiries and press responses through the designated Company spokesperson: </w:t>
      </w:r>
      <w:r>
        <w:rPr>
          <w:rFonts w:ascii="Calibri" w:cs="Calibri" w:eastAsia="Calibri" w:hAnsi="Calibri"/>
          <w:b/>
          <w:bCs/>
          <w:i w:val="false"/>
          <w:iCs w:val="false"/>
          <w:color w:val="000000"/>
          <w:sz w:val="22"/>
          <w:szCs w:val="22"/>
        </w:rPr>
        <w:t xml:space="preserve">[NAME/TITLE]</w:t>
      </w:r>
    </w:p>
    <w:p>
      <w:pPr>
        <w:pStyle w:val="Heading2"/>
        <w:keepNext/>
        <w:spacing w:after="120" w:before="240"/>
      </w:pPr>
      <w:r>
        <w:rPr>
          <w:rFonts w:ascii="Calibri" w:cs="Calibri" w:eastAsia="Calibri" w:hAnsi="Calibri"/>
          <w:b/>
          <w:bCs/>
          <w:color w:val="1F3864"/>
          <w:sz w:val="26"/>
          <w:szCs w:val="26"/>
        </w:rPr>
        <w:t xml:space="preserve">3.6  Human Resources</w:t>
      </w:r>
    </w:p>
    <w:p>
      <w:pPr>
        <w:spacing w:after="120" w:line="276"/>
      </w:pPr>
      <w:r>
        <w:rPr>
          <w:rFonts w:ascii="Calibri" w:cs="Calibri" w:eastAsia="Calibri" w:hAnsi="Calibri"/>
          <w:b w:val="false"/>
          <w:bCs w:val="false"/>
          <w:i w:val="false"/>
          <w:iCs w:val="false"/>
          <w:color w:val="000000"/>
          <w:sz w:val="22"/>
          <w:szCs w:val="22"/>
        </w:rPr>
        <w:t xml:space="preserve">The Human Resources Team supports the Incident response when the Incident involves Workforce Members (as victims, reporters, or subjects of investigation). The HR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Workforce Member notifications, support services, and accommodations (e.g., credit monitoring, counseling)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Advise on employment-law implications, including disciplinary actions, investigations of Workforce Member conduct, and documentation requirements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Support insider-threat investigations in coordination with Legal and Security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Manage onboarding and offboarding actions for compromised accounts (e.g., credential resets, access reviews)</w:t>
      </w:r>
    </w:p>
    <w:p>
      <w:pPr>
        <w:pStyle w:val="Heading2"/>
        <w:keepNext/>
        <w:spacing w:after="120" w:before="240"/>
      </w:pPr>
      <w:r>
        <w:rPr>
          <w:rFonts w:ascii="Calibri" w:cs="Calibri" w:eastAsia="Calibri" w:hAnsi="Calibri"/>
          <w:b/>
          <w:bCs/>
          <w:color w:val="1F3864"/>
          <w:sz w:val="26"/>
          <w:szCs w:val="26"/>
        </w:rPr>
        <w:t xml:space="preserve">3.7  Finance</w:t>
      </w:r>
    </w:p>
    <w:p>
      <w:pPr>
        <w:spacing w:after="120" w:line="276"/>
      </w:pPr>
      <w:r>
        <w:rPr>
          <w:rFonts w:ascii="Calibri" w:cs="Calibri" w:eastAsia="Calibri" w:hAnsi="Calibri"/>
          <w:b w:val="false"/>
          <w:bCs w:val="false"/>
          <w:i w:val="false"/>
          <w:iCs w:val="false"/>
          <w:color w:val="000000"/>
          <w:sz w:val="22"/>
          <w:szCs w:val="22"/>
        </w:rPr>
        <w:t xml:space="preserve">The Finance Team manages the financial aspects of Incident response, including cost tracking, insurance claims, and vendor payments. The finance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Establish and manage a dedicated cost center or project code for Incident-related expenses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cyber insurance claim submission with the Insurance Liaison (Section 3.10) and the Company's insurance broker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Process payments for forensic investigators, outside counsel, notification vendors, credit-monitoring services, and other response costs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Prepare financial impact assessments for Executive Leadership and the Board</w:t>
      </w:r>
    </w:p>
    <w:p>
      <w:pPr>
        <w:pStyle w:val="Heading2"/>
        <w:keepNext/>
        <w:spacing w:after="120" w:before="240"/>
      </w:pPr>
      <w:r>
        <w:rPr>
          <w:rFonts w:ascii="Calibri" w:cs="Calibri" w:eastAsia="Calibri" w:hAnsi="Calibri"/>
          <w:b/>
          <w:bCs/>
          <w:color w:val="1F3864"/>
          <w:sz w:val="26"/>
          <w:szCs w:val="26"/>
        </w:rPr>
        <w:t xml:space="preserve">3.8  Customer Success and Support</w:t>
      </w:r>
    </w:p>
    <w:p>
      <w:pPr>
        <w:spacing w:after="120" w:line="276"/>
      </w:pPr>
      <w:r>
        <w:rPr>
          <w:rFonts w:ascii="Calibri" w:cs="Calibri" w:eastAsia="Calibri" w:hAnsi="Calibri"/>
          <w:b w:val="false"/>
          <w:bCs w:val="false"/>
          <w:i w:val="false"/>
          <w:iCs w:val="false"/>
          <w:color w:val="000000"/>
          <w:sz w:val="22"/>
          <w:szCs w:val="22"/>
        </w:rPr>
        <w:t xml:space="preserve">The Customer Success and Support Team manages direct interactions with customers affected by the Incident. The team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Serve as the primary point of contact for individual customer inquiries related to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Distribute approved customer notifications and follow-up communications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Track and escalate customer-reported issues, secondary impacts, or new information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credit-monitoring, identity-theft protection, or other remediation services offered to affected customers</w:t>
      </w:r>
    </w:p>
    <w:p>
      <w:pPr>
        <w:pStyle w:val="Heading2"/>
        <w:keepNext/>
        <w:spacing w:after="120" w:before="240"/>
      </w:pPr>
      <w:r>
        <w:rPr>
          <w:rFonts w:ascii="Calibri" w:cs="Calibri" w:eastAsia="Calibri" w:hAnsi="Calibri"/>
          <w:b/>
          <w:bCs/>
          <w:color w:val="1F3864"/>
          <w:sz w:val="26"/>
          <w:szCs w:val="26"/>
        </w:rPr>
        <w:t xml:space="preserve">3.9  Vendor and Third-Party Management</w:t>
      </w:r>
    </w:p>
    <w:p>
      <w:pPr>
        <w:spacing w:after="120" w:line="276"/>
      </w:pPr>
      <w:r>
        <w:rPr>
          <w:rFonts w:ascii="Calibri" w:cs="Calibri" w:eastAsia="Calibri" w:hAnsi="Calibri"/>
          <w:b w:val="false"/>
          <w:bCs w:val="false"/>
          <w:i w:val="false"/>
          <w:iCs w:val="false"/>
          <w:color w:val="000000"/>
          <w:sz w:val="22"/>
          <w:szCs w:val="22"/>
        </w:rPr>
        <w:t xml:space="preserve">The Vendor Management Team coordinates with third-party service providers whose systems, services, or data may be affected by the Incident. The team lead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Notify affected vendors and service providers in accordance with contractual requirements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joint investigation and remediation activities with vendor security teams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whether the Incident originated from or was exacerbated by a third-party failure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Compile vendor contractual obligations relevant to the Incident (e.g., notification duties, indemnification, data processing agreements)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Evaluate vendor compliance with Service Level Agreements and contractual security requirements</w:t>
      </w:r>
    </w:p>
    <w:p>
      <w:pPr>
        <w:pStyle w:val="Heading2"/>
        <w:keepNext/>
        <w:spacing w:after="120" w:before="240"/>
      </w:pPr>
      <w:r>
        <w:rPr>
          <w:rFonts w:ascii="Calibri" w:cs="Calibri" w:eastAsia="Calibri" w:hAnsi="Calibri"/>
          <w:b/>
          <w:bCs/>
          <w:color w:val="1F3864"/>
          <w:sz w:val="26"/>
          <w:szCs w:val="26"/>
        </w:rPr>
        <w:t xml:space="preserve">3.10  Insurance Liaison</w:t>
      </w:r>
    </w:p>
    <w:p>
      <w:pPr>
        <w:spacing w:after="120" w:line="276"/>
      </w:pPr>
      <w:r>
        <w:rPr>
          <w:rFonts w:ascii="Calibri" w:cs="Calibri" w:eastAsia="Calibri" w:hAnsi="Calibri"/>
          <w:b w:val="false"/>
          <w:bCs w:val="false"/>
          <w:i w:val="false"/>
          <w:iCs w:val="false"/>
          <w:color w:val="000000"/>
          <w:sz w:val="22"/>
          <w:szCs w:val="22"/>
        </w:rPr>
        <w:t xml:space="preserve">The Insurance Liaison coordinates all interactions with the Company's cyber insurance carrier(s). The Insurance Liaison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 The Company's cyber insurance broker is </w:t>
      </w:r>
      <w:r>
        <w:rPr>
          <w:rFonts w:ascii="Calibri" w:cs="Calibri" w:eastAsia="Calibri" w:hAnsi="Calibri"/>
          <w:b/>
          <w:bCs/>
          <w:i w:val="false"/>
          <w:iCs w:val="false"/>
          <w:color w:val="000000"/>
          <w:sz w:val="22"/>
          <w:szCs w:val="22"/>
        </w:rPr>
        <w:t xml:space="preserve">[BROKER NAME AND CONTACT]</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Notify the insurance carrier within the timeframe required by the policy (typically </w:t>
      </w:r>
      <w:r>
        <w:rPr>
          <w:rFonts w:ascii="Calibri" w:cs="Calibri" w:eastAsia="Calibri" w:hAnsi="Calibri"/>
          <w:b/>
          <w:bCs/>
          <w:i w:val="false"/>
          <w:iCs w:val="false"/>
          <w:color w:val="000000"/>
          <w:sz w:val="22"/>
          <w:szCs w:val="22"/>
        </w:rPr>
        <w:t xml:space="preserve">[TIMEFRAME, E.G., 48-72 HOURS]</w:t>
      </w:r>
      <w:r>
        <w:rPr>
          <w:rFonts w:ascii="Calibri" w:cs="Calibri" w:eastAsia="Calibri" w:hAnsi="Calibri"/>
          <w:b w:val="false"/>
          <w:bCs w:val="false"/>
          <w:i w:val="false"/>
          <w:iCs w:val="false"/>
          <w:color w:val="000000"/>
          <w:sz w:val="22"/>
          <w:szCs w:val="22"/>
        </w:rPr>
        <w:t xml:space="preserve"> of discovery)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Obtain insurer consent before engaging forensic investigators, outside counsel, notification vendors, or other covered service providers, as required by the policy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with the insurer's panel vendors, including approved forensic firms, breach-notification vendors, and crisis-communications firms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Track all insurer communications, reservations of rights, and coverage determinations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Submit documentation required for claim processing, including invoices, evidence summaries, and loss calculations</w:t>
      </w:r>
    </w:p>
    <w:p>
      <w:pPr>
        <w:pStyle w:val="Heading2"/>
        <w:keepNext/>
        <w:spacing w:after="120" w:before="240"/>
      </w:pPr>
      <w:r>
        <w:rPr>
          <w:rFonts w:ascii="Calibri" w:cs="Calibri" w:eastAsia="Calibri" w:hAnsi="Calibri"/>
          <w:b/>
          <w:bCs/>
          <w:color w:val="1F3864"/>
          <w:sz w:val="26"/>
          <w:szCs w:val="26"/>
        </w:rPr>
        <w:t xml:space="preserve">3.11  Executive Leadership and Board</w:t>
      </w:r>
    </w:p>
    <w:p>
      <w:pPr>
        <w:spacing w:after="120" w:line="276"/>
      </w:pPr>
      <w:r>
        <w:rPr>
          <w:rFonts w:ascii="Calibri" w:cs="Calibri" w:eastAsia="Calibri" w:hAnsi="Calibri"/>
          <w:b w:val="false"/>
          <w:bCs w:val="false"/>
          <w:i w:val="false"/>
          <w:iCs w:val="false"/>
          <w:color w:val="000000"/>
          <w:sz w:val="22"/>
          <w:szCs w:val="22"/>
        </w:rPr>
        <w:t xml:space="preserve">Executive Leadership (C-suite) and the Board of Directors (or designated Board committee, e.g., Audit Committee) provide strategic oversight and decision-making authority for significant Incidents. The primary executive contact is </w:t>
      </w:r>
      <w:r>
        <w:rPr>
          <w:rFonts w:ascii="Calibri" w:cs="Calibri" w:eastAsia="Calibri" w:hAnsi="Calibri"/>
          <w:b/>
          <w:bCs/>
          <w:i w:val="false"/>
          <w:iCs w:val="false"/>
          <w:color w:val="000000"/>
          <w:sz w:val="22"/>
          <w:szCs w:val="22"/>
        </w:rPr>
        <w:t xml:space="preserve">[CEO/COO NAME]</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Receive status briefings from the Incident Commander at the cadence established for the Incident's Severity level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Approve major strategic decisions, including public disclosures, regulatory submissions, business-continuity actions, and significant expenditures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Provide direction on enterprise risk tolerance, customer-relationship considerations, and reputational strategy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Authorize engagement of the Board and, if applicable, Board committee notification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Approve ransomware payment decisions (see Section 12) and other high-stakes response actions</w:t>
      </w:r>
    </w:p>
    <w:p>
      <w:pPr>
        <w:pStyle w:val="Heading2"/>
        <w:keepNext/>
        <w:spacing w:after="120" w:before="240"/>
      </w:pPr>
      <w:r>
        <w:rPr>
          <w:rFonts w:ascii="Calibri" w:cs="Calibri" w:eastAsia="Calibri" w:hAnsi="Calibri"/>
          <w:b/>
          <w:bCs/>
          <w:color w:val="1F3864"/>
          <w:sz w:val="26"/>
          <w:szCs w:val="26"/>
        </w:rPr>
        <w:t xml:space="preserve">3.12  Outside Forensic Investigators</w:t>
      </w:r>
    </w:p>
    <w:p>
      <w:pPr>
        <w:spacing w:after="120" w:line="276"/>
      </w:pPr>
      <w:r>
        <w:rPr>
          <w:rFonts w:ascii="Calibri" w:cs="Calibri" w:eastAsia="Calibri" w:hAnsi="Calibri"/>
          <w:b w:val="false"/>
          <w:bCs w:val="false"/>
          <w:i w:val="false"/>
          <w:iCs w:val="false"/>
          <w:color w:val="000000"/>
          <w:sz w:val="22"/>
          <w:szCs w:val="22"/>
        </w:rPr>
        <w:t xml:space="preserve">Outside forensic investigators are engaged when the Incident requires specialized technical analysis, independent evidence collection, or credibility with regulators and insurers. The Company's pre-approved forensic firms are </w:t>
      </w:r>
      <w:r>
        <w:rPr>
          <w:rFonts w:ascii="Calibri" w:cs="Calibri" w:eastAsia="Calibri" w:hAnsi="Calibri"/>
          <w:b/>
          <w:bCs/>
          <w:i w:val="false"/>
          <w:iCs w:val="false"/>
          <w:color w:val="000000"/>
          <w:sz w:val="22"/>
          <w:szCs w:val="22"/>
        </w:rPr>
        <w:t xml:space="preserve">[FIRM NAME(S) AND PRIMARY CONTACT(S)]</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Perform independent technical investigation under the direction of Legal Counsel to preserve privilege (see Section 4)</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Collect, preserve, and analyze digital evidence using forensically sound methodologies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Provide expert reports and testimony, if required, for regulatory proceedings, litigation, or insurance claims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Engagement must be coordinated with the Insurance Liaison (Section 3.10) to ensure compliance with panel-vendor requirements under the cyber insurance policy</w:t>
      </w:r>
    </w:p>
    <w:p>
      <w:r>
        <w:br w:type="page"/>
      </w:r>
    </w:p>
    <w:p>
      <w:pPr>
        <w:pStyle w:val="Heading1"/>
        <w:keepNext/>
        <w:spacing w:after="200" w:before="360"/>
      </w:pPr>
      <w:r>
        <w:rPr>
          <w:rFonts w:ascii="Calibri" w:cs="Calibri" w:eastAsia="Calibri" w:hAnsi="Calibri"/>
          <w:b/>
          <w:bCs/>
          <w:color w:val="1F3864"/>
          <w:sz w:val="32"/>
          <w:szCs w:val="32"/>
        </w:rPr>
        <w:t xml:space="preserve">4.  PRIVILEGE PROTOCOL</w:t>
      </w:r>
    </w:p>
    <w:p>
      <w:pPr>
        <w:spacing w:after="120" w:line="276"/>
      </w:pPr>
      <w:r>
        <w:rPr>
          <w:rFonts w:ascii="Calibri" w:cs="Calibri" w:eastAsia="Calibri" w:hAnsi="Calibri"/>
          <w:b w:val="false"/>
          <w:bCs w:val="false"/>
          <w:i w:val="false"/>
          <w:iCs w:val="false"/>
          <w:color w:val="000000"/>
          <w:sz w:val="22"/>
          <w:szCs w:val="22"/>
        </w:rPr>
        <w:t xml:space="preserve">Maintaining attorney-client privilege and work-product protection over certain aspects of the Incident investigation is essential to the Company's ability to obtain candid legal advice, prepare for potential litigation or regulatory proceedings, and protect sensitive investigative findings from compelled disclosure. This Section establishes the protocols for preserving privilege throughout the Incident response lifecycle.</w:t>
      </w:r>
    </w:p>
    <w:p>
      <w:pPr>
        <w:pStyle w:val="Heading2"/>
        <w:keepNext/>
        <w:spacing w:after="120" w:before="240"/>
      </w:pPr>
      <w:r>
        <w:rPr>
          <w:rFonts w:ascii="Calibri" w:cs="Calibri" w:eastAsia="Calibri" w:hAnsi="Calibri"/>
          <w:b/>
          <w:bCs/>
          <w:color w:val="1F3864"/>
          <w:sz w:val="26"/>
          <w:szCs w:val="26"/>
        </w:rPr>
        <w:t xml:space="preserve">4.1  Counsel Direction of Privileged Investigation</w:t>
      </w:r>
    </w:p>
    <w:p>
      <w:pPr>
        <w:spacing w:after="120" w:line="276"/>
      </w:pPr>
      <w:r>
        <w:rPr>
          <w:rFonts w:ascii="Calibri" w:cs="Calibri" w:eastAsia="Calibri" w:hAnsi="Calibri"/>
          <w:b w:val="false"/>
          <w:bCs w:val="false"/>
          <w:i w:val="false"/>
          <w:iCs w:val="false"/>
          <w:color w:val="000000"/>
          <w:sz w:val="22"/>
          <w:szCs w:val="22"/>
        </w:rPr>
        <w:t xml:space="preserve">When Legal Counsel determines that privilege protection is warranted, the following protocols apply: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Outside counsel will retain and direct outside forensic investigators. The engagement letter will specify that the forensic firm is engaged as a consultant to counsel for the purpose of providing legal advice to the Company.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All privileged communications — including emails, memoranda, reports, and verbal discussions — will be clearly marked "PRIVILEGED AND CONFIDENTIAL — ATTORNEY-CLIENT COMMUNICATION" or "ATTORNEY WORK PRODUCT."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Incident Commander will maintain separate communication channels for privileged and non-privileged discussions. Privileged discussions should occur in dedicated channels (e.g., a separate Slack channel, email thread, or meeting series) accessible only to Legal Counsel, the Incident Commander, and individuals specifically designated by Legal Counsel.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Outside forensic investigators will prepare two categories of deliverables: (a) a privileged analysis prepared at the direction of counsel, marked as privileged and confidential, and delivered to counsel; and (b) factual, operational reports containing technical findings necessary for remediation, delivered to the Security/IT Team.</w:t>
      </w:r>
    </w:p>
    <w:p>
      <w:pPr>
        <w:pStyle w:val="Heading2"/>
        <w:keepNext/>
        <w:spacing w:after="120" w:before="240"/>
      </w:pPr>
      <w:r>
        <w:rPr>
          <w:rFonts w:ascii="Calibri" w:cs="Calibri" w:eastAsia="Calibri" w:hAnsi="Calibri"/>
          <w:b/>
          <w:bCs/>
          <w:color w:val="1F3864"/>
          <w:sz w:val="26"/>
          <w:szCs w:val="26"/>
        </w:rPr>
        <w:t xml:space="preserve">4.2  Separation of Privileged Analysis from Operational Facts</w:t>
      </w:r>
    </w:p>
    <w:p>
      <w:pPr>
        <w:spacing w:after="120" w:line="276"/>
      </w:pPr>
      <w:r>
        <w:rPr>
          <w:rFonts w:ascii="Calibri" w:cs="Calibri" w:eastAsia="Calibri" w:hAnsi="Calibri"/>
          <w:b w:val="false"/>
          <w:bCs w:val="false"/>
          <w:i w:val="false"/>
          <w:iCs w:val="false"/>
          <w:color w:val="000000"/>
          <w:sz w:val="22"/>
          <w:szCs w:val="22"/>
        </w:rPr>
        <w:t xml:space="preserve">It is critical to separate the privileged legal analysis from the operational facts needed for containment, eradication, and recovery. The Incident Commander and Legal Counsel must ensure: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Operational facts (e.g., indicators of compromise, affected systems, malware samples, network logs) are documented in the Authoritative Timeline (Section 6) and shared with the IRT without privilege markings.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Legal analysis, risk assessments, breach-notification determinations, litigation-risk evaluations, and strategic legal recommendations are documented separately and marked as privileged.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IRT members do not include legal conclusions, breach-determination opinions, or litigation-risk commentary in operational documents, emails, Slack messages, or incident tickets.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Privileged documents are stored in a designated secure repository with access restricted to Legal Counsel and authorized individuals: </w:t>
      </w:r>
      <w:r>
        <w:rPr>
          <w:rFonts w:ascii="Calibri" w:cs="Calibri" w:eastAsia="Calibri" w:hAnsi="Calibri"/>
          <w:b/>
          <w:bCs/>
          <w:i w:val="false"/>
          <w:iCs w:val="false"/>
          <w:color w:val="000000"/>
          <w:sz w:val="22"/>
          <w:szCs w:val="22"/>
        </w:rPr>
        <w:t xml:space="preserve">[DESCRIBE REPOSITORY, E.G., SPECIFIC SHAREPOINT SITE, MATTER FOLDER IN DOCUMENT MANAGEMENT SYSTEM]</w:t>
      </w:r>
      <w:r>
        <w:rPr>
          <w:rFonts w:ascii="Calibri" w:cs="Calibri" w:eastAsia="Calibri" w:hAnsi="Calibri"/>
          <w:b w:val="false"/>
          <w:bCs w:val="false"/>
          <w:i w:val="false"/>
          <w:iCs w:val="false"/>
          <w:color w:val="000000"/>
          <w:sz w:val="22"/>
          <w:szCs w:val="22"/>
        </w:rPr>
        <w:t xml:space="preserve">.</w:t>
      </w:r>
    </w:p>
    <w:p>
      <w:pPr>
        <w:pStyle w:val="Heading2"/>
        <w:keepNext/>
        <w:spacing w:after="120" w:before="240"/>
      </w:pPr>
      <w:r>
        <w:rPr>
          <w:rFonts w:ascii="Calibri" w:cs="Calibri" w:eastAsia="Calibri" w:hAnsi="Calibri"/>
          <w:b/>
          <w:bCs/>
          <w:color w:val="1F3864"/>
          <w:sz w:val="26"/>
          <w:szCs w:val="26"/>
        </w:rPr>
        <w:t xml:space="preserve">4.3  Third-Party Communications and Waiver Risk</w:t>
      </w:r>
    </w:p>
    <w:p>
      <w:pPr>
        <w:spacing w:after="120" w:line="276"/>
      </w:pPr>
      <w:r>
        <w:rPr>
          <w:rFonts w:ascii="Calibri" w:cs="Calibri" w:eastAsia="Calibri" w:hAnsi="Calibri"/>
          <w:b w:val="false"/>
          <w:bCs w:val="false"/>
          <w:i w:val="false"/>
          <w:iCs w:val="false"/>
          <w:color w:val="000000"/>
          <w:sz w:val="22"/>
          <w:szCs w:val="22"/>
        </w:rPr>
        <w:t xml:space="preserve">Sharing privileged materials with third parties may waive privilege. Before disclosing any privileged materials to insurers, regulators, vendors, or other third parties, Legal Counsel must evaluate waiver risk and, where necessary, establish common-interest agreements, non-disclosure agreements, or other protective measures. Regulatory submissions, insurer notifications, and law-enforcement disclosures must be reviewed by Legal Counsel to ensure that only non-privileged, factual information is included.</w:t>
      </w:r>
    </w:p>
    <w:p>
      <w:pPr>
        <w:spacing w:after="120" w:line="276"/>
      </w:pPr>
      <w:r>
        <w:rPr>
          <w:rFonts w:ascii="Calibri" w:cs="Calibri" w:eastAsia="Calibri" w:hAnsi="Calibri"/>
          <w:b w:val="false"/>
          <w:bCs w:val="false"/>
          <w:i w:val="false"/>
          <w:iCs w:val="false"/>
          <w:color w:val="000000"/>
          <w:sz w:val="22"/>
          <w:szCs w:val="22"/>
        </w:rPr>
        <w:t xml:space="preserve">All IRT members will receive periodic training on privilege protocols, including guidance on proper marking of communications, avoidance of inadvertent disclosures, and escalation procedures for privilege-related questions. Training records will be maintained by </w:t>
      </w:r>
      <w:r>
        <w:rPr>
          <w:rFonts w:ascii="Calibri" w:cs="Calibri" w:eastAsia="Calibri" w:hAnsi="Calibri"/>
          <w:b/>
          <w:bCs/>
          <w:i w:val="false"/>
          <w:iCs w:val="false"/>
          <w:color w:val="000000"/>
          <w:sz w:val="22"/>
          <w:szCs w:val="22"/>
        </w:rPr>
        <w:t xml:space="preserve">[HR/LEGAL/SECURITY TEAM]</w:t>
      </w:r>
      <w:r>
        <w:rPr>
          <w:rFonts w:ascii="Calibri" w:cs="Calibri" w:eastAsia="Calibri" w:hAnsi="Calibri"/>
          <w:b w:val="false"/>
          <w:bCs w:val="false"/>
          <w:i w:val="false"/>
          <w:iCs w:val="false"/>
          <w:color w:val="000000"/>
          <w:sz w:val="22"/>
          <w:szCs w:val="22"/>
        </w:rPr>
        <w:t xml:space="preserve">.</w:t>
      </w:r>
    </w:p>
    <w:p>
      <w:r>
        <w:br w:type="page"/>
      </w:r>
    </w:p>
    <w:p>
      <w:pPr>
        <w:pStyle w:val="Heading1"/>
        <w:keepNext/>
        <w:spacing w:after="200" w:before="360"/>
      </w:pPr>
      <w:r>
        <w:rPr>
          <w:rFonts w:ascii="Calibri" w:cs="Calibri" w:eastAsia="Calibri" w:hAnsi="Calibri"/>
          <w:b/>
          <w:bCs/>
          <w:color w:val="1F3864"/>
          <w:sz w:val="32"/>
          <w:szCs w:val="32"/>
        </w:rPr>
        <w:t xml:space="preserve">5.  INTAKE AND SEVERITY CLASSIFICATION</w:t>
      </w:r>
    </w:p>
    <w:p>
      <w:pPr>
        <w:pStyle w:val="Heading2"/>
        <w:keepNext/>
        <w:spacing w:after="120" w:before="240"/>
      </w:pPr>
      <w:r>
        <w:rPr>
          <w:rFonts w:ascii="Calibri" w:cs="Calibri" w:eastAsia="Calibri" w:hAnsi="Calibri"/>
          <w:b/>
          <w:bCs/>
          <w:color w:val="1F3864"/>
          <w:sz w:val="26"/>
          <w:szCs w:val="26"/>
        </w:rPr>
        <w:t xml:space="preserve">5.1  Initial Intake Information</w:t>
      </w:r>
    </w:p>
    <w:p>
      <w:pPr>
        <w:spacing w:after="120" w:line="276"/>
      </w:pPr>
      <w:r>
        <w:rPr>
          <w:rFonts w:ascii="Calibri" w:cs="Calibri" w:eastAsia="Calibri" w:hAnsi="Calibri"/>
          <w:b w:val="false"/>
          <w:bCs w:val="false"/>
          <w:i w:val="false"/>
          <w:iCs w:val="false"/>
          <w:color w:val="000000"/>
          <w:sz w:val="22"/>
          <w:szCs w:val="22"/>
        </w:rPr>
        <w:t xml:space="preserve">Upon receiving a report of a Security Event, the receiving party (SOC analyst, on-call security engineer, or Incident Commander) will immediately capture the following information using the Intake Form (Exhibit C). Incomplete information must not delay initial triage or Plan activation.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Reporter: Full name, title, department, and contact information (phone and email) of the person reporting the event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and Time of Report: The exact date and time the report was received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and Time of Detection: The date and time the reporter first observed or became aware of the event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Method of Detection: How the event was detected (e.g., SIEM alert, endpoint detection, user observation, third-party notification, customer complaint, vulnerability scan, penetration test, dark-web monitoring)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Systems and Applications Affected: Identification of all systems, servers, endpoints, applications, databases, cloud instances, and network segments known or suspected to be involved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Accounts and Credentials: User accounts, service accounts, API keys, access tokens, certificates, or other credentials known or suspected to be compromised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Data Involved: Categories and estimated volume of data affected (e.g., customer PII, employee HR records, financial data, intellectual property, source code, health information, payment card data)</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People Affected: Estimated number and categories of individuals whose data may be affected (e.g., customers, employees, contractors, business partners, minors)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Locations: Physical locations, data centers, cloud regions, or jurisdictions involved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Initial Description: A narrative description of the event, including observed indicators, error messages, anomalous behavior, or other relevant details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Actions Taken: Any actions already taken by the reporter or others (e.g., isolated a device, changed passwords, contacted a vendor)</w:t>
      </w:r>
    </w:p>
    <w:p>
      <w:pPr>
        <w:pStyle w:val="Heading2"/>
        <w:keepNext/>
        <w:spacing w:after="120" w:before="240"/>
      </w:pPr>
      <w:r>
        <w:rPr>
          <w:rFonts w:ascii="Calibri" w:cs="Calibri" w:eastAsia="Calibri" w:hAnsi="Calibri"/>
          <w:b/>
          <w:bCs/>
          <w:color w:val="1F3864"/>
          <w:sz w:val="26"/>
          <w:szCs w:val="26"/>
        </w:rPr>
        <w:t xml:space="preserve">5.2  Severity Classification</w:t>
      </w:r>
    </w:p>
    <w:p>
      <w:pPr>
        <w:spacing w:after="120" w:line="276"/>
      </w:pPr>
      <w:r>
        <w:rPr>
          <w:rFonts w:ascii="Calibri" w:cs="Calibri" w:eastAsia="Calibri" w:hAnsi="Calibri"/>
          <w:b w:val="false"/>
          <w:bCs w:val="false"/>
          <w:i w:val="false"/>
          <w:iCs w:val="false"/>
          <w:color w:val="000000"/>
          <w:sz w:val="22"/>
          <w:szCs w:val="22"/>
        </w:rPr>
        <w:t xml:space="preserve">The Incident Commander will assign an initial Severity classification within </w:t>
      </w:r>
      <w:r>
        <w:rPr>
          <w:rFonts w:ascii="Calibri" w:cs="Calibri" w:eastAsia="Calibri" w:hAnsi="Calibri"/>
          <w:b/>
          <w:bCs/>
          <w:i w:val="false"/>
          <w:iCs w:val="false"/>
          <w:color w:val="000000"/>
          <w:sz w:val="22"/>
          <w:szCs w:val="22"/>
        </w:rPr>
        <w:t xml:space="preserve">[TIME PERIOD, E.G., ONE HOUR]</w:t>
      </w:r>
      <w:r>
        <w:rPr>
          <w:rFonts w:ascii="Calibri" w:cs="Calibri" w:eastAsia="Calibri" w:hAnsi="Calibri"/>
          <w:b w:val="false"/>
          <w:bCs w:val="false"/>
          <w:i w:val="false"/>
          <w:iCs w:val="false"/>
          <w:color w:val="000000"/>
          <w:sz w:val="22"/>
          <w:szCs w:val="22"/>
        </w:rPr>
        <w:t xml:space="preserve"> of Plan activation, based on the information available at the time. The Severity classification may be upgraded or downgraded as additional facts emerge. The following matrix provides guidance for Severity assignment:</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900"/>
        <w:gridCol w:w="3560"/>
        <w:gridCol w:w="1600"/>
        <w:gridCol w:w="2700"/>
      </w:tblGrid>
      <w:tr>
        <w:trPr>
          <w:tblHeader/>
        </w:trPr>
        <w:tc>
          <w:tcPr>
            <w:tcW w:type="dxa" w:w="600"/>
            <w:shd w:fill="1F3864" w:color="auto" w:val="clear"/>
          </w:tcPr>
          <w:p>
            <w:pPr>
              <w:spacing w:after="60" w:before="60"/>
            </w:pPr>
            <w:r>
              <w:rPr>
                <w:rFonts w:ascii="Calibri" w:cs="Calibri" w:eastAsia="Calibri" w:hAnsi="Calibri"/>
                <w:b/>
                <w:bCs/>
                <w:color w:val="FFFFFF"/>
                <w:sz w:val="20"/>
                <w:szCs w:val="20"/>
              </w:rPr>
              <w:t xml:space="preserve">Severity</w:t>
            </w:r>
          </w:p>
        </w:tc>
        <w:tc>
          <w:tcPr>
            <w:tcW w:type="dxa" w:w="900"/>
            <w:shd w:fill="1F3864" w:color="auto" w:val="clear"/>
          </w:tcPr>
          <w:p>
            <w:pPr>
              <w:spacing w:after="60" w:before="60"/>
            </w:pPr>
            <w:r>
              <w:rPr>
                <w:rFonts w:ascii="Calibri" w:cs="Calibri" w:eastAsia="Calibri" w:hAnsi="Calibri"/>
                <w:b/>
                <w:bCs/>
                <w:color w:val="FFFFFF"/>
                <w:sz w:val="20"/>
                <w:szCs w:val="20"/>
              </w:rPr>
              <w:t xml:space="preserve">Label</w:t>
            </w:r>
          </w:p>
        </w:tc>
        <w:tc>
          <w:tcPr>
            <w:tcW w:type="dxa" w:w="3560"/>
            <w:shd w:fill="1F3864" w:color="auto" w:val="clear"/>
          </w:tcPr>
          <w:p>
            <w:pPr>
              <w:spacing w:after="60" w:before="60"/>
            </w:pPr>
            <w:r>
              <w:rPr>
                <w:rFonts w:ascii="Calibri" w:cs="Calibri" w:eastAsia="Calibri" w:hAnsi="Calibri"/>
                <w:b/>
                <w:bCs/>
                <w:color w:val="FFFFFF"/>
                <w:sz w:val="20"/>
                <w:szCs w:val="20"/>
              </w:rPr>
              <w:t xml:space="preserve">Description</w:t>
            </w:r>
          </w:p>
        </w:tc>
        <w:tc>
          <w:tcPr>
            <w:tcW w:type="dxa" w:w="1600"/>
            <w:shd w:fill="1F3864" w:color="auto" w:val="clear"/>
          </w:tcPr>
          <w:p>
            <w:pPr>
              <w:spacing w:after="60" w:before="60"/>
            </w:pPr>
            <w:r>
              <w:rPr>
                <w:rFonts w:ascii="Calibri" w:cs="Calibri" w:eastAsia="Calibri" w:hAnsi="Calibri"/>
                <w:b/>
                <w:bCs/>
                <w:color w:val="FFFFFF"/>
                <w:sz w:val="20"/>
                <w:szCs w:val="20"/>
              </w:rPr>
              <w:t xml:space="preserve">Response Time</w:t>
            </w:r>
          </w:p>
        </w:tc>
        <w:tc>
          <w:tcPr>
            <w:tcW w:type="dxa" w:w="2700"/>
            <w:shd w:fill="1F3864" w:color="auto" w:val="clear"/>
          </w:tcPr>
          <w:p>
            <w:pPr>
              <w:spacing w:after="60" w:before="60"/>
            </w:pPr>
            <w:r>
              <w:rPr>
                <w:rFonts w:ascii="Calibri" w:cs="Calibri" w:eastAsia="Calibri" w:hAnsi="Calibri"/>
                <w:b/>
                <w:bCs/>
                <w:color w:val="FFFFFF"/>
                <w:sz w:val="20"/>
                <w:szCs w:val="20"/>
              </w:rPr>
              <w:t xml:space="preserve">Escalation</w:t>
            </w:r>
          </w:p>
        </w:tc>
      </w:tr>
      <w:tr>
        <w:tc>
          <w:tcPr>
            <w:tcW w:type="dxa" w:w="600"/>
          </w:tcPr>
          <w:p>
            <w:pPr>
              <w:spacing w:after="30" w:before="30"/>
            </w:pPr>
            <w:r>
              <w:rPr>
                <w:rFonts w:ascii="Calibri" w:cs="Calibri" w:eastAsia="Calibri" w:hAnsi="Calibri"/>
                <w:b w:val="false"/>
                <w:bCs w:val="false"/>
                <w:i w:val="false"/>
                <w:iCs w:val="false"/>
                <w:color w:val="000000"/>
                <w:sz w:val="20"/>
                <w:szCs w:val="20"/>
              </w:rPr>
              <w:t xml:space="preserve">1</w:t>
            </w:r>
          </w:p>
        </w:tc>
        <w:tc>
          <w:tcPr>
            <w:tcW w:type="dxa" w:w="900"/>
          </w:tcPr>
          <w:p>
            <w:pPr>
              <w:spacing w:after="30" w:before="30"/>
            </w:pPr>
            <w:r>
              <w:rPr>
                <w:rFonts w:ascii="Calibri" w:cs="Calibri" w:eastAsia="Calibri" w:hAnsi="Calibri"/>
                <w:b w:val="false"/>
                <w:bCs w:val="false"/>
                <w:i w:val="false"/>
                <w:iCs w:val="false"/>
                <w:color w:val="000000"/>
                <w:sz w:val="20"/>
                <w:szCs w:val="20"/>
              </w:rPr>
              <w:t xml:space="preserve">Critical</w:t>
            </w:r>
          </w:p>
        </w:tc>
        <w:tc>
          <w:tcPr>
            <w:tcW w:type="dxa" w:w="3560"/>
          </w:tcPr>
          <w:p>
            <w:pPr>
              <w:spacing w:after="30" w:before="30"/>
            </w:pPr>
            <w:r>
              <w:rPr>
                <w:rFonts w:ascii="Calibri" w:cs="Calibri" w:eastAsia="Calibri" w:hAnsi="Calibri"/>
                <w:b w:val="false"/>
                <w:bCs w:val="false"/>
                <w:i w:val="false"/>
                <w:iCs w:val="false"/>
                <w:color w:val="000000"/>
                <w:sz w:val="20"/>
                <w:szCs w:val="20"/>
              </w:rPr>
              <w:t xml:space="preserve">Confirmed compromise of Critical Services, mass exfiltration of Personal Data, active ransomware encryption, or threat to life safety. Material legal, financial, or reputational impact is certain or highly probable.</w:t>
            </w:r>
          </w:p>
        </w:tc>
        <w:tc>
          <w:tcPr>
            <w:tcW w:type="dxa" w:w="1600"/>
          </w:tcPr>
          <w:p>
            <w:pPr>
              <w:spacing w:after="30" w:before="30"/>
            </w:pPr>
            <w:r>
              <w:rPr>
                <w:rFonts w:ascii="Calibri" w:cs="Calibri" w:eastAsia="Calibri" w:hAnsi="Calibri"/>
                <w:b w:val="false"/>
                <w:bCs w:val="false"/>
                <w:i w:val="false"/>
                <w:iCs w:val="false"/>
                <w:color w:val="000000"/>
                <w:sz w:val="20"/>
                <w:szCs w:val="20"/>
              </w:rPr>
              <w:t xml:space="preserve">Immediate (within 15 minutes)</w:t>
            </w:r>
          </w:p>
        </w:tc>
        <w:tc>
          <w:tcPr>
            <w:tcW w:type="dxa" w:w="2700"/>
          </w:tcPr>
          <w:p>
            <w:pPr>
              <w:spacing w:after="30" w:before="30"/>
            </w:pPr>
            <w:r>
              <w:rPr>
                <w:rFonts w:ascii="Calibri" w:cs="Calibri" w:eastAsia="Calibri" w:hAnsi="Calibri"/>
                <w:b w:val="false"/>
                <w:bCs w:val="false"/>
                <w:i w:val="false"/>
                <w:iCs w:val="false"/>
                <w:color w:val="000000"/>
                <w:sz w:val="20"/>
                <w:szCs w:val="20"/>
              </w:rPr>
              <w:t xml:space="preserve">CEO, Board, Legal, Insurance, outside counsel, outside forensics — all notified immediately</w:t>
            </w:r>
          </w:p>
        </w:tc>
      </w:tr>
      <w:tr>
        <w:tc>
          <w:tcPr>
            <w:tcW w:type="dxa" w:w="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2</w:t>
            </w:r>
          </w:p>
        </w:tc>
        <w:tc>
          <w:tcPr>
            <w:tcW w:type="dxa" w:w="9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High</w:t>
            </w:r>
          </w:p>
        </w:tc>
        <w:tc>
          <w:tcPr>
            <w:tcW w:type="dxa" w:w="35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Confirmed compromise of non-critical production systems, targeted exfiltration of sensitive data, active unauthorized access by a sophisticated threat actor, or confirmed insider threat. Material impact is probable.</w:t>
            </w:r>
          </w:p>
        </w:tc>
        <w:tc>
          <w:tcPr>
            <w:tcW w:type="dxa" w:w="1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Within 1 hour</w:t>
            </w:r>
          </w:p>
        </w:tc>
        <w:tc>
          <w:tcPr>
            <w:tcW w:type="dxa" w:w="2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CISO, General Counsel, Executive Leadership — notified within 1 hour</w:t>
            </w:r>
          </w:p>
        </w:tc>
      </w:tr>
      <w:tr>
        <w:tc>
          <w:tcPr>
            <w:tcW w:type="dxa" w:w="600"/>
          </w:tcPr>
          <w:p>
            <w:pPr>
              <w:spacing w:after="30" w:before="30"/>
            </w:pPr>
            <w:r>
              <w:rPr>
                <w:rFonts w:ascii="Calibri" w:cs="Calibri" w:eastAsia="Calibri" w:hAnsi="Calibri"/>
                <w:b w:val="false"/>
                <w:bCs w:val="false"/>
                <w:i w:val="false"/>
                <w:iCs w:val="false"/>
                <w:color w:val="000000"/>
                <w:sz w:val="20"/>
                <w:szCs w:val="20"/>
              </w:rPr>
              <w:t xml:space="preserve">3</w:t>
            </w:r>
          </w:p>
        </w:tc>
        <w:tc>
          <w:tcPr>
            <w:tcW w:type="dxa" w:w="900"/>
          </w:tcPr>
          <w:p>
            <w:pPr>
              <w:spacing w:after="30" w:before="30"/>
            </w:pPr>
            <w:r>
              <w:rPr>
                <w:rFonts w:ascii="Calibri" w:cs="Calibri" w:eastAsia="Calibri" w:hAnsi="Calibri"/>
                <w:b w:val="false"/>
                <w:bCs w:val="false"/>
                <w:i w:val="false"/>
                <w:iCs w:val="false"/>
                <w:color w:val="000000"/>
                <w:sz w:val="20"/>
                <w:szCs w:val="20"/>
              </w:rPr>
              <w:t xml:space="preserve">Medium</w:t>
            </w:r>
          </w:p>
        </w:tc>
        <w:tc>
          <w:tcPr>
            <w:tcW w:type="dxa" w:w="3560"/>
          </w:tcPr>
          <w:p>
            <w:pPr>
              <w:spacing w:after="30" w:before="30"/>
            </w:pPr>
            <w:r>
              <w:rPr>
                <w:rFonts w:ascii="Calibri" w:cs="Calibri" w:eastAsia="Calibri" w:hAnsi="Calibri"/>
                <w:b w:val="false"/>
                <w:bCs w:val="false"/>
                <w:i w:val="false"/>
                <w:iCs w:val="false"/>
                <w:color w:val="000000"/>
                <w:sz w:val="20"/>
                <w:szCs w:val="20"/>
              </w:rPr>
              <w:t xml:space="preserve">Suspected or contained compromise of non-critical systems, limited data exposure, successful phishing against a single user without lateral movement, or vulnerability exploitation with no confirmed data access.</w:t>
            </w:r>
          </w:p>
        </w:tc>
        <w:tc>
          <w:tcPr>
            <w:tcW w:type="dxa" w:w="1600"/>
          </w:tcPr>
          <w:p>
            <w:pPr>
              <w:spacing w:after="30" w:before="30"/>
            </w:pPr>
            <w:r>
              <w:rPr>
                <w:rFonts w:ascii="Calibri" w:cs="Calibri" w:eastAsia="Calibri" w:hAnsi="Calibri"/>
                <w:b w:val="false"/>
                <w:bCs w:val="false"/>
                <w:i w:val="false"/>
                <w:iCs w:val="false"/>
                <w:color w:val="000000"/>
                <w:sz w:val="20"/>
                <w:szCs w:val="20"/>
              </w:rPr>
              <w:t xml:space="preserve">Within 4 hours</w:t>
            </w:r>
          </w:p>
        </w:tc>
        <w:tc>
          <w:tcPr>
            <w:tcW w:type="dxa" w:w="2700"/>
          </w:tcPr>
          <w:p>
            <w:pPr>
              <w:spacing w:after="30" w:before="30"/>
            </w:pPr>
            <w:r>
              <w:rPr>
                <w:rFonts w:ascii="Calibri" w:cs="Calibri" w:eastAsia="Calibri" w:hAnsi="Calibri"/>
                <w:b w:val="false"/>
                <w:bCs w:val="false"/>
                <w:i w:val="false"/>
                <w:iCs w:val="false"/>
                <w:color w:val="000000"/>
                <w:sz w:val="20"/>
                <w:szCs w:val="20"/>
              </w:rPr>
              <w:t xml:space="preserve">Security/IT Team Lead, Legal — notified within 4 hours</w:t>
            </w:r>
          </w:p>
        </w:tc>
      </w:tr>
      <w:tr>
        <w:tc>
          <w:tcPr>
            <w:tcW w:type="dxa" w:w="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4</w:t>
            </w:r>
          </w:p>
        </w:tc>
        <w:tc>
          <w:tcPr>
            <w:tcW w:type="dxa" w:w="9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Informational</w:t>
            </w:r>
          </w:p>
        </w:tc>
        <w:tc>
          <w:tcPr>
            <w:tcW w:type="dxa" w:w="35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Security Event that is determined upon initial triage to present low risk and no confirmed compromise (e.g., blocked attack, failed login attempts, false-positive alert), but that warrants documentation and monitoring.</w:t>
            </w:r>
          </w:p>
        </w:tc>
        <w:tc>
          <w:tcPr>
            <w:tcW w:type="dxa" w:w="1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Within 24 hours</w:t>
            </w:r>
          </w:p>
        </w:tc>
        <w:tc>
          <w:tcPr>
            <w:tcW w:type="dxa" w:w="2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Documented in incident tracking system; no mandatory escalation</w:t>
            </w:r>
          </w:p>
        </w:tc>
      </w:tr>
    </w:tbl>
    <w:p>
      <w:pPr>
        <w:spacing w:after="200"/>
      </w:pPr>
    </w:p>
    <w:p>
      <w:pPr>
        <w:pStyle w:val="Heading2"/>
        <w:keepNext/>
        <w:spacing w:after="120" w:before="240"/>
      </w:pPr>
      <w:r>
        <w:rPr>
          <w:rFonts w:ascii="Calibri" w:cs="Calibri" w:eastAsia="Calibri" w:hAnsi="Calibri"/>
          <w:b/>
          <w:bCs/>
          <w:color w:val="1F3864"/>
          <w:sz w:val="26"/>
          <w:szCs w:val="26"/>
        </w:rPr>
        <w:t xml:space="preserve">5.3  Severity Scoring Factors</w:t>
      </w:r>
    </w:p>
    <w:p>
      <w:pPr>
        <w:spacing w:after="120" w:line="276"/>
      </w:pPr>
      <w:r>
        <w:rPr>
          <w:rFonts w:ascii="Calibri" w:cs="Calibri" w:eastAsia="Calibri" w:hAnsi="Calibri"/>
          <w:b w:val="false"/>
          <w:bCs w:val="false"/>
          <w:i w:val="false"/>
          <w:iCs w:val="false"/>
          <w:color w:val="000000"/>
          <w:sz w:val="22"/>
          <w:szCs w:val="22"/>
        </w:rPr>
        <w:t xml:space="preserve">In assigning or adjusting Severity, the Incident Commander should consider the following factors: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Nature and sensitivity of data involved (e.g., Social Security numbers, financial account numbers, and health information increase Severity)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Number of affected individuals and whether minors, vulnerable populations, or high-profile individuals are involved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affected systems are Critical Services as defined in Section 1.3</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threat actor has active, ongoing access or whether access has been terminated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Incident involves a known advanced persistent threat (APT) group, nation-state actor, or insider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Regulatory environment and applicable notification deadlines (shorter deadlines increase urgency)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Potential for cascading impact on business partners, vendors, or customers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Media exposure risk and current public attention to the Company or industry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Incident involves ransomware, extortion, or physical threats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Insurance policy requirements and carrier expectations regarding Severity-based reporting</w:t>
      </w:r>
    </w:p>
    <w:p>
      <w:r>
        <w:br w:type="page"/>
      </w:r>
    </w:p>
    <w:p>
      <w:pPr>
        <w:pStyle w:val="Heading1"/>
        <w:keepNext/>
        <w:spacing w:after="200" w:before="360"/>
      </w:pPr>
      <w:r>
        <w:rPr>
          <w:rFonts w:ascii="Calibri" w:cs="Calibri" w:eastAsia="Calibri" w:hAnsi="Calibri"/>
          <w:b/>
          <w:bCs/>
          <w:color w:val="1F3864"/>
          <w:sz w:val="32"/>
          <w:szCs w:val="32"/>
        </w:rPr>
        <w:t xml:space="preserve">6.  AUTHORITATIVE TIMELINE AND DECISION LOG</w:t>
      </w:r>
    </w:p>
    <w:p>
      <w:pPr>
        <w:pStyle w:val="Heading2"/>
        <w:keepNext/>
        <w:spacing w:after="120" w:before="240"/>
      </w:pPr>
      <w:r>
        <w:rPr>
          <w:rFonts w:ascii="Calibri" w:cs="Calibri" w:eastAsia="Calibri" w:hAnsi="Calibri"/>
          <w:b/>
          <w:bCs/>
          <w:color w:val="1F3864"/>
          <w:sz w:val="26"/>
          <w:szCs w:val="26"/>
        </w:rPr>
        <w:t xml:space="preserve">6.1  Purpose and Importance</w:t>
      </w:r>
    </w:p>
    <w:p>
      <w:pPr>
        <w:spacing w:after="120" w:line="276"/>
      </w:pPr>
      <w:r>
        <w:rPr>
          <w:rFonts w:ascii="Calibri" w:cs="Calibri" w:eastAsia="Calibri" w:hAnsi="Calibri"/>
          <w:b w:val="false"/>
          <w:bCs w:val="false"/>
          <w:i w:val="false"/>
          <w:iCs w:val="false"/>
          <w:color w:val="000000"/>
          <w:sz w:val="22"/>
          <w:szCs w:val="22"/>
        </w:rPr>
        <w:t xml:space="preserve">The Authoritative Timeline and Decision Log (the "Timeline") is the single, controlled record of all facts, observations, analysis, and decisions relating to the Incident. The Timeline serves as the foundation for regulatory notifications, insurance claims, litigation defense, board reporting, and post-incident review. Accuracy and completeness are paramount.</w:t>
      </w:r>
    </w:p>
    <w:p>
      <w:pPr>
        <w:spacing w:after="120" w:line="276"/>
      </w:pPr>
      <w:r>
        <w:rPr>
          <w:rFonts w:ascii="Calibri" w:cs="Calibri" w:eastAsia="Calibri" w:hAnsi="Calibri"/>
          <w:b w:val="false"/>
          <w:bCs w:val="false"/>
          <w:i w:val="false"/>
          <w:iCs w:val="false"/>
          <w:color w:val="000000"/>
          <w:sz w:val="22"/>
          <w:szCs w:val="22"/>
        </w:rPr>
        <w:t xml:space="preserve">The Timeline is maintained by the Incident Commander or a designated scribe (the "Timeline Keeper"). Only the Incident Commander may authorize changes to previously recorded entries. The Timeline Keeper is </w:t>
      </w:r>
      <w:r>
        <w:rPr>
          <w:rFonts w:ascii="Calibri" w:cs="Calibri" w:eastAsia="Calibri" w:hAnsi="Calibri"/>
          <w:b/>
          <w:bCs/>
          <w:i w:val="false"/>
          <w:iCs w:val="false"/>
          <w:color w:val="000000"/>
          <w:sz w:val="22"/>
          <w:szCs w:val="22"/>
        </w:rPr>
        <w:t xml:space="preserve">[NAME/TITLE OR "TO BE ASSIGNED AT ACTIVATION"]</w:t>
      </w:r>
      <w:r>
        <w:rPr>
          <w:rFonts w:ascii="Calibri" w:cs="Calibri" w:eastAsia="Calibri" w:hAnsi="Calibri"/>
          <w:b w:val="false"/>
          <w:bCs w:val="false"/>
          <w:i w:val="false"/>
          <w:iCs w:val="false"/>
          <w:color w:val="000000"/>
          <w:sz w:val="22"/>
          <w:szCs w:val="22"/>
        </w:rPr>
        <w:t xml:space="preserve">.</w:t>
      </w:r>
    </w:p>
    <w:p>
      <w:pPr>
        <w:pStyle w:val="Heading2"/>
        <w:keepNext/>
        <w:spacing w:after="120" w:before="240"/>
      </w:pPr>
      <w:r>
        <w:rPr>
          <w:rFonts w:ascii="Calibri" w:cs="Calibri" w:eastAsia="Calibri" w:hAnsi="Calibri"/>
          <w:b/>
          <w:bCs/>
          <w:color w:val="1F3864"/>
          <w:sz w:val="26"/>
          <w:szCs w:val="26"/>
        </w:rPr>
        <w:t xml:space="preserve">6.2  Entry Categories</w:t>
      </w:r>
    </w:p>
    <w:p>
      <w:pPr>
        <w:spacing w:after="120" w:line="276"/>
      </w:pPr>
      <w:r>
        <w:rPr>
          <w:rFonts w:ascii="Calibri" w:cs="Calibri" w:eastAsia="Calibri" w:hAnsi="Calibri"/>
          <w:b w:val="false"/>
          <w:bCs w:val="false"/>
          <w:i w:val="false"/>
          <w:iCs w:val="false"/>
          <w:color w:val="000000"/>
          <w:sz w:val="22"/>
          <w:szCs w:val="22"/>
        </w:rPr>
        <w:t xml:space="preserve">Every Timeline entry must be classified into one of the following categories to ensure that the Company and its advisors can distinguish between established facts, working hypotheses, open questions, and affirmative decisions: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Confirmed Fact: An observation, finding, or event that has been independently verified or corroborated through forensic evidence, system logs, eyewitness accounts, or other reliable means. Confirmed Facts form the evidentiary basis for breach determinations and regulatory notifications.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Inference: A reasonable conclusion drawn from available evidence that has not yet been independently verified. Inferences should identify the underlying evidence and the level of confidence (e.g., "High confidence based on log correlation" or "Preliminary assessment pending forensic confirmation").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Unknown: A question, gap, or area of uncertainty that has been identified but not yet resolved. Unknowns should be tracked as open action items with assigned owners and target resolution dates.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Decision: A deliberate choice made by the Incident Commander or another authorized decision-maker regarding response strategy, resource allocation, containment actions, communication, or any other material aspect of the response. Decisions must record the decision-maker, rationale, alternatives considered, and any dissenting views.</w:t>
      </w:r>
    </w:p>
    <w:p>
      <w:pPr>
        <w:pStyle w:val="Heading2"/>
        <w:keepNext/>
        <w:spacing w:after="120" w:before="240"/>
      </w:pPr>
      <w:r>
        <w:rPr>
          <w:rFonts w:ascii="Calibri" w:cs="Calibri" w:eastAsia="Calibri" w:hAnsi="Calibri"/>
          <w:b/>
          <w:bCs/>
          <w:color w:val="1F3864"/>
          <w:sz w:val="26"/>
          <w:szCs w:val="26"/>
        </w:rPr>
        <w:t xml:space="preserve">6.3  Timeline Format and Maintenance</w:t>
      </w:r>
    </w:p>
    <w:p>
      <w:pPr>
        <w:spacing w:after="120" w:line="276"/>
      </w:pPr>
      <w:r>
        <w:rPr>
          <w:rFonts w:ascii="Calibri" w:cs="Calibri" w:eastAsia="Calibri" w:hAnsi="Calibri"/>
          <w:b w:val="false"/>
          <w:bCs w:val="false"/>
          <w:i w:val="false"/>
          <w:iCs w:val="false"/>
          <w:color w:val="000000"/>
          <w:sz w:val="22"/>
          <w:szCs w:val="22"/>
        </w:rPr>
        <w:t xml:space="preserve">Each Timeline entry must include the following fields: (a) sequential entry number; (b) date and time (in UTC, or </w:t>
      </w:r>
      <w:r>
        <w:rPr>
          <w:rFonts w:ascii="Calibri" w:cs="Calibri" w:eastAsia="Calibri" w:hAnsi="Calibri"/>
          <w:b/>
          <w:bCs/>
          <w:i w:val="false"/>
          <w:iCs w:val="false"/>
          <w:color w:val="000000"/>
          <w:sz w:val="22"/>
          <w:szCs w:val="22"/>
        </w:rPr>
        <w:t xml:space="preserve">[COMPANY STANDARD TIMEZONE]</w:t>
      </w:r>
      <w:r>
        <w:rPr>
          <w:rFonts w:ascii="Calibri" w:cs="Calibri" w:eastAsia="Calibri" w:hAnsi="Calibri"/>
          <w:b w:val="false"/>
          <w:bCs w:val="false"/>
          <w:i w:val="false"/>
          <w:iCs w:val="false"/>
          <w:color w:val="000000"/>
          <w:sz w:val="22"/>
          <w:szCs w:val="22"/>
        </w:rPr>
        <w:t xml:space="preserve"> with UTC offset noted); (c) category (Confirmed Fact, Inference, Unknown, or Decision); (d) description; (e) source or basis (e.g., "SIEM alert ID 12345," "Forensic report from </w:t>
      </w:r>
      <w:r>
        <w:rPr>
          <w:rFonts w:ascii="Calibri" w:cs="Calibri" w:eastAsia="Calibri" w:hAnsi="Calibri"/>
          <w:b/>
          <w:bCs/>
          <w:i w:val="false"/>
          <w:iCs w:val="false"/>
          <w:color w:val="000000"/>
          <w:sz w:val="22"/>
          <w:szCs w:val="22"/>
        </w:rPr>
        <w:t xml:space="preserve">[FIRM]</w:t>
      </w:r>
      <w:r>
        <w:rPr>
          <w:rFonts w:ascii="Calibri" w:cs="Calibri" w:eastAsia="Calibri" w:hAnsi="Calibri"/>
          <w:b w:val="false"/>
          <w:bCs w:val="false"/>
          <w:i w:val="false"/>
          <w:iCs w:val="false"/>
          <w:color w:val="000000"/>
          <w:sz w:val="22"/>
          <w:szCs w:val="22"/>
        </w:rPr>
        <w:t xml:space="preserve">," "Incident Commander determination"); and (f) the name of the person who recorded the entry.</w:t>
      </w:r>
    </w:p>
    <w:p>
      <w:pPr>
        <w:spacing w:after="120" w:line="276"/>
      </w:pPr>
      <w:r>
        <w:rPr>
          <w:rFonts w:ascii="Calibri" w:cs="Calibri" w:eastAsia="Calibri" w:hAnsi="Calibri"/>
          <w:b w:val="false"/>
          <w:bCs w:val="false"/>
          <w:i w:val="false"/>
          <w:iCs w:val="false"/>
          <w:color w:val="000000"/>
          <w:sz w:val="22"/>
          <w:szCs w:val="22"/>
        </w:rPr>
        <w:t xml:space="preserve">The Timeline must be maintained in a secure, access-controlled repository. During an active Incident, the recommended tools for Timeline maintenance are </w:t>
      </w:r>
      <w:r>
        <w:rPr>
          <w:rFonts w:ascii="Calibri" w:cs="Calibri" w:eastAsia="Calibri" w:hAnsi="Calibri"/>
          <w:b/>
          <w:bCs/>
          <w:i w:val="false"/>
          <w:iCs w:val="false"/>
          <w:color w:val="000000"/>
          <w:sz w:val="22"/>
          <w:szCs w:val="22"/>
        </w:rPr>
        <w:t xml:space="preserve">[DESCRIBE TOOLS, E.G., DEDICATED CONFLUENCE PAGE, JIRA EPIC, GOOGLE SHEET WITH VERSION HISTORY, SECURE SHARED DOCUMENT]</w:t>
      </w:r>
      <w:r>
        <w:rPr>
          <w:rFonts w:ascii="Calibri" w:cs="Calibri" w:eastAsia="Calibri" w:hAnsi="Calibri"/>
          <w:b w:val="false"/>
          <w:bCs w:val="false"/>
          <w:i w:val="false"/>
          <w:iCs w:val="false"/>
          <w:color w:val="000000"/>
          <w:sz w:val="22"/>
          <w:szCs w:val="22"/>
        </w:rPr>
        <w:t xml:space="preserve">. The Exhibit C template provides a recommended Timeline format.</w:t>
      </w:r>
    </w:p>
    <w:p>
      <w:pPr>
        <w:spacing w:after="120" w:line="276"/>
      </w:pPr>
      <w:r>
        <w:rPr>
          <w:rFonts w:ascii="Calibri" w:cs="Calibri" w:eastAsia="Calibri" w:hAnsi="Calibri"/>
          <w:b w:val="false"/>
          <w:bCs w:val="false"/>
          <w:i w:val="false"/>
          <w:iCs w:val="false"/>
          <w:color w:val="000000"/>
          <w:sz w:val="22"/>
          <w:szCs w:val="22"/>
        </w:rPr>
        <w:t xml:space="preserve">The Timeline must be updated in real time or as close to real time as practicable. At minimum, the Timeline must be updated: (a) at the conclusion of each IRT briefing or status call; (b) upon receipt of any new forensic finding or third-party notification; (c) upon any change in Severity classification; (d) upon any containment, eradication, or recovery action; and (e) upon any decision regarding notifications, communications, or escalation.</w:t>
      </w:r>
    </w:p>
    <w:p>
      <w:pPr>
        <w:spacing w:after="120" w:line="276"/>
      </w:pPr>
      <w:r>
        <w:rPr>
          <w:rFonts w:ascii="Calibri" w:cs="Calibri" w:eastAsia="Calibri" w:hAnsi="Calibri"/>
          <w:b w:val="false"/>
          <w:bCs w:val="false"/>
          <w:i w:val="false"/>
          <w:iCs w:val="false"/>
          <w:color w:val="000000"/>
          <w:sz w:val="22"/>
          <w:szCs w:val="22"/>
        </w:rPr>
        <w:t xml:space="preserve">After Closure, the Timeline is finalized, reviewed by Legal Counsel, and stored in the incident archive pursuant to the Company's document retention policy for a minimum of </w:t>
      </w:r>
      <w:r>
        <w:rPr>
          <w:rFonts w:ascii="Calibri" w:cs="Calibri" w:eastAsia="Calibri" w:hAnsi="Calibri"/>
          <w:b/>
          <w:bCs/>
          <w:i w:val="false"/>
          <w:iCs w:val="false"/>
          <w:color w:val="000000"/>
          <w:sz w:val="22"/>
          <w:szCs w:val="22"/>
        </w:rPr>
        <w:t xml:space="preserve">[RETENTION PERIOD, E.G., SEVEN YEARS]</w:t>
      </w:r>
      <w:r>
        <w:rPr>
          <w:rFonts w:ascii="Calibri" w:cs="Calibri" w:eastAsia="Calibri" w:hAnsi="Calibri"/>
          <w:b w:val="false"/>
          <w:bCs w:val="false"/>
          <w:i w:val="false"/>
          <w:iCs w:val="false"/>
          <w:color w:val="000000"/>
          <w:sz w:val="22"/>
          <w:szCs w:val="22"/>
        </w:rPr>
        <w:t xml:space="preserve">.</w:t>
      </w:r>
    </w:p>
    <w:p>
      <w:r>
        <w:br w:type="page"/>
      </w:r>
    </w:p>
    <w:p>
      <w:pPr>
        <w:pStyle w:val="Heading1"/>
        <w:keepNext/>
        <w:spacing w:after="200" w:before="360"/>
      </w:pPr>
      <w:r>
        <w:rPr>
          <w:rFonts w:ascii="Calibri" w:cs="Calibri" w:eastAsia="Calibri" w:hAnsi="Calibri"/>
          <w:b/>
          <w:bCs/>
          <w:color w:val="1F3864"/>
          <w:sz w:val="32"/>
          <w:szCs w:val="32"/>
        </w:rPr>
        <w:t xml:space="preserve">7.  CONTAINMENT AND CONTINUITY</w:t>
      </w:r>
    </w:p>
    <w:p>
      <w:pPr>
        <w:spacing w:after="120" w:line="276"/>
      </w:pPr>
      <w:r>
        <w:rPr>
          <w:rFonts w:ascii="Calibri" w:cs="Calibri" w:eastAsia="Calibri" w:hAnsi="Calibri"/>
          <w:b w:val="false"/>
          <w:bCs w:val="false"/>
          <w:i w:val="false"/>
          <w:iCs w:val="false"/>
          <w:color w:val="000000"/>
          <w:sz w:val="22"/>
          <w:szCs w:val="22"/>
        </w:rPr>
        <w:t xml:space="preserve">Containment actions are taken to limit the scope and impact of an Incident, prevent further unauthorized access or data exfiltration, and stabilize affected systems while preserving evidence. The Incident Commander authorizes all containment actions, balancing the urgency of stopping the threat against the need to preserve evidence and maintain business operations. All containment actions must be recorded in the Authoritative Timeline (Section 6).</w:t>
      </w:r>
    </w:p>
    <w:p>
      <w:pPr>
        <w:pStyle w:val="Heading2"/>
        <w:keepNext/>
        <w:spacing w:after="120" w:before="240"/>
      </w:pPr>
      <w:r>
        <w:rPr>
          <w:rFonts w:ascii="Calibri" w:cs="Calibri" w:eastAsia="Calibri" w:hAnsi="Calibri"/>
          <w:b/>
          <w:bCs/>
          <w:color w:val="1F3864"/>
          <w:sz w:val="26"/>
          <w:szCs w:val="26"/>
        </w:rPr>
        <w:t xml:space="preserve">7.1  Immediate Containment Actions</w:t>
      </w:r>
    </w:p>
    <w:p>
      <w:pPr>
        <w:spacing w:after="120" w:line="276"/>
      </w:pPr>
      <w:r>
        <w:rPr>
          <w:rFonts w:ascii="Calibri" w:cs="Calibri" w:eastAsia="Calibri" w:hAnsi="Calibri"/>
          <w:b w:val="false"/>
          <w:bCs w:val="false"/>
          <w:i w:val="false"/>
          <w:iCs w:val="false"/>
          <w:color w:val="000000"/>
          <w:sz w:val="22"/>
          <w:szCs w:val="22"/>
        </w:rPr>
        <w:t xml:space="preserve">The following immediate containment actions may be authorized by the Incident Commander or, in exigent circumstances, by the Security/IT Team Lead pending Incident Commander confirmation: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Disable or suspend compromised user accounts, service accounts, and API keys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Revoke active authentication tokens, session cookies, OAuth grants, and certificates associated with compromised accounts or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Isolate affected endpoints from the network (e.g., disable network interface, remove from VLAN, quarantine via endpoint detection and response (EDR) tool)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Block known malicious IP addresses, domains, URLs, and email addresses at the firewall, proxy, DNS, and email gateway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Implement network segmentation to prevent lateral movement from compromised zones to unaffected zones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Disable or restrict VPN access, remote desktop, and other remote-access mechanisms if compromise of those channels is suspected</w:t>
      </w:r>
    </w:p>
    <w:p>
      <w:pPr>
        <w:pStyle w:val="Heading2"/>
        <w:keepNext/>
        <w:spacing w:after="120" w:before="240"/>
      </w:pPr>
      <w:r>
        <w:rPr>
          <w:rFonts w:ascii="Calibri" w:cs="Calibri" w:eastAsia="Calibri" w:hAnsi="Calibri"/>
          <w:b/>
          <w:bCs/>
          <w:color w:val="1F3864"/>
          <w:sz w:val="26"/>
          <w:szCs w:val="26"/>
        </w:rPr>
        <w:t xml:space="preserve">7.2  Short-Term Containment</w:t>
      </w:r>
    </w:p>
    <w:p>
      <w:pPr>
        <w:spacing w:after="120" w:line="276"/>
      </w:pPr>
      <w:r>
        <w:rPr>
          <w:rFonts w:ascii="Calibri" w:cs="Calibri" w:eastAsia="Calibri" w:hAnsi="Calibri"/>
          <w:b w:val="false"/>
          <w:bCs w:val="false"/>
          <w:i w:val="false"/>
          <w:iCs w:val="false"/>
          <w:color w:val="000000"/>
          <w:sz w:val="22"/>
          <w:szCs w:val="22"/>
        </w:rPr>
        <w:t xml:space="preserve">Short-term containment actions are designed to stop the immediate threat while maintaining sufficient system availability for evidence collection and business continuity: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Redirect traffic from compromised systems to clean instances or backup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Apply temporary firewall rules, intrusion prevention system (IPS) signatures, or web application firewall (WAF) rules to block known attack patterns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Increase logging verbosity on affected and adjacent systems to capture additional forensic data</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 the Company's content delivery network (CDN) or DDoS-mitigation provider to absorb volumetric attacks, if applicable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Rotate encryption keys, database credentials, and other secrets that may have been exposed, coordinating with application teams to avoid service disruption</w:t>
      </w:r>
    </w:p>
    <w:p>
      <w:pPr>
        <w:pStyle w:val="Heading2"/>
        <w:keepNext/>
        <w:spacing w:after="120" w:before="240"/>
      </w:pPr>
      <w:r>
        <w:rPr>
          <w:rFonts w:ascii="Calibri" w:cs="Calibri" w:eastAsia="Calibri" w:hAnsi="Calibri"/>
          <w:b/>
          <w:bCs/>
          <w:color w:val="1F3864"/>
          <w:sz w:val="26"/>
          <w:szCs w:val="26"/>
        </w:rPr>
        <w:t xml:space="preserve">7.3  Long-Term Containment and Service Continuity</w:t>
      </w:r>
    </w:p>
    <w:p>
      <w:pPr>
        <w:spacing w:after="120" w:line="276"/>
      </w:pPr>
      <w:r>
        <w:rPr>
          <w:rFonts w:ascii="Calibri" w:cs="Calibri" w:eastAsia="Calibri" w:hAnsi="Calibri"/>
          <w:b w:val="false"/>
          <w:bCs w:val="false"/>
          <w:i w:val="false"/>
          <w:iCs w:val="false"/>
          <w:color w:val="000000"/>
          <w:sz w:val="22"/>
          <w:szCs w:val="22"/>
        </w:rPr>
        <w:t xml:space="preserve">If the Incident affects Critical Services and extended containment is required, the Incident Commander will coordinate with the Business Continuity and Disaster Recovery teams to activate alternative operations: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Fail over Critical Services to disaster-recovery environments or secondary data centers in accordance with the Company's Business Continuity Plan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Activate pre-established manual or degraded-mode procedures for business processes that depend on affected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Establish temporary communication channels (e.g., alternative email provider, temporary phone lines) if primary communication systems are compromised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Notify customers and business partners of service disruptions and estimated restoration timelines, in coordination with the Communications Team (Section 10)</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Suspend non-essential integrations, data feeds, and automated processes that interact with compromised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 </w:t>
      </w:r>
      <w:r>
        <w:rPr>
          <w:rFonts w:ascii="Calibri" w:cs="Calibri" w:eastAsia="Calibri" w:hAnsi="Calibri"/>
          <w:b/>
          <w:bCs/>
          <w:i w:val="false"/>
          <w:iCs w:val="false"/>
          <w:color w:val="000000"/>
          <w:sz w:val="22"/>
          <w:szCs w:val="22"/>
        </w:rPr>
        <w:t xml:space="preserve">[MANAGED SECURITY SERVICE PROVIDER / CLOUD PROVIDER SUPPORT]</w:t>
      </w:r>
      <w:r>
        <w:rPr>
          <w:rFonts w:ascii="Calibri" w:cs="Calibri" w:eastAsia="Calibri" w:hAnsi="Calibri"/>
          <w:b w:val="false"/>
          <w:bCs w:val="false"/>
          <w:i w:val="false"/>
          <w:iCs w:val="false"/>
          <w:color w:val="000000"/>
          <w:sz w:val="22"/>
          <w:szCs w:val="22"/>
        </w:rPr>
        <w:t xml:space="preserve"> for additional monitoring, containment, and capacity during the response</w:t>
      </w:r>
    </w:p>
    <w:p>
      <w:pPr>
        <w:pStyle w:val="Heading2"/>
        <w:keepNext/>
        <w:spacing w:after="120" w:before="240"/>
      </w:pPr>
      <w:r>
        <w:rPr>
          <w:rFonts w:ascii="Calibri" w:cs="Calibri" w:eastAsia="Calibri" w:hAnsi="Calibri"/>
          <w:b/>
          <w:bCs/>
          <w:color w:val="1F3864"/>
          <w:sz w:val="26"/>
          <w:szCs w:val="26"/>
        </w:rPr>
        <w:t xml:space="preserve">7.4  Containment Decision Framework</w:t>
      </w:r>
    </w:p>
    <w:p>
      <w:pPr>
        <w:spacing w:after="120" w:line="276"/>
      </w:pPr>
      <w:r>
        <w:rPr>
          <w:rFonts w:ascii="Calibri" w:cs="Calibri" w:eastAsia="Calibri" w:hAnsi="Calibri"/>
          <w:b w:val="false"/>
          <w:bCs w:val="false"/>
          <w:i w:val="false"/>
          <w:iCs w:val="false"/>
          <w:color w:val="000000"/>
          <w:sz w:val="22"/>
          <w:szCs w:val="22"/>
        </w:rPr>
        <w:t xml:space="preserve">Before authorizing containment actions that may disrupt business operations, the Incident Commander should consider: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current and projected rate of data exfiltration, encryption, or system damage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impact of the containment action on Critical Services, customers, and revenue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containment action will alert the threat actor and cause them to accelerate destructive activity or cover their tracks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evidence on affected systems will be destroyed or degraded by the containment action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availability and readiness of alternative operations and disaster-recovery environments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Legal Counsel's assessment of notification-deadline implications and regulatory expectations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insurer's requirements or recommendations regarding containment (see Section 9)</w:t>
      </w:r>
    </w:p>
    <w:p>
      <w:r>
        <w:br w:type="page"/>
      </w:r>
    </w:p>
    <w:p>
      <w:pPr>
        <w:pStyle w:val="Heading1"/>
        <w:keepNext/>
        <w:spacing w:after="200" w:before="360"/>
      </w:pPr>
      <w:r>
        <w:rPr>
          <w:rFonts w:ascii="Calibri" w:cs="Calibri" w:eastAsia="Calibri" w:hAnsi="Calibri"/>
          <w:b/>
          <w:bCs/>
          <w:color w:val="1F3864"/>
          <w:sz w:val="32"/>
          <w:szCs w:val="32"/>
        </w:rPr>
        <w:t xml:space="preserve">8.  EVIDENCE COLLECTION AND INVESTIGATION</w:t>
      </w:r>
    </w:p>
    <w:p>
      <w:pPr>
        <w:spacing w:after="120" w:line="276"/>
      </w:pPr>
      <w:r>
        <w:rPr>
          <w:rFonts w:ascii="Calibri" w:cs="Calibri" w:eastAsia="Calibri" w:hAnsi="Calibri"/>
          <w:b w:val="false"/>
          <w:bCs w:val="false"/>
          <w:i w:val="false"/>
          <w:iCs w:val="false"/>
          <w:color w:val="000000"/>
          <w:sz w:val="22"/>
          <w:szCs w:val="22"/>
        </w:rPr>
        <w:t xml:space="preserve">Evidence collection and preservation are critical to understanding the scope of the Incident, determining root cause, supporting legal proceedings, satisfying regulatory requirements, and substantiating insurance claims. All evidence must be collected and handled in a manner that maintains its integrity, authenticity, and admissibility. The protocols in this Section align with NIST SP 800-86 (Guide to Integrating Forensic Techniques into Incident Response) and industry best practices for digital forensics.</w:t>
      </w:r>
    </w:p>
    <w:p>
      <w:pPr>
        <w:pStyle w:val="Heading2"/>
        <w:keepNext/>
        <w:spacing w:after="120" w:before="240"/>
      </w:pPr>
      <w:r>
        <w:rPr>
          <w:rFonts w:ascii="Calibri" w:cs="Calibri" w:eastAsia="Calibri" w:hAnsi="Calibri"/>
          <w:b/>
          <w:bCs/>
          <w:color w:val="1F3864"/>
          <w:sz w:val="26"/>
          <w:szCs w:val="26"/>
        </w:rPr>
        <w:t xml:space="preserve">8.1  Volatile Data Collection</w:t>
      </w:r>
    </w:p>
    <w:p>
      <w:pPr>
        <w:spacing w:after="120" w:line="276"/>
      </w:pPr>
      <w:r>
        <w:rPr>
          <w:rFonts w:ascii="Calibri" w:cs="Calibri" w:eastAsia="Calibri" w:hAnsi="Calibri"/>
          <w:b w:val="false"/>
          <w:bCs w:val="false"/>
          <w:i w:val="false"/>
          <w:iCs w:val="false"/>
          <w:color w:val="000000"/>
          <w:sz w:val="22"/>
          <w:szCs w:val="22"/>
        </w:rPr>
        <w:t xml:space="preserve">Volatile data — information that will be lost when a system is powered off or rebooted — must be collected first, before any other forensic activity. Volatile data sources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System memory (RAM) — capture a full memory dump using </w:t>
      </w:r>
      <w:r>
        <w:rPr>
          <w:rFonts w:ascii="Calibri" w:cs="Calibri" w:eastAsia="Calibri" w:hAnsi="Calibri"/>
          <w:b/>
          <w:bCs/>
          <w:i w:val="false"/>
          <w:iCs w:val="false"/>
          <w:color w:val="000000"/>
          <w:sz w:val="22"/>
          <w:szCs w:val="22"/>
        </w:rPr>
        <w:t xml:space="preserve">[APPROVED MEMORY ACQUISITION TOOL, E.G., WINPMEM, LIME, VOLATILITY]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Running processes, open network connections, and active sessions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Contents of system caches, temporary files, clipboard, and swap/pagefile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Current network routing tables, ARP caches, and DNS resolver caches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Logged-in users, active remote sessions, and scheduled tasks</w:t>
      </w:r>
    </w:p>
    <w:p>
      <w:pPr>
        <w:spacing w:after="120" w:line="276"/>
      </w:pPr>
      <w:r>
        <w:rPr>
          <w:rFonts w:ascii="Calibri" w:cs="Calibri" w:eastAsia="Calibri" w:hAnsi="Calibri"/>
          <w:b w:val="false"/>
          <w:bCs w:val="false"/>
          <w:i w:val="false"/>
          <w:iCs w:val="false"/>
          <w:color w:val="000000"/>
          <w:sz w:val="22"/>
          <w:szCs w:val="22"/>
        </w:rPr>
        <w:t xml:space="preserve">Volatile data collection must be performed by trained personnel or outside forensic investigators, using write-blocking techniques and forensically validated tools. The collection process and tools used must be documented in the chain-of-custody record.</w:t>
      </w:r>
    </w:p>
    <w:p>
      <w:pPr>
        <w:pStyle w:val="Heading2"/>
        <w:keepNext/>
        <w:spacing w:after="120" w:before="240"/>
      </w:pPr>
      <w:r>
        <w:rPr>
          <w:rFonts w:ascii="Calibri" w:cs="Calibri" w:eastAsia="Calibri" w:hAnsi="Calibri"/>
          <w:b/>
          <w:bCs/>
          <w:color w:val="1F3864"/>
          <w:sz w:val="26"/>
          <w:szCs w:val="26"/>
        </w:rPr>
        <w:t xml:space="preserve">8.2  Log Preservation</w:t>
      </w:r>
    </w:p>
    <w:p>
      <w:pPr>
        <w:spacing w:after="120" w:line="276"/>
      </w:pPr>
      <w:r>
        <w:rPr>
          <w:rFonts w:ascii="Calibri" w:cs="Calibri" w:eastAsia="Calibri" w:hAnsi="Calibri"/>
          <w:b w:val="false"/>
          <w:bCs w:val="false"/>
          <w:i w:val="false"/>
          <w:iCs w:val="false"/>
          <w:color w:val="000000"/>
          <w:sz w:val="22"/>
          <w:szCs w:val="22"/>
        </w:rPr>
        <w:t xml:space="preserve">The Security/IT Team must immediately preserve all relevant logs from the following sources for the time period from </w:t>
      </w:r>
      <w:r>
        <w:rPr>
          <w:rFonts w:ascii="Calibri" w:cs="Calibri" w:eastAsia="Calibri" w:hAnsi="Calibri"/>
          <w:b/>
          <w:bCs/>
          <w:i w:val="false"/>
          <w:iCs w:val="false"/>
          <w:color w:val="000000"/>
          <w:sz w:val="22"/>
          <w:szCs w:val="22"/>
        </w:rPr>
        <w:t xml:space="preserve">[LOOKBACK PERIOD, E.G., 90 DAYS BEFORE ESTIMATED INCIDENT START]</w:t>
      </w:r>
      <w:r>
        <w:rPr>
          <w:rFonts w:ascii="Calibri" w:cs="Calibri" w:eastAsia="Calibri" w:hAnsi="Calibri"/>
          <w:b w:val="false"/>
          <w:bCs w:val="false"/>
          <w:i w:val="false"/>
          <w:iCs w:val="false"/>
          <w:color w:val="000000"/>
          <w:sz w:val="22"/>
          <w:szCs w:val="22"/>
        </w:rPr>
        <w:t xml:space="preserve"> to the present: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Security Information and Event Management (SIEM) system: </w:t>
      </w:r>
      <w:r>
        <w:rPr>
          <w:rFonts w:ascii="Calibri" w:cs="Calibri" w:eastAsia="Calibri" w:hAnsi="Calibri"/>
          <w:b/>
          <w:bCs/>
          <w:i w:val="false"/>
          <w:iCs w:val="false"/>
          <w:color w:val="000000"/>
          <w:sz w:val="22"/>
          <w:szCs w:val="22"/>
        </w:rPr>
        <w:t xml:space="preserve">[SIEM PRODUCT NAME]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Endpoint detection and response (EDR) platform: </w:t>
      </w:r>
      <w:r>
        <w:rPr>
          <w:rFonts w:ascii="Calibri" w:cs="Calibri" w:eastAsia="Calibri" w:hAnsi="Calibri"/>
          <w:b/>
          <w:bCs/>
          <w:i w:val="false"/>
          <w:iCs w:val="false"/>
          <w:color w:val="000000"/>
          <w:sz w:val="22"/>
          <w:szCs w:val="22"/>
        </w:rPr>
        <w:t xml:space="preserve">[EDR PRODUCT NAME]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Firewall, proxy, and VPN logs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Cloud platform audit logs (e.g., AWS CloudTrail, Azure Activity Log, GCP Cloud Audit Logs)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Application and database access logs for affected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Identity provider (IdP) and single sign-on (SSO) authentication logs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Email gateway and anti-phishing platform logs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Physical access control system logs for affected facilities</w:t>
      </w:r>
    </w:p>
    <w:p>
      <w:pPr>
        <w:spacing w:after="120" w:line="276"/>
      </w:pPr>
      <w:r>
        <w:rPr>
          <w:rFonts w:ascii="Calibri" w:cs="Calibri" w:eastAsia="Calibri" w:hAnsi="Calibri"/>
          <w:b w:val="false"/>
          <w:bCs w:val="false"/>
          <w:i w:val="false"/>
          <w:iCs w:val="false"/>
          <w:color w:val="000000"/>
          <w:sz w:val="22"/>
          <w:szCs w:val="22"/>
        </w:rPr>
        <w:t xml:space="preserve">Logs must be exported to a secure, immutable storage location (e.g., write-once cloud storage bucket, offline media) to prevent tampering, deletion, or overwriting by automated log-rotation processes. The log-preservation action and storage location must be recorded in the Timeline.</w:t>
      </w:r>
    </w:p>
    <w:p>
      <w:pPr>
        <w:pStyle w:val="Heading2"/>
        <w:keepNext/>
        <w:spacing w:after="120" w:before="240"/>
      </w:pPr>
      <w:r>
        <w:rPr>
          <w:rFonts w:ascii="Calibri" w:cs="Calibri" w:eastAsia="Calibri" w:hAnsi="Calibri"/>
          <w:b/>
          <w:bCs/>
          <w:color w:val="1F3864"/>
          <w:sz w:val="26"/>
          <w:szCs w:val="26"/>
        </w:rPr>
        <w:t xml:space="preserve">8.3  Forensic Imaging</w:t>
      </w:r>
    </w:p>
    <w:p>
      <w:pPr>
        <w:spacing w:after="120" w:line="276"/>
      </w:pPr>
      <w:r>
        <w:rPr>
          <w:rFonts w:ascii="Calibri" w:cs="Calibri" w:eastAsia="Calibri" w:hAnsi="Calibri"/>
          <w:b w:val="false"/>
          <w:bCs w:val="false"/>
          <w:i w:val="false"/>
          <w:iCs w:val="false"/>
          <w:color w:val="000000"/>
          <w:sz w:val="22"/>
          <w:szCs w:val="22"/>
        </w:rPr>
        <w:t xml:space="preserve">Full forensic images of affected systems must be created when directed by Legal Counsel or the Incident Commander. Forensic imaging requirements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Create bit-for-bit images of affected hard drives, virtual machine disks, and storage volumes using forensically validated tools (e.g., FTK Imager, dd, dc3dd)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image integrity using cryptographic hashes (SHA-256 or stronger) and document the hash values in the chain-of-custody record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Store forensic images in a secure, access-controlled location, separate from operational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For cloud environments, capture instance snapshots, container images, and associated metadata (e.g., AWS EBS snapshots, Azure Disk snapshots)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Preserve relevant cloud configuration data, infrastructure-as-code templates, and deployment histories</w:t>
      </w:r>
    </w:p>
    <w:p>
      <w:pPr>
        <w:pStyle w:val="Heading2"/>
        <w:keepNext/>
        <w:spacing w:after="120" w:before="240"/>
      </w:pPr>
      <w:r>
        <w:rPr>
          <w:rFonts w:ascii="Calibri" w:cs="Calibri" w:eastAsia="Calibri" w:hAnsi="Calibri"/>
          <w:b/>
          <w:bCs/>
          <w:color w:val="1F3864"/>
          <w:sz w:val="26"/>
          <w:szCs w:val="26"/>
        </w:rPr>
        <w:t xml:space="preserve">8.4  Chain of Custody</w:t>
      </w:r>
    </w:p>
    <w:p>
      <w:pPr>
        <w:spacing w:after="120" w:line="276"/>
      </w:pPr>
      <w:r>
        <w:rPr>
          <w:rFonts w:ascii="Calibri" w:cs="Calibri" w:eastAsia="Calibri" w:hAnsi="Calibri"/>
          <w:b w:val="false"/>
          <w:bCs w:val="false"/>
          <w:i w:val="false"/>
          <w:iCs w:val="false"/>
          <w:color w:val="000000"/>
          <w:sz w:val="22"/>
          <w:szCs w:val="22"/>
        </w:rPr>
        <w:t xml:space="preserve">A chain-of-custody record must be maintained for all physical and digital evidence collected during the investigation. The chain-of-custody record must document: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 unique identifier for each evidence item</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Description of the evidence item (type, source system, serial number or instance ID)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time, and location of collection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Name and title of the person who collected the evidence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Cryptographic hash values for digital evidence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Every transfer of custody (from whom, to whom, date, time, and purpose)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Storage location and security measures (e.g., locked cabinet, encrypted storage)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Any access to or analysis of the evidence (who, when, and purpose)</w:t>
      </w:r>
    </w:p>
    <w:p>
      <w:pPr>
        <w:spacing w:after="120" w:line="276"/>
      </w:pPr>
      <w:r>
        <w:rPr>
          <w:rFonts w:ascii="Calibri" w:cs="Calibri" w:eastAsia="Calibri" w:hAnsi="Calibri"/>
          <w:b w:val="false"/>
          <w:bCs w:val="false"/>
          <w:i w:val="false"/>
          <w:iCs w:val="false"/>
          <w:color w:val="000000"/>
          <w:sz w:val="22"/>
          <w:szCs w:val="22"/>
        </w:rPr>
        <w:t xml:space="preserve">The chain-of-custody record is maintained by </w:t>
      </w:r>
      <w:r>
        <w:rPr>
          <w:rFonts w:ascii="Calibri" w:cs="Calibri" w:eastAsia="Calibri" w:hAnsi="Calibri"/>
          <w:b/>
          <w:bCs/>
          <w:i w:val="false"/>
          <w:iCs w:val="false"/>
          <w:color w:val="000000"/>
          <w:sz w:val="22"/>
          <w:szCs w:val="22"/>
        </w:rPr>
        <w:t xml:space="preserve">[DESIGNATED CUSTODIAN, E.G., SECURITY/IT TEAM LEAD OR OUTSIDE FORENSIC FIRM]</w:t>
      </w:r>
      <w:r>
        <w:rPr>
          <w:rFonts w:ascii="Calibri" w:cs="Calibri" w:eastAsia="Calibri" w:hAnsi="Calibri"/>
          <w:b w:val="false"/>
          <w:bCs w:val="false"/>
          <w:i w:val="false"/>
          <w:iCs w:val="false"/>
          <w:color w:val="000000"/>
          <w:sz w:val="22"/>
          <w:szCs w:val="22"/>
        </w:rPr>
        <w:t xml:space="preserve">. The Exhibit E fact worksheet provides a template for chain-of-custody documentation.</w:t>
      </w:r>
    </w:p>
    <w:p>
      <w:pPr>
        <w:pStyle w:val="Heading2"/>
        <w:keepNext/>
        <w:spacing w:after="120" w:before="240"/>
      </w:pPr>
      <w:r>
        <w:rPr>
          <w:rFonts w:ascii="Calibri" w:cs="Calibri" w:eastAsia="Calibri" w:hAnsi="Calibri"/>
          <w:b/>
          <w:bCs/>
          <w:color w:val="1F3864"/>
          <w:sz w:val="26"/>
          <w:szCs w:val="26"/>
        </w:rPr>
        <w:t xml:space="preserve">8.5  Investigation Methodology</w:t>
      </w:r>
    </w:p>
    <w:p>
      <w:pPr>
        <w:spacing w:after="120" w:line="276"/>
      </w:pPr>
      <w:r>
        <w:rPr>
          <w:rFonts w:ascii="Calibri" w:cs="Calibri" w:eastAsia="Calibri" w:hAnsi="Calibri"/>
          <w:b w:val="false"/>
          <w:bCs w:val="false"/>
          <w:i w:val="false"/>
          <w:iCs w:val="false"/>
          <w:color w:val="000000"/>
          <w:sz w:val="22"/>
          <w:szCs w:val="22"/>
        </w:rPr>
        <w:t xml:space="preserve">The investigation should systematically address the following questions, documented through the Authoritative Timeline (Section 6) as findings are confirmed: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Entry Vector: How did the threat actor gain initial access? (e.g., phishing, credential stuffing, vulnerability exploitation, supply-chain compromise, insider action)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Lateral Movement: What techniques did the threat actor use to move between systems after initial access? (e.g., pass-the-hash, remote desktop, service account abuse)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Persistence Mechanisms: Did the threat actor establish mechanisms to maintain access? (e.g., backdoors, web shells, scheduled tasks, modified startup scripts, rogue user accounts)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Data Access and Exfiltration: What data did the threat actor access, copy, or exfiltrate? What volume of data was involved? Through what channels was data exfiltrated? (e.g., HTTP/S, DNS tunneling, cloud storage, removable media)</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Affected Assets: What is the complete inventory of affected systems, accounts, data stores, and network segments?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Threat Actor Attribution: What is known about the threat actor? (e.g., indicators of compromise, tactics/techniques/procedures, known threat group associations, geolocation data)</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Timeline Reconstruction: What is the complete chronology of threat-actor activity, from initial access to detection?</w:t>
      </w:r>
    </w:p>
    <w:p>
      <w:r>
        <w:br w:type="page"/>
      </w:r>
    </w:p>
    <w:p>
      <w:pPr>
        <w:pStyle w:val="Heading1"/>
        <w:keepNext/>
        <w:spacing w:after="200" w:before="360"/>
      </w:pPr>
      <w:r>
        <w:rPr>
          <w:rFonts w:ascii="Calibri" w:cs="Calibri" w:eastAsia="Calibri" w:hAnsi="Calibri"/>
          <w:b/>
          <w:bCs/>
          <w:color w:val="1F3864"/>
          <w:sz w:val="32"/>
          <w:szCs w:val="32"/>
        </w:rPr>
        <w:t xml:space="preserve">9.  LEGAL, CONTRACT, AND INSURANCE TRACKER</w:t>
      </w:r>
    </w:p>
    <w:p>
      <w:pPr>
        <w:spacing w:after="120" w:line="276"/>
      </w:pPr>
      <w:r>
        <w:rPr>
          <w:rFonts w:ascii="Calibri" w:cs="Calibri" w:eastAsia="Calibri" w:hAnsi="Calibri"/>
          <w:b w:val="false"/>
          <w:bCs w:val="false"/>
          <w:i w:val="false"/>
          <w:iCs w:val="false"/>
          <w:color w:val="000000"/>
          <w:sz w:val="22"/>
          <w:szCs w:val="22"/>
        </w:rPr>
        <w:t xml:space="preserve">This Section establishes the framework for identifying, tracking, and satisfying the Company's legal, contractual, and insurance obligations that may be triggered by an Incident. Legal and Privacy Counsel is responsible for maintaining the Legal Obligations Tracker (Exhibit D) and for advising the Incident Commander on notification requirements and decision deadlines.</w:t>
      </w:r>
    </w:p>
    <w:p>
      <w:pPr>
        <w:pStyle w:val="Heading2"/>
        <w:keepNext/>
        <w:spacing w:after="120" w:before="240"/>
      </w:pPr>
      <w:r>
        <w:rPr>
          <w:rFonts w:ascii="Calibri" w:cs="Calibri" w:eastAsia="Calibri" w:hAnsi="Calibri"/>
          <w:b/>
          <w:bCs/>
          <w:color w:val="1F3864"/>
          <w:sz w:val="26"/>
          <w:szCs w:val="26"/>
        </w:rPr>
        <w:t xml:space="preserve">9.1  Applicable Legal Duties</w:t>
      </w:r>
    </w:p>
    <w:p>
      <w:pPr>
        <w:spacing w:after="120" w:line="276"/>
      </w:pPr>
      <w:r>
        <w:rPr>
          <w:rFonts w:ascii="Calibri" w:cs="Calibri" w:eastAsia="Calibri" w:hAnsi="Calibri"/>
          <w:b w:val="false"/>
          <w:bCs w:val="false"/>
          <w:i w:val="false"/>
          <w:iCs w:val="false"/>
          <w:color w:val="000000"/>
          <w:sz w:val="22"/>
          <w:szCs w:val="22"/>
        </w:rPr>
        <w:t xml:space="preserve">Upon activation of this Plan, Legal and Privacy Counsel will immediately assess which of the following categories of legal obligations may be triggered by the Incident, based on the nature of the data involved, the jurisdictions affected, and the scope of the compromise: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State Breach-Notification Statutes: All 50 U.S. states, the District of Columbia, and U.S. territories have enacted breach-notification statutes with varying definitions of "personal information," notification triggers, timing requirements, and content mandates. Legal Counsel will identify each applicable state statute based on the residency of affected individuals.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Federal Sector-Specific Requirements: If the Incident involves data regulated under federal sector-specific laws (e.g., HIPAA for protected health information, GLBA for financial data, FERPA for education records, COPPA for children's data), Legal Counsel will assess the additional notification, reporting, and documentation requirements imposed by those laws.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International Data Protection Laws: If the Incident affects Personal Data of individuals in jurisdictions outside the United States (e.g., EU/EEA under the GDPR, United Kingdom under UK GDPR, Canada under PIPEDA, Australia under the Privacy Act), Legal Counsel will assess applicable supervisory-authority notification, data-subject notification, and cross-border transfer implications.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SEC and Securities-Law Disclosure: If the Company is a reporting company under the Securities Exchange Act of 1934, Legal Counsel will assess whether the Incident constitutes a material cybersecurity incident requiring disclosure under SEC rules (e.g., Form 8-K Item 1.05, annual report risk-factor disclosure).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Industry-Specific and Regulatory-Body Requirements: If the Company operates in a regulated industry (e.g., financial services, healthcare, energy, defense), Legal Counsel will assess notification obligations to sector-specific regulators (e.g., state insurance commissioners, banking regulators, HHS OCR).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Law-Enforcement Reporting: Legal Counsel will assess whether the Incident should be reported to federal law enforcement (e.g., FBI, Secret Service, CISA) or state/local law enforcement, considering the nature of the threat actor, the potential for ongoing criminal activity, and the Company's strategic interests.</w:t>
      </w:r>
    </w:p>
    <w:p>
      <w:pPr>
        <w:pStyle w:val="Heading2"/>
        <w:keepNext/>
        <w:spacing w:after="120" w:before="240"/>
      </w:pPr>
      <w:r>
        <w:rPr>
          <w:rFonts w:ascii="Calibri" w:cs="Calibri" w:eastAsia="Calibri" w:hAnsi="Calibri"/>
          <w:b/>
          <w:bCs/>
          <w:color w:val="1F3864"/>
          <w:sz w:val="26"/>
          <w:szCs w:val="26"/>
        </w:rPr>
        <w:t xml:space="preserve">9.2  Contractual Obligations</w:t>
      </w:r>
    </w:p>
    <w:p>
      <w:pPr>
        <w:spacing w:after="120" w:line="276"/>
      </w:pPr>
      <w:r>
        <w:rPr>
          <w:rFonts w:ascii="Calibri" w:cs="Calibri" w:eastAsia="Calibri" w:hAnsi="Calibri"/>
          <w:b w:val="false"/>
          <w:bCs w:val="false"/>
          <w:i w:val="false"/>
          <w:iCs w:val="false"/>
          <w:color w:val="000000"/>
          <w:sz w:val="22"/>
          <w:szCs w:val="22"/>
        </w:rPr>
        <w:t xml:space="preserve">The Vendor Management and Legal teams will review the Company's contractual obligations to identify notification, cooperation, and remediation duties triggered by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Customer Contracts: Data processing agreements, service-level agreements, and master services agreements may require the Company to notify customers within specified timeframes (commonly 24-72 hours), provide detailed incident reports, cooperate with customer investigations, and implement specific remediation measures.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Vendor and Partner Contracts: If the Incident involves data processed by or shared with third-party vendors, the Company may be entitled to notification, cooperation, and indemnification from those vendors. Conversely, the Company may have notification duties to vendors whose data was compromised.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Regulatory Orders and Consent Decrees: If the Company is subject to existing regulatory orders, consent decrees, or settlement agreements that impose specific security or incident-reporting obligations, Legal Counsel will assess compliance requirements.</w:t>
      </w:r>
    </w:p>
    <w:p>
      <w:pPr>
        <w:pStyle w:val="Heading2"/>
        <w:keepNext/>
        <w:spacing w:after="120" w:before="240"/>
      </w:pPr>
      <w:r>
        <w:rPr>
          <w:rFonts w:ascii="Calibri" w:cs="Calibri" w:eastAsia="Calibri" w:hAnsi="Calibri"/>
          <w:b/>
          <w:bCs/>
          <w:color w:val="1F3864"/>
          <w:sz w:val="26"/>
          <w:szCs w:val="26"/>
        </w:rPr>
        <w:t xml:space="preserve">9.3  Decision Clocks</w:t>
      </w:r>
    </w:p>
    <w:p>
      <w:pPr>
        <w:spacing w:after="120" w:line="276"/>
      </w:pPr>
      <w:r>
        <w:rPr>
          <w:rFonts w:ascii="Calibri" w:cs="Calibri" w:eastAsia="Calibri" w:hAnsi="Calibri"/>
          <w:b w:val="false"/>
          <w:bCs w:val="false"/>
          <w:i w:val="false"/>
          <w:iCs w:val="false"/>
          <w:color w:val="000000"/>
          <w:sz w:val="22"/>
          <w:szCs w:val="22"/>
        </w:rPr>
        <w:t xml:space="preserve">Legal Counsel will maintain a Decision Clock tracker for each notification obligation identified pursuant to Sections 9.1 and 9.2. The Decision Clock tracker must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specific legal or contractual obligation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triggering event and the date/time it was determined to have occurred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applicable deadline (e.g., 72 hours from discovery under GDPR, 60 days under most state statutes, 4 business days under SEC rules, or as specified in the applicable contract)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current status (not yet triggered, clock running, notification sent, extension requested)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responsible person and any dependencies or prerequisites</w:t>
      </w:r>
    </w:p>
    <w:p>
      <w:pPr>
        <w:spacing w:after="120" w:line="276"/>
      </w:pPr>
      <w:r>
        <w:rPr>
          <w:rFonts w:ascii="Calibri" w:cs="Calibri" w:eastAsia="Calibri" w:hAnsi="Calibri"/>
          <w:b w:val="false"/>
          <w:bCs w:val="false"/>
          <w:i w:val="false"/>
          <w:iCs w:val="false"/>
          <w:color w:val="000000"/>
          <w:sz w:val="22"/>
          <w:szCs w:val="22"/>
        </w:rPr>
        <w:t xml:space="preserve">The Decision Clock tracker is maintained in the Legal Obligations Tracker (Exhibit D) and is updated at each IRT briefing.</w:t>
      </w:r>
    </w:p>
    <w:p>
      <w:pPr>
        <w:pStyle w:val="Heading2"/>
        <w:keepNext/>
        <w:spacing w:after="120" w:before="240"/>
      </w:pPr>
      <w:r>
        <w:rPr>
          <w:rFonts w:ascii="Calibri" w:cs="Calibri" w:eastAsia="Calibri" w:hAnsi="Calibri"/>
          <w:b/>
          <w:bCs/>
          <w:color w:val="1F3864"/>
          <w:sz w:val="26"/>
          <w:szCs w:val="26"/>
        </w:rPr>
        <w:t xml:space="preserve">9.4  Insurance Requirements</w:t>
      </w:r>
    </w:p>
    <w:p>
      <w:pPr>
        <w:spacing w:after="120" w:line="276"/>
      </w:pPr>
      <w:r>
        <w:rPr>
          <w:rFonts w:ascii="Calibri" w:cs="Calibri" w:eastAsia="Calibri" w:hAnsi="Calibri"/>
          <w:b w:val="false"/>
          <w:bCs w:val="false"/>
          <w:i w:val="false"/>
          <w:iCs w:val="false"/>
          <w:color w:val="000000"/>
          <w:sz w:val="22"/>
          <w:szCs w:val="22"/>
        </w:rPr>
        <w:t xml:space="preserve">The Insurance Liaison will review the Company's cyber insurance policy (Policy No. </w:t>
      </w:r>
      <w:r>
        <w:rPr>
          <w:rFonts w:ascii="Calibri" w:cs="Calibri" w:eastAsia="Calibri" w:hAnsi="Calibri"/>
          <w:b/>
          <w:bCs/>
          <w:i w:val="false"/>
          <w:iCs w:val="false"/>
          <w:color w:val="000000"/>
          <w:sz w:val="22"/>
          <w:szCs w:val="22"/>
        </w:rPr>
        <w:t xml:space="preserve">[POLICY NUMBER]</w:t>
      </w:r>
      <w:r>
        <w:rPr>
          <w:rFonts w:ascii="Calibri" w:cs="Calibri" w:eastAsia="Calibri" w:hAnsi="Calibri"/>
          <w:b w:val="false"/>
          <w:bCs w:val="false"/>
          <w:i w:val="false"/>
          <w:iCs w:val="false"/>
          <w:color w:val="000000"/>
          <w:sz w:val="22"/>
          <w:szCs w:val="22"/>
        </w:rPr>
        <w:t xml:space="preserve">, issued by </w:t>
      </w:r>
      <w:r>
        <w:rPr>
          <w:rFonts w:ascii="Calibri" w:cs="Calibri" w:eastAsia="Calibri" w:hAnsi="Calibri"/>
          <w:b/>
          <w:bCs/>
          <w:i w:val="false"/>
          <w:iCs w:val="false"/>
          <w:color w:val="000000"/>
          <w:sz w:val="22"/>
          <w:szCs w:val="22"/>
        </w:rPr>
        <w:t xml:space="preserve">[CARRIER NAME]</w:t>
      </w:r>
      <w:r>
        <w:rPr>
          <w:rFonts w:ascii="Calibri" w:cs="Calibri" w:eastAsia="Calibri" w:hAnsi="Calibri"/>
          <w:b w:val="false"/>
          <w:bCs w:val="false"/>
          <w:i w:val="false"/>
          <w:iCs w:val="false"/>
          <w:color w:val="000000"/>
          <w:sz w:val="22"/>
          <w:szCs w:val="22"/>
        </w:rPr>
        <w:t xml:space="preserve">, brokered by </w:t>
      </w:r>
      <w:r>
        <w:rPr>
          <w:rFonts w:ascii="Calibri" w:cs="Calibri" w:eastAsia="Calibri" w:hAnsi="Calibri"/>
          <w:b/>
          <w:bCs/>
          <w:i w:val="false"/>
          <w:iCs w:val="false"/>
          <w:color w:val="000000"/>
          <w:sz w:val="22"/>
          <w:szCs w:val="22"/>
        </w:rPr>
        <w:t xml:space="preserve">[BROKER NAME]</w:t>
      </w:r>
      <w:r>
        <w:rPr>
          <w:rFonts w:ascii="Calibri" w:cs="Calibri" w:eastAsia="Calibri" w:hAnsi="Calibri"/>
          <w:b w:val="false"/>
          <w:bCs w:val="false"/>
          <w:i w:val="false"/>
          <w:iCs w:val="false"/>
          <w:color w:val="000000"/>
          <w:sz w:val="22"/>
          <w:szCs w:val="22"/>
        </w:rPr>
        <w:t xml:space="preserve">) to identify and track the following requirements: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Notice Deadline: The policy's required timeframe for providing notice of a claim or potential claim (typically </w:t>
      </w:r>
      <w:r>
        <w:rPr>
          <w:rFonts w:ascii="Calibri" w:cs="Calibri" w:eastAsia="Calibri" w:hAnsi="Calibri"/>
          <w:b/>
          <w:bCs/>
          <w:i w:val="false"/>
          <w:iCs w:val="false"/>
          <w:color w:val="000000"/>
          <w:sz w:val="22"/>
          <w:szCs w:val="22"/>
        </w:rPr>
        <w:t xml:space="preserve">[TIMEFRAME, E.G., "AS SOON AS PRACTICABLE" OR "WITHIN 72 HOURS"]</w:t>
      </w:r>
      <w:r>
        <w:rPr>
          <w:rFonts w:ascii="Calibri" w:cs="Calibri" w:eastAsia="Calibri" w:hAnsi="Calibri"/>
          <w:b w:val="false"/>
          <w:bCs w:val="false"/>
          <w:i w:val="false"/>
          <w:iCs w:val="false"/>
          <w:color w:val="000000"/>
          <w:sz w:val="22"/>
          <w:szCs w:val="22"/>
        </w:rPr>
        <w:t xml:space="preserve"> of discovery)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Consent Requirements: Whether the insurer's prior written consent is required before incurring costs for forensic investigation, legal advice, notification services, credit monitoring, public relations, or other response activities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Panel Vendor Requirements: Whether the policy requires or incentivizes the use of insurer-approved panel vendors for forensics, legal counsel, notification services, or crisis communications. Pre-approved panel vendors are: </w:t>
      </w:r>
      <w:r>
        <w:rPr>
          <w:rFonts w:ascii="Calibri" w:cs="Calibri" w:eastAsia="Calibri" w:hAnsi="Calibri"/>
          <w:b/>
          <w:bCs/>
          <w:i w:val="false"/>
          <w:iCs w:val="false"/>
          <w:color w:val="000000"/>
          <w:sz w:val="22"/>
          <w:szCs w:val="22"/>
        </w:rPr>
        <w:t xml:space="preserve">[LIST PANEL VENDORS]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Sublimits and Retentions: Applicable sublimits, retentions (deductibles), and co-insurance for different categories of loss (e.g., forensic costs, notification costs, regulatory fines, business interruption, cyber extortion)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Exclusions: Key policy exclusions that may affect coverage for the specific Incident (e.g., acts of war, prior-knowledge exclusions, failure-to-maintain-security exclusions)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Documentation Requirements: The types of documentation the insurer requires for claim processing (e.g., forensic reports, notification records, cost breakdowns, proof of loss)</w:t>
      </w:r>
    </w:p>
    <w:p>
      <w:pPr>
        <w:pStyle w:val="Heading2"/>
        <w:keepNext/>
        <w:spacing w:after="120" w:before="240"/>
      </w:pPr>
      <w:r>
        <w:rPr>
          <w:rFonts w:ascii="Calibri" w:cs="Calibri" w:eastAsia="Calibri" w:hAnsi="Calibri"/>
          <w:b/>
          <w:bCs/>
          <w:color w:val="1F3864"/>
          <w:sz w:val="26"/>
          <w:szCs w:val="26"/>
        </w:rPr>
        <w:t xml:space="preserve">9.5  Panel-Vendor Rules and Engagement</w:t>
      </w:r>
    </w:p>
    <w:p>
      <w:pPr>
        <w:spacing w:after="120" w:line="276"/>
      </w:pPr>
      <w:r>
        <w:rPr>
          <w:rFonts w:ascii="Calibri" w:cs="Calibri" w:eastAsia="Calibri" w:hAnsi="Calibri"/>
          <w:b w:val="false"/>
          <w:bCs w:val="false"/>
          <w:i w:val="false"/>
          <w:iCs w:val="false"/>
          <w:color w:val="000000"/>
          <w:sz w:val="22"/>
          <w:szCs w:val="22"/>
        </w:rPr>
        <w:t xml:space="preserve">If the Company's cyber insurance policy requires use of panel vendors, the Insurance Liaison must coordinate with the insurer to obtain approval before engaging any non-panel vendor for covered services. The following protocols apply: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Contact the insurer's claims hotline at </w:t>
      </w:r>
      <w:r>
        <w:rPr>
          <w:rFonts w:ascii="Calibri" w:cs="Calibri" w:eastAsia="Calibri" w:hAnsi="Calibri"/>
          <w:b/>
          <w:bCs/>
          <w:i w:val="false"/>
          <w:iCs w:val="false"/>
          <w:color w:val="000000"/>
          <w:sz w:val="22"/>
          <w:szCs w:val="22"/>
        </w:rPr>
        <w:t xml:space="preserve">[INSURER CLAIMS HOTLINE NUMBER]</w:t>
      </w:r>
      <w:r>
        <w:rPr>
          <w:rFonts w:ascii="Calibri" w:cs="Calibri" w:eastAsia="Calibri" w:hAnsi="Calibri"/>
          <w:b w:val="false"/>
          <w:bCs w:val="false"/>
          <w:i w:val="false"/>
          <w:iCs w:val="false"/>
          <w:color w:val="000000"/>
          <w:sz w:val="22"/>
          <w:szCs w:val="22"/>
        </w:rPr>
        <w:t xml:space="preserve"> and the assigned claims adjuster at </w:t>
      </w:r>
      <w:r>
        <w:rPr>
          <w:rFonts w:ascii="Calibri" w:cs="Calibri" w:eastAsia="Calibri" w:hAnsi="Calibri"/>
          <w:b/>
          <w:bCs/>
          <w:i w:val="false"/>
          <w:iCs w:val="false"/>
          <w:color w:val="000000"/>
          <w:sz w:val="22"/>
          <w:szCs w:val="22"/>
        </w:rPr>
        <w:t xml:space="preserve">[ADJUSTER NAME AND CONTACT]</w:t>
      </w:r>
      <w:r>
        <w:rPr>
          <w:rFonts w:ascii="Calibri" w:cs="Calibri" w:eastAsia="Calibri" w:hAnsi="Calibri"/>
          <w:b w:val="false"/>
          <w:bCs w:val="false"/>
          <w:i w:val="false"/>
          <w:iCs w:val="false"/>
          <w:color w:val="000000"/>
          <w:sz w:val="22"/>
          <w:szCs w:val="22"/>
        </w:rPr>
        <w:t xml:space="preserve"> as soon as practicable after Plan activation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Request pre-approval for engagement of outside forensic investigators, outside counsel (if not pre-approved), notification vendors, and credit-monitoring service providers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Document all insurer communications, approvals, and reservations of rights in the Legal Obligations Tracker (Exhibit 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If the insurer denies coverage or imposes conditions, escalate to Legal Counsel and the Insurance Liaison for evaluation of coverage disputes and alternative funding</w:t>
      </w:r>
    </w:p>
    <w:p>
      <w:r>
        <w:br w:type="page"/>
      </w:r>
    </w:p>
    <w:p>
      <w:pPr>
        <w:pStyle w:val="Heading1"/>
        <w:keepNext/>
        <w:spacing w:after="200" w:before="360"/>
      </w:pPr>
      <w:r>
        <w:rPr>
          <w:rFonts w:ascii="Calibri" w:cs="Calibri" w:eastAsia="Calibri" w:hAnsi="Calibri"/>
          <w:b/>
          <w:bCs/>
          <w:color w:val="1F3864"/>
          <w:sz w:val="32"/>
          <w:szCs w:val="32"/>
        </w:rPr>
        <w:t xml:space="preserve">10.  COMMUNICATIONS</w:t>
      </w:r>
    </w:p>
    <w:p>
      <w:pPr>
        <w:spacing w:after="120" w:line="276"/>
      </w:pPr>
      <w:r>
        <w:rPr>
          <w:rFonts w:ascii="Calibri" w:cs="Calibri" w:eastAsia="Calibri" w:hAnsi="Calibri"/>
          <w:b w:val="false"/>
          <w:bCs w:val="false"/>
          <w:i w:val="false"/>
          <w:iCs w:val="false"/>
          <w:color w:val="000000"/>
          <w:sz w:val="22"/>
          <w:szCs w:val="22"/>
        </w:rPr>
        <w:t xml:space="preserve">Effective, consistent, and legally sound communication is essential during an Incident. All external and internal communications related to an Incident must be approved through the processes described in this Section. Unauthorized or premature communications can exacerbate the Incident, expose the Company to legal liability, breach privilege, or undermine stakeholder trust.</w:t>
      </w:r>
    </w:p>
    <w:p>
      <w:pPr>
        <w:pStyle w:val="Heading2"/>
        <w:keepNext/>
        <w:spacing w:after="120" w:before="240"/>
      </w:pPr>
      <w:r>
        <w:rPr>
          <w:rFonts w:ascii="Calibri" w:cs="Calibri" w:eastAsia="Calibri" w:hAnsi="Calibri"/>
          <w:b/>
          <w:bCs/>
          <w:color w:val="1F3864"/>
          <w:sz w:val="26"/>
          <w:szCs w:val="26"/>
        </w:rPr>
        <w:t xml:space="preserve">10.1  Communication Approval Process</w:t>
      </w:r>
    </w:p>
    <w:p>
      <w:pPr>
        <w:spacing w:after="120" w:line="276"/>
      </w:pPr>
      <w:r>
        <w:rPr>
          <w:rFonts w:ascii="Calibri" w:cs="Calibri" w:eastAsia="Calibri" w:hAnsi="Calibri"/>
          <w:b w:val="false"/>
          <w:bCs w:val="false"/>
          <w:i w:val="false"/>
          <w:iCs w:val="false"/>
          <w:color w:val="000000"/>
          <w:sz w:val="22"/>
          <w:szCs w:val="22"/>
        </w:rPr>
        <w:t xml:space="preserve">All Incident-related communications must be approved prior to distribution as follows: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Internal Workforce Communications: Drafted by the Communications Team, reviewed by Legal Counsel and the Incident Commander, and approved by the Incident Commander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Executive and Board Communications: Drafted by the Incident Commander, reviewed by Legal Counsel, and approved by </w:t>
      </w:r>
      <w:r>
        <w:rPr>
          <w:rFonts w:ascii="Calibri" w:cs="Calibri" w:eastAsia="Calibri" w:hAnsi="Calibri"/>
          <w:b/>
          <w:bCs/>
          <w:i w:val="false"/>
          <w:iCs w:val="false"/>
          <w:color w:val="000000"/>
          <w:sz w:val="22"/>
          <w:szCs w:val="22"/>
        </w:rPr>
        <w:t xml:space="preserve">[CEO/COO]</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Customer Notifications: Drafted by the Communications Team in coordination with Customer Success, reviewed and approved by Legal Counsel, and authorized by </w:t>
      </w:r>
      <w:r>
        <w:rPr>
          <w:rFonts w:ascii="Calibri" w:cs="Calibri" w:eastAsia="Calibri" w:hAnsi="Calibri"/>
          <w:b/>
          <w:bCs/>
          <w:i w:val="false"/>
          <w:iCs w:val="false"/>
          <w:color w:val="000000"/>
          <w:sz w:val="22"/>
          <w:szCs w:val="22"/>
        </w:rPr>
        <w:t xml:space="preserve">[GENERAL COUNSEL OR CEO]</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Regulatory Notifications: Drafted by Legal Counsel, reviewed by outside counsel (if engaged), and authorized by </w:t>
      </w:r>
      <w:r>
        <w:rPr>
          <w:rFonts w:ascii="Calibri" w:cs="Calibri" w:eastAsia="Calibri" w:hAnsi="Calibri"/>
          <w:b/>
          <w:bCs/>
          <w:i w:val="false"/>
          <w:iCs w:val="false"/>
          <w:color w:val="000000"/>
          <w:sz w:val="22"/>
          <w:szCs w:val="22"/>
        </w:rPr>
        <w:t xml:space="preserve">[GENERAL COUNSEL]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Insurance Notifications: Drafted by the Insurance Liaison, reviewed by Legal Counsel, and authorized by </w:t>
      </w:r>
      <w:r>
        <w:rPr>
          <w:rFonts w:ascii="Calibri" w:cs="Calibri" w:eastAsia="Calibri" w:hAnsi="Calibri"/>
          <w:b/>
          <w:bCs/>
          <w:i w:val="false"/>
          <w:iCs w:val="false"/>
          <w:color w:val="000000"/>
          <w:sz w:val="22"/>
          <w:szCs w:val="22"/>
        </w:rPr>
        <w:t xml:space="preserve">[GENERAL COUNSEL OR CFO]</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Law-Enforcement Communications: Coordinated by Legal Counsel and authorized by </w:t>
      </w:r>
      <w:r>
        <w:rPr>
          <w:rFonts w:ascii="Calibri" w:cs="Calibri" w:eastAsia="Calibri" w:hAnsi="Calibri"/>
          <w:b/>
          <w:bCs/>
          <w:i w:val="false"/>
          <w:iCs w:val="false"/>
          <w:color w:val="000000"/>
          <w:sz w:val="22"/>
          <w:szCs w:val="22"/>
        </w:rPr>
        <w:t xml:space="preserve">[GENERAL COUNSEL]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Media Statements and Press Responses: Drafted by the Communications Team, reviewed and approved by Legal Counsel and </w:t>
      </w:r>
      <w:r>
        <w:rPr>
          <w:rFonts w:ascii="Calibri" w:cs="Calibri" w:eastAsia="Calibri" w:hAnsi="Calibri"/>
          <w:b/>
          <w:bCs/>
          <w:i w:val="false"/>
          <w:iCs w:val="false"/>
          <w:color w:val="000000"/>
          <w:sz w:val="22"/>
          <w:szCs w:val="22"/>
        </w:rPr>
        <w:t xml:space="preserve">[CEO/COO]</w:t>
      </w:r>
      <w:r>
        <w:rPr>
          <w:rFonts w:ascii="Calibri" w:cs="Calibri" w:eastAsia="Calibri" w:hAnsi="Calibri"/>
          <w:b w:val="false"/>
          <w:bCs w:val="false"/>
          <w:i w:val="false"/>
          <w:iCs w:val="false"/>
          <w:color w:val="000000"/>
          <w:sz w:val="22"/>
          <w:szCs w:val="22"/>
        </w:rPr>
        <w:t xml:space="preserve">. Only the designated Company spokesperson may communicate with the media.</w:t>
      </w:r>
    </w:p>
    <w:p>
      <w:pPr>
        <w:pStyle w:val="Heading2"/>
        <w:keepNext/>
        <w:spacing w:after="120" w:before="240"/>
      </w:pPr>
      <w:r>
        <w:rPr>
          <w:rFonts w:ascii="Calibri" w:cs="Calibri" w:eastAsia="Calibri" w:hAnsi="Calibri"/>
          <w:b/>
          <w:bCs/>
          <w:color w:val="1F3864"/>
          <w:sz w:val="26"/>
          <w:szCs w:val="26"/>
        </w:rPr>
        <w:t xml:space="preserve">10.2  Workforce Communications</w:t>
      </w:r>
    </w:p>
    <w:p>
      <w:pPr>
        <w:spacing w:after="120" w:line="276"/>
      </w:pPr>
      <w:r>
        <w:rPr>
          <w:rFonts w:ascii="Calibri" w:cs="Calibri" w:eastAsia="Calibri" w:hAnsi="Calibri"/>
          <w:b w:val="false"/>
          <w:bCs w:val="false"/>
          <w:i w:val="false"/>
          <w:iCs w:val="false"/>
          <w:color w:val="000000"/>
          <w:sz w:val="22"/>
          <w:szCs w:val="22"/>
        </w:rPr>
        <w:t xml:space="preserve">The Incident Commander will authorize internal communications to the Workforce as warranted by the Incident. Workforce communications should: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the Company is aware of the situation and has activated its response plan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Provide clear, actionable instructions (e.g., mandatory password resets, phishing awareness, restrictions on discussing the Incident externally)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Direct all media, customer, and external inquiries to the designated spokesperson and contact channels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Avoid technical details, legal conclusions, or speculative statements about scope, cause, or blame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Be distributed through pre-approved secure channels (e.g., </w:t>
      </w:r>
      <w:r>
        <w:rPr>
          <w:rFonts w:ascii="Calibri" w:cs="Calibri" w:eastAsia="Calibri" w:hAnsi="Calibri"/>
          <w:b/>
          <w:bCs/>
          <w:i w:val="false"/>
          <w:iCs w:val="false"/>
          <w:color w:val="000000"/>
          <w:sz w:val="22"/>
          <w:szCs w:val="22"/>
        </w:rPr>
        <w:t xml:space="preserve">[INTRANET, SECURE EMAIL, INTERNAL MESSAGING PLATFORM]</w:t>
      </w:r>
      <w:r>
        <w:rPr>
          <w:rFonts w:ascii="Calibri" w:cs="Calibri" w:eastAsia="Calibri" w:hAnsi="Calibri"/>
          <w:b w:val="false"/>
          <w:bCs w:val="false"/>
          <w:i w:val="false"/>
          <w:iCs w:val="false"/>
          <w:color w:val="000000"/>
          <w:sz w:val="22"/>
          <w:szCs w:val="22"/>
        </w:rPr>
        <w:t xml:space="preserve">)</w:t>
      </w:r>
    </w:p>
    <w:p>
      <w:pPr>
        <w:pStyle w:val="Heading2"/>
        <w:keepNext/>
        <w:spacing w:after="120" w:before="240"/>
      </w:pPr>
      <w:r>
        <w:rPr>
          <w:rFonts w:ascii="Calibri" w:cs="Calibri" w:eastAsia="Calibri" w:hAnsi="Calibri"/>
          <w:b/>
          <w:bCs/>
          <w:color w:val="1F3864"/>
          <w:sz w:val="26"/>
          <w:szCs w:val="26"/>
        </w:rPr>
        <w:t xml:space="preserve">10.3  Executive and Board Communications</w:t>
      </w:r>
    </w:p>
    <w:p>
      <w:pPr>
        <w:spacing w:after="120" w:line="276"/>
      </w:pPr>
      <w:r>
        <w:rPr>
          <w:rFonts w:ascii="Calibri" w:cs="Calibri" w:eastAsia="Calibri" w:hAnsi="Calibri"/>
          <w:b w:val="false"/>
          <w:bCs w:val="false"/>
          <w:i w:val="false"/>
          <w:iCs w:val="false"/>
          <w:color w:val="000000"/>
          <w:sz w:val="22"/>
          <w:szCs w:val="22"/>
        </w:rPr>
        <w:t xml:space="preserve">The Incident Commander will provide status briefings to Executive Leadership at the following cadence, adjusted based on Severity: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Severity 1 (Critical): Initial briefing within [1 HOUR]; subsequent briefings every [2-4 HOURS] or upon material developments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Severity 2 (High): Initial briefing within [2 HOURS]; subsequent briefings every [4-8 HOURS] or upon material developments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Severity 3 (Medium): Daily summary briefing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Severity 4 (Informational): Weekly summary or as warranted</w:t>
      </w:r>
    </w:p>
    <w:p>
      <w:pPr>
        <w:spacing w:after="120" w:line="276"/>
      </w:pPr>
      <w:r>
        <w:rPr>
          <w:rFonts w:ascii="Calibri" w:cs="Calibri" w:eastAsia="Calibri" w:hAnsi="Calibri"/>
          <w:b w:val="false"/>
          <w:bCs w:val="false"/>
          <w:i w:val="false"/>
          <w:iCs w:val="false"/>
          <w:color w:val="000000"/>
          <w:sz w:val="22"/>
          <w:szCs w:val="22"/>
        </w:rPr>
        <w:t xml:space="preserve">Board notification is required for all Severity 1 Incidents and for any Incident that the Incident Commander, General Counsel, or CEO determines may have a material impact on the Company. Board notification will be provided to </w:t>
      </w:r>
      <w:r>
        <w:rPr>
          <w:rFonts w:ascii="Calibri" w:cs="Calibri" w:eastAsia="Calibri" w:hAnsi="Calibri"/>
          <w:b/>
          <w:bCs/>
          <w:i w:val="false"/>
          <w:iCs w:val="false"/>
          <w:color w:val="000000"/>
          <w:sz w:val="22"/>
          <w:szCs w:val="22"/>
        </w:rPr>
        <w:t xml:space="preserve">[BOARD CHAIR / AUDIT COMMITTEE CHAIR / FULL BOARD]</w:t>
      </w:r>
      <w:r>
        <w:rPr>
          <w:rFonts w:ascii="Calibri" w:cs="Calibri" w:eastAsia="Calibri" w:hAnsi="Calibri"/>
          <w:b w:val="false"/>
          <w:bCs w:val="false"/>
          <w:i w:val="false"/>
          <w:iCs w:val="false"/>
          <w:color w:val="000000"/>
          <w:sz w:val="22"/>
          <w:szCs w:val="22"/>
        </w:rPr>
        <w:t xml:space="preserve"> through </w:t>
      </w:r>
      <w:r>
        <w:rPr>
          <w:rFonts w:ascii="Calibri" w:cs="Calibri" w:eastAsia="Calibri" w:hAnsi="Calibri"/>
          <w:b/>
          <w:bCs/>
          <w:i w:val="false"/>
          <w:iCs w:val="false"/>
          <w:color w:val="000000"/>
          <w:sz w:val="22"/>
          <w:szCs w:val="22"/>
        </w:rPr>
        <w:t xml:space="preserve">[SECURE COMMUNICATION CHANNEL]</w:t>
      </w:r>
      <w:r>
        <w:rPr>
          <w:rFonts w:ascii="Calibri" w:cs="Calibri" w:eastAsia="Calibri" w:hAnsi="Calibri"/>
          <w:b w:val="false"/>
          <w:bCs w:val="false"/>
          <w:i w:val="false"/>
          <w:iCs w:val="false"/>
          <w:color w:val="000000"/>
          <w:sz w:val="22"/>
          <w:szCs w:val="22"/>
        </w:rPr>
        <w:t xml:space="preserve">.</w:t>
      </w:r>
    </w:p>
    <w:p>
      <w:pPr>
        <w:pStyle w:val="Heading2"/>
        <w:keepNext/>
        <w:spacing w:after="120" w:before="240"/>
      </w:pPr>
      <w:r>
        <w:rPr>
          <w:rFonts w:ascii="Calibri" w:cs="Calibri" w:eastAsia="Calibri" w:hAnsi="Calibri"/>
          <w:b/>
          <w:bCs/>
          <w:color w:val="1F3864"/>
          <w:sz w:val="26"/>
          <w:szCs w:val="26"/>
        </w:rPr>
        <w:t xml:space="preserve">10.4  Customer Notifications</w:t>
      </w:r>
    </w:p>
    <w:p>
      <w:pPr>
        <w:spacing w:after="120" w:line="276"/>
      </w:pPr>
      <w:r>
        <w:rPr>
          <w:rFonts w:ascii="Calibri" w:cs="Calibri" w:eastAsia="Calibri" w:hAnsi="Calibri"/>
          <w:b w:val="false"/>
          <w:bCs w:val="false"/>
          <w:i w:val="false"/>
          <w:iCs w:val="false"/>
          <w:color w:val="000000"/>
          <w:sz w:val="22"/>
          <w:szCs w:val="22"/>
        </w:rPr>
        <w:t xml:space="preserve">Customer notifications must comply with all applicable legal requirements (see Section 9) and should be designed to: (a) inform affected customers clearly and accurately; (b) describe the steps the Company has taken and is taking; (c) provide actionable guidance for customers to protect themselves; and (d) offer appropriate remediation services (e.g., credit monitoring, identity-theft protection). Communication templates for customer notifications are provided in Exhibit F.</w:t>
      </w:r>
    </w:p>
    <w:p>
      <w:pPr>
        <w:spacing w:after="120" w:line="276"/>
      </w:pPr>
      <w:r>
        <w:rPr>
          <w:rFonts w:ascii="Calibri" w:cs="Calibri" w:eastAsia="Calibri" w:hAnsi="Calibri"/>
          <w:b w:val="false"/>
          <w:bCs w:val="false"/>
          <w:i w:val="false"/>
          <w:iCs w:val="false"/>
          <w:color w:val="000000"/>
          <w:sz w:val="22"/>
          <w:szCs w:val="22"/>
        </w:rPr>
        <w:t xml:space="preserve">The timing, content, and delivery method of customer notifications must be coordinated among Legal Counsel, the Communications Team, Customer Success, and the Incident Commander. Legal Counsel will determine the legally required timing; the Incident Commander may authorize earlier voluntary notification if doing so serves the Company's interests and will not compromise the investigation.</w:t>
      </w:r>
    </w:p>
    <w:p>
      <w:pPr>
        <w:pStyle w:val="Heading2"/>
        <w:keepNext/>
        <w:spacing w:after="120" w:before="240"/>
      </w:pPr>
      <w:r>
        <w:rPr>
          <w:rFonts w:ascii="Calibri" w:cs="Calibri" w:eastAsia="Calibri" w:hAnsi="Calibri"/>
          <w:b/>
          <w:bCs/>
          <w:color w:val="1F3864"/>
          <w:sz w:val="26"/>
          <w:szCs w:val="26"/>
        </w:rPr>
        <w:t xml:space="preserve">10.5  Regulatory Notifications</w:t>
      </w:r>
    </w:p>
    <w:p>
      <w:pPr>
        <w:spacing w:after="120" w:line="276"/>
      </w:pPr>
      <w:r>
        <w:rPr>
          <w:rFonts w:ascii="Calibri" w:cs="Calibri" w:eastAsia="Calibri" w:hAnsi="Calibri"/>
          <w:b w:val="false"/>
          <w:bCs w:val="false"/>
          <w:i w:val="false"/>
          <w:iCs w:val="false"/>
          <w:color w:val="000000"/>
          <w:sz w:val="22"/>
          <w:szCs w:val="22"/>
        </w:rPr>
        <w:t xml:space="preserve">Regulatory notifications must be prepared by Legal Counsel (or outside counsel) and must comply with the specific content, format, and timing requirements of each applicable law or regulation. The Legal Obligations Tracker (Exhibit D) will be used to manage regulatory notification deadlines and content requirements. Key regulatory notification channels include: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[STATE ATTORNEYS GENERAL]</w:t>
      </w:r>
      <w:r>
        <w:rPr>
          <w:rFonts w:ascii="Calibri" w:cs="Calibri" w:eastAsia="Calibri" w:hAnsi="Calibri"/>
          <w:b w:val="false"/>
          <w:bCs w:val="false"/>
          <w:i w:val="false"/>
          <w:iCs w:val="false"/>
          <w:color w:val="000000"/>
          <w:sz w:val="22"/>
          <w:szCs w:val="22"/>
        </w:rPr>
        <w:t xml:space="preserve"> — for state breach-notification statutes requiring AG notification</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[HHS OFFICE FOR CIVIL RIGHTS]</w:t>
      </w:r>
      <w:r>
        <w:rPr>
          <w:rFonts w:ascii="Calibri" w:cs="Calibri" w:eastAsia="Calibri" w:hAnsi="Calibri"/>
          <w:b w:val="false"/>
          <w:bCs w:val="false"/>
          <w:i w:val="false"/>
          <w:iCs w:val="false"/>
          <w:color w:val="000000"/>
          <w:sz w:val="22"/>
          <w:szCs w:val="22"/>
        </w:rPr>
        <w:t xml:space="preserve"> — for HIPAA-covered Breaches</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[FTC]</w:t>
      </w:r>
      <w:r>
        <w:rPr>
          <w:rFonts w:ascii="Calibri" w:cs="Calibri" w:eastAsia="Calibri" w:hAnsi="Calibri"/>
          <w:b w:val="false"/>
          <w:bCs w:val="false"/>
          <w:i w:val="false"/>
          <w:iCs w:val="false"/>
          <w:color w:val="000000"/>
          <w:sz w:val="22"/>
          <w:szCs w:val="22"/>
        </w:rPr>
        <w:t xml:space="preserve"> — for Incidents involving unfair or deceptive practices or children's data</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[SEC]</w:t>
      </w:r>
      <w:r>
        <w:rPr>
          <w:rFonts w:ascii="Calibri" w:cs="Calibri" w:eastAsia="Calibri" w:hAnsi="Calibri"/>
          <w:b w:val="false"/>
          <w:bCs w:val="false"/>
          <w:i w:val="false"/>
          <w:iCs w:val="false"/>
          <w:color w:val="000000"/>
          <w:sz w:val="22"/>
          <w:szCs w:val="22"/>
        </w:rPr>
        <w:t xml:space="preserve"> — for material cybersecurity incidents requiring public-company disclosure</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[APPLICABLE EU/EEA SUPERVISORY AUTHORITIES]</w:t>
      </w:r>
      <w:r>
        <w:rPr>
          <w:rFonts w:ascii="Calibri" w:cs="Calibri" w:eastAsia="Calibri" w:hAnsi="Calibri"/>
          <w:b w:val="false"/>
          <w:bCs w:val="false"/>
          <w:i w:val="false"/>
          <w:iCs w:val="false"/>
          <w:color w:val="000000"/>
          <w:sz w:val="22"/>
          <w:szCs w:val="22"/>
        </w:rPr>
        <w:t xml:space="preserve"> — for GDPR-regulated data</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[OTHER APPLICABLE REGULATORS]</w:t>
      </w:r>
      <w:r>
        <w:rPr>
          <w:rFonts w:ascii="Calibri" w:cs="Calibri" w:eastAsia="Calibri" w:hAnsi="Calibri"/>
          <w:b w:val="false"/>
          <w:bCs w:val="false"/>
          <w:i w:val="false"/>
          <w:iCs w:val="false"/>
          <w:color w:val="000000"/>
          <w:sz w:val="22"/>
          <w:szCs w:val="22"/>
        </w:rPr>
        <w:t xml:space="preserve"> — as identified by Legal Counsel</w:t>
      </w:r>
    </w:p>
    <w:p>
      <w:pPr>
        <w:pStyle w:val="Heading2"/>
        <w:keepNext/>
        <w:spacing w:after="120" w:before="240"/>
      </w:pPr>
      <w:r>
        <w:rPr>
          <w:rFonts w:ascii="Calibri" w:cs="Calibri" w:eastAsia="Calibri" w:hAnsi="Calibri"/>
          <w:b/>
          <w:bCs/>
          <w:color w:val="1F3864"/>
          <w:sz w:val="26"/>
          <w:szCs w:val="26"/>
        </w:rPr>
        <w:t xml:space="preserve">10.6  Insurance Carrier Communications</w:t>
      </w:r>
    </w:p>
    <w:p>
      <w:pPr>
        <w:spacing w:after="120" w:line="276"/>
      </w:pPr>
      <w:r>
        <w:rPr>
          <w:rFonts w:ascii="Calibri" w:cs="Calibri" w:eastAsia="Calibri" w:hAnsi="Calibri"/>
          <w:b w:val="false"/>
          <w:bCs w:val="false"/>
          <w:i w:val="false"/>
          <w:iCs w:val="false"/>
          <w:color w:val="000000"/>
          <w:sz w:val="22"/>
          <w:szCs w:val="22"/>
        </w:rPr>
        <w:t xml:space="preserve">The Insurance Liaison will provide timely notice to the Company's cyber insurance carrier in accordance with the policy requirements (see Section 9.4). All communications to the insurer will be reviewed by Legal Counsel to ensure that they are factual, do not include privileged information, and do not inadvertently prejudice the Company's coverage position.</w:t>
      </w:r>
    </w:p>
    <w:p>
      <w:pPr>
        <w:pStyle w:val="Heading2"/>
        <w:keepNext/>
        <w:spacing w:after="120" w:before="240"/>
      </w:pPr>
      <w:r>
        <w:rPr>
          <w:rFonts w:ascii="Calibri" w:cs="Calibri" w:eastAsia="Calibri" w:hAnsi="Calibri"/>
          <w:b/>
          <w:bCs/>
          <w:color w:val="1F3864"/>
          <w:sz w:val="26"/>
          <w:szCs w:val="26"/>
        </w:rPr>
        <w:t xml:space="preserve">10.7  Law-Enforcement Communications</w:t>
      </w:r>
    </w:p>
    <w:p>
      <w:pPr>
        <w:spacing w:after="120" w:line="276"/>
      </w:pPr>
      <w:r>
        <w:rPr>
          <w:rFonts w:ascii="Calibri" w:cs="Calibri" w:eastAsia="Calibri" w:hAnsi="Calibri"/>
          <w:b w:val="false"/>
          <w:bCs w:val="false"/>
          <w:i w:val="false"/>
          <w:iCs w:val="false"/>
          <w:color w:val="000000"/>
          <w:sz w:val="22"/>
          <w:szCs w:val="22"/>
        </w:rPr>
        <w:t xml:space="preserve">Legal Counsel will determine whether and when to engage law enforcement, considering the nature of the Incident, the threat actor, the potential for ongoing criminal activity, and the Company's strategic interests. Communications with law enforcement will be coordinated by Legal Counsel and will disclose only non-privileged, factual information. The Company will cooperate with law-enforcement requests to the extent required by law and consistent with the Company's interests, as determined by Legal Counsel.</w:t>
      </w:r>
    </w:p>
    <w:p>
      <w:pPr>
        <w:pStyle w:val="Heading2"/>
        <w:keepNext/>
        <w:spacing w:after="120" w:before="240"/>
      </w:pPr>
      <w:r>
        <w:rPr>
          <w:rFonts w:ascii="Calibri" w:cs="Calibri" w:eastAsia="Calibri" w:hAnsi="Calibri"/>
          <w:b/>
          <w:bCs/>
          <w:color w:val="1F3864"/>
          <w:sz w:val="26"/>
          <w:szCs w:val="26"/>
        </w:rPr>
        <w:t xml:space="preserve">10.8  Media and Public Communications</w:t>
      </w:r>
    </w:p>
    <w:p>
      <w:pPr>
        <w:spacing w:after="120" w:line="276"/>
      </w:pPr>
      <w:r>
        <w:rPr>
          <w:rFonts w:ascii="Calibri" w:cs="Calibri" w:eastAsia="Calibri" w:hAnsi="Calibri"/>
          <w:b w:val="false"/>
          <w:bCs w:val="false"/>
          <w:i w:val="false"/>
          <w:iCs w:val="false"/>
          <w:color w:val="000000"/>
          <w:sz w:val="22"/>
          <w:szCs w:val="22"/>
        </w:rPr>
        <w:t xml:space="preserve">The designated Company spokesperson for Incident-related media communications is </w:t>
      </w:r>
      <w:r>
        <w:rPr>
          <w:rFonts w:ascii="Calibri" w:cs="Calibri" w:eastAsia="Calibri" w:hAnsi="Calibri"/>
          <w:b/>
          <w:bCs/>
          <w:i w:val="false"/>
          <w:iCs w:val="false"/>
          <w:color w:val="000000"/>
          <w:sz w:val="22"/>
          <w:szCs w:val="22"/>
        </w:rPr>
        <w:t xml:space="preserve">[NAME/TITLE]</w:t>
      </w:r>
      <w:r>
        <w:rPr>
          <w:rFonts w:ascii="Calibri" w:cs="Calibri" w:eastAsia="Calibri" w:hAnsi="Calibri"/>
          <w:b w:val="false"/>
          <w:bCs w:val="false"/>
          <w:i w:val="false"/>
          <w:iCs w:val="false"/>
          <w:color w:val="000000"/>
          <w:sz w:val="22"/>
          <w:szCs w:val="22"/>
        </w:rPr>
        <w:t xml:space="preserve">. No other individual is authorized to speak with the media regarding the Incident unless specifically authorized by </w:t>
      </w:r>
      <w:r>
        <w:rPr>
          <w:rFonts w:ascii="Calibri" w:cs="Calibri" w:eastAsia="Calibri" w:hAnsi="Calibri"/>
          <w:b/>
          <w:bCs/>
          <w:i w:val="false"/>
          <w:iCs w:val="false"/>
          <w:color w:val="000000"/>
          <w:sz w:val="22"/>
          <w:szCs w:val="22"/>
        </w:rPr>
        <w:t xml:space="preserve">[CEO/COO]</w:t>
      </w:r>
      <w:r>
        <w:rPr>
          <w:rFonts w:ascii="Calibri" w:cs="Calibri" w:eastAsia="Calibri" w:hAnsi="Calibri"/>
          <w:b w:val="false"/>
          <w:bCs w:val="false"/>
          <w:i w:val="false"/>
          <w:iCs w:val="false"/>
          <w:color w:val="000000"/>
          <w:sz w:val="22"/>
          <w:szCs w:val="22"/>
        </w:rPr>
        <w:t xml:space="preserve"> and Legal Counsel.</w:t>
      </w:r>
    </w:p>
    <w:p>
      <w:pPr>
        <w:spacing w:after="120" w:line="276"/>
      </w:pPr>
      <w:r>
        <w:rPr>
          <w:rFonts w:ascii="Calibri" w:cs="Calibri" w:eastAsia="Calibri" w:hAnsi="Calibri"/>
          <w:b w:val="false"/>
          <w:bCs w:val="false"/>
          <w:i w:val="false"/>
          <w:iCs w:val="false"/>
          <w:color w:val="000000"/>
          <w:sz w:val="22"/>
          <w:szCs w:val="22"/>
        </w:rPr>
        <w:t xml:space="preserve">Media response protocols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All media inquiries are directed to </w:t>
      </w:r>
      <w:r>
        <w:rPr>
          <w:rFonts w:ascii="Calibri" w:cs="Calibri" w:eastAsia="Calibri" w:hAnsi="Calibri"/>
          <w:b/>
          <w:bCs/>
          <w:i w:val="false"/>
          <w:iCs w:val="false"/>
          <w:color w:val="000000"/>
          <w:sz w:val="22"/>
          <w:szCs w:val="22"/>
        </w:rPr>
        <w:t xml:space="preserve">[MEDIA CONTACT EMAIL/PHONE]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Holding statements and approved talking points are prepared by the Communications Team and approved by Legal Counsel before any media engagement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Company will not speculate about the cause, scope, or impact of the Incident in media communications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Company will not confirm technical details that could aid the threat actor or compromise the investigation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Social media monitoring will be conducted by </w:t>
      </w:r>
      <w:r>
        <w:rPr>
          <w:rFonts w:ascii="Calibri" w:cs="Calibri" w:eastAsia="Calibri" w:hAnsi="Calibri"/>
          <w:b/>
          <w:bCs/>
          <w:i w:val="false"/>
          <w:iCs w:val="false"/>
          <w:color w:val="000000"/>
          <w:sz w:val="22"/>
          <w:szCs w:val="22"/>
        </w:rPr>
        <w:t xml:space="preserve">[TEAM/TOOL]</w:t>
      </w:r>
      <w:r>
        <w:rPr>
          <w:rFonts w:ascii="Calibri" w:cs="Calibri" w:eastAsia="Calibri" w:hAnsi="Calibri"/>
          <w:b w:val="false"/>
          <w:bCs w:val="false"/>
          <w:i w:val="false"/>
          <w:iCs w:val="false"/>
          <w:color w:val="000000"/>
          <w:sz w:val="22"/>
          <w:szCs w:val="22"/>
        </w:rPr>
        <w:t xml:space="preserve"> to identify and respond to inaccurate public statements</w:t>
      </w:r>
    </w:p>
    <w:p>
      <w:r>
        <w:br w:type="page"/>
      </w:r>
    </w:p>
    <w:p>
      <w:pPr>
        <w:pStyle w:val="Heading1"/>
        <w:keepNext/>
        <w:spacing w:after="200" w:before="360"/>
      </w:pPr>
      <w:r>
        <w:rPr>
          <w:rFonts w:ascii="Calibri" w:cs="Calibri" w:eastAsia="Calibri" w:hAnsi="Calibri"/>
          <w:b/>
          <w:bCs/>
          <w:color w:val="1F3864"/>
          <w:sz w:val="32"/>
          <w:szCs w:val="32"/>
        </w:rPr>
        <w:t xml:space="preserve">11.  ERADICATION AND RECOVERY</w:t>
      </w:r>
    </w:p>
    <w:p>
      <w:pPr>
        <w:spacing w:after="120" w:line="276"/>
      </w:pPr>
      <w:r>
        <w:rPr>
          <w:rFonts w:ascii="Calibri" w:cs="Calibri" w:eastAsia="Calibri" w:hAnsi="Calibri"/>
          <w:b w:val="false"/>
          <w:bCs w:val="false"/>
          <w:i w:val="false"/>
          <w:iCs w:val="false"/>
          <w:color w:val="000000"/>
          <w:sz w:val="22"/>
          <w:szCs w:val="22"/>
        </w:rPr>
        <w:t xml:space="preserve">Eradication and Recovery are the final operational phases of the Incident response lifecycle. Eradication involves eliminating the root cause and all traces of the threat actor's presence. Recovery involves restoring affected systems and services to normal, verified operational status. Both phases must be completed before the Incident Commander declares Closure. All eradication and recovery actions must be recorded in the Authoritative Timeline (Section 6).</w:t>
      </w:r>
    </w:p>
    <w:p>
      <w:pPr>
        <w:pStyle w:val="Heading2"/>
        <w:keepNext/>
        <w:spacing w:after="120" w:before="240"/>
      </w:pPr>
      <w:r>
        <w:rPr>
          <w:rFonts w:ascii="Calibri" w:cs="Calibri" w:eastAsia="Calibri" w:hAnsi="Calibri"/>
          <w:b/>
          <w:bCs/>
          <w:color w:val="1F3864"/>
          <w:sz w:val="26"/>
          <w:szCs w:val="26"/>
        </w:rPr>
        <w:t xml:space="preserve">11.1  Remove Persistence Mechanisms</w:t>
      </w:r>
    </w:p>
    <w:p>
      <w:pPr>
        <w:spacing w:after="120" w:line="276"/>
      </w:pPr>
      <w:r>
        <w:rPr>
          <w:rFonts w:ascii="Calibri" w:cs="Calibri" w:eastAsia="Calibri" w:hAnsi="Calibri"/>
          <w:b w:val="false"/>
          <w:bCs w:val="false"/>
          <w:i w:val="false"/>
          <w:iCs w:val="false"/>
          <w:color w:val="000000"/>
          <w:sz w:val="22"/>
          <w:szCs w:val="22"/>
        </w:rPr>
        <w:t xml:space="preserve">The Security/IT Team, in coordination with outside forensic investigators (if engaged), will identify and remove all persistence mechanisms established by the threat actor: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Remove malware, backdoors, web shells, rootkits, and other malicious software from all affected systems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Delete rogue user accounts, unauthorized SSH keys, and unauthorized API credentials created by the threat actor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Remove unauthorized scheduled tasks, cron jobs, startup scripts, and registry modifications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and restore modified system configurations, Group Policy Objects, and infrastructure-as-code templates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Inspect and clean firmware, BIOS/UEFI, and boot sectors if firmware-level compromise is suspected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Validate that no command-and-control (C2) channels remain active by monitoring outbound network traffic</w:t>
      </w:r>
    </w:p>
    <w:p>
      <w:pPr>
        <w:pStyle w:val="Heading2"/>
        <w:keepNext/>
        <w:spacing w:after="120" w:before="240"/>
      </w:pPr>
      <w:r>
        <w:rPr>
          <w:rFonts w:ascii="Calibri" w:cs="Calibri" w:eastAsia="Calibri" w:hAnsi="Calibri"/>
          <w:b/>
          <w:bCs/>
          <w:color w:val="1F3864"/>
          <w:sz w:val="26"/>
          <w:szCs w:val="26"/>
        </w:rPr>
        <w:t xml:space="preserve">11.2  Patch Vulnerabilities</w:t>
      </w:r>
    </w:p>
    <w:p>
      <w:pPr>
        <w:spacing w:after="120" w:line="276"/>
      </w:pPr>
      <w:r>
        <w:rPr>
          <w:rFonts w:ascii="Calibri" w:cs="Calibri" w:eastAsia="Calibri" w:hAnsi="Calibri"/>
          <w:b w:val="false"/>
          <w:bCs w:val="false"/>
          <w:i w:val="false"/>
          <w:iCs w:val="false"/>
          <w:color w:val="000000"/>
          <w:sz w:val="22"/>
          <w:szCs w:val="22"/>
        </w:rPr>
        <w:t xml:space="preserve">The Security/IT Team will identify and remediate all vulnerabilities exploited by the threat actor and any related vulnerabilities that could enable a similar attack:</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Apply security patches, hotfixes, and configuration changes to address the exploited entry vector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Conduct a targeted vulnerability scan of affected systems and adjacent systems to identify related weaknesses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Update firewall rules, IPS signatures, WAF rules, and email-filtering rules to block known attack patterns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and harden system configurations against applicable benchmarks (e.g., CIS Benchmarks, DISA STIGs, vendor hardening guides)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Evaluate whether the exploited vulnerability exists in other Company systems and remediate proactively</w:t>
      </w:r>
    </w:p>
    <w:p>
      <w:pPr>
        <w:pStyle w:val="Heading2"/>
        <w:keepNext/>
        <w:spacing w:after="120" w:before="240"/>
      </w:pPr>
      <w:r>
        <w:rPr>
          <w:rFonts w:ascii="Calibri" w:cs="Calibri" w:eastAsia="Calibri" w:hAnsi="Calibri"/>
          <w:b/>
          <w:bCs/>
          <w:color w:val="1F3864"/>
          <w:sz w:val="26"/>
          <w:szCs w:val="26"/>
        </w:rPr>
        <w:t xml:space="preserve">11.3  Credential Rotation</w:t>
      </w:r>
    </w:p>
    <w:p>
      <w:pPr>
        <w:spacing w:after="120" w:line="276"/>
      </w:pPr>
      <w:r>
        <w:rPr>
          <w:rFonts w:ascii="Calibri" w:cs="Calibri" w:eastAsia="Calibri" w:hAnsi="Calibri"/>
          <w:b w:val="false"/>
          <w:bCs w:val="false"/>
          <w:i w:val="false"/>
          <w:iCs w:val="false"/>
          <w:color w:val="000000"/>
          <w:sz w:val="22"/>
          <w:szCs w:val="22"/>
        </w:rPr>
        <w:t xml:space="preserve">The Security/IT Team will coordinate a comprehensive credential rotation for all accounts and secrets that were or may have been compromised: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Reset passwords for all affected user accounts and force re-authentication across all sessions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Rotate service account credentials, API keys, database passwords, and application secrets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Revoke and reissue digital certificates, including TLS/SSL certificates, code-signing certificates, and SAML signing keys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Rotate encryption keys for data-at-rest and data-in-transit, including keys managed by cloud key-management services (e.g., AWS KMS, Azure Key Vault, GCP Cloud KMS)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and enforce multi-factor authentication (MFA) for all user accounts, prioritizing privileged accounts and remote-access accounts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Conduct an access review to verify that all user and service accounts have appropriate, least-privilege access permissions</w:t>
      </w:r>
    </w:p>
    <w:p>
      <w:pPr>
        <w:pStyle w:val="Heading2"/>
        <w:keepNext/>
        <w:spacing w:after="120" w:before="240"/>
      </w:pPr>
      <w:r>
        <w:rPr>
          <w:rFonts w:ascii="Calibri" w:cs="Calibri" w:eastAsia="Calibri" w:hAnsi="Calibri"/>
          <w:b/>
          <w:bCs/>
          <w:color w:val="1F3864"/>
          <w:sz w:val="26"/>
          <w:szCs w:val="26"/>
        </w:rPr>
        <w:t xml:space="preserve">11.4  Validate Backups</w:t>
      </w:r>
    </w:p>
    <w:p>
      <w:pPr>
        <w:spacing w:after="120" w:line="276"/>
      </w:pPr>
      <w:r>
        <w:rPr>
          <w:rFonts w:ascii="Calibri" w:cs="Calibri" w:eastAsia="Calibri" w:hAnsi="Calibri"/>
          <w:b w:val="false"/>
          <w:bCs w:val="false"/>
          <w:i w:val="false"/>
          <w:iCs w:val="false"/>
          <w:color w:val="000000"/>
          <w:sz w:val="22"/>
          <w:szCs w:val="22"/>
        </w:rPr>
        <w:t xml:space="preserve">Before initiating system restoration, the Security/IT Team must validate the integrity and cleanliness of backups: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Identify the most recent clean backup for each affected system — a backup created before the estimated date of initial compromise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backup integrity using checksums, hash comparisons, and test restores in an isolated environment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Scan backup data for malware, backdoors, and other indicators of compromise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If no clean backup is available, escalate to the Incident Commander for alternative recovery planning (e.g., clean rebuild from known-good configuration templates)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Document the selected backup for each system, including the backup date, integrity-verification results, and scan results, in the Recovery Checklist (Exhibit G)</w:t>
      </w:r>
    </w:p>
    <w:p>
      <w:pPr>
        <w:pStyle w:val="Heading2"/>
        <w:keepNext/>
        <w:spacing w:after="120" w:before="240"/>
      </w:pPr>
      <w:r>
        <w:rPr>
          <w:rFonts w:ascii="Calibri" w:cs="Calibri" w:eastAsia="Calibri" w:hAnsi="Calibri"/>
          <w:b/>
          <w:bCs/>
          <w:color w:val="1F3864"/>
          <w:sz w:val="26"/>
          <w:szCs w:val="26"/>
        </w:rPr>
        <w:t xml:space="preserve">11.5  Staged Restoration</w:t>
      </w:r>
    </w:p>
    <w:p>
      <w:pPr>
        <w:spacing w:after="120" w:line="276"/>
      </w:pPr>
      <w:r>
        <w:rPr>
          <w:rFonts w:ascii="Calibri" w:cs="Calibri" w:eastAsia="Calibri" w:hAnsi="Calibri"/>
          <w:b w:val="false"/>
          <w:bCs w:val="false"/>
          <w:i w:val="false"/>
          <w:iCs w:val="false"/>
          <w:color w:val="000000"/>
          <w:sz w:val="22"/>
          <w:szCs w:val="22"/>
        </w:rPr>
        <w:t xml:space="preserve">System restoration will be executed in stages to manage risk, validate each stage before proceeding, and prevent reintroduction of the threat: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Stage 1 — Infrastructure: Restore foundational infrastructure (network, DNS, Active Directory/IdP, authentication services) from validated backups or clean rebuilds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Stage 2 — Critical Services: Restore Critical Services in priority order as defined in the Company's Business Impact Analysis, validating each service before proceeding to the next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Stage 3 — Non-Critical Services: Restore remaining systems and services in priority order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Stage 4 — User Access: Re-enable user access in controlled phases, starting with a limited group, monitoring for anomalies, and expanding to full access upon verification</w:t>
      </w:r>
    </w:p>
    <w:p>
      <w:pPr>
        <w:spacing w:after="120" w:line="276"/>
      </w:pPr>
      <w:r>
        <w:rPr>
          <w:rFonts w:ascii="Calibri" w:cs="Calibri" w:eastAsia="Calibri" w:hAnsi="Calibri"/>
          <w:b w:val="false"/>
          <w:bCs w:val="false"/>
          <w:i w:val="false"/>
          <w:iCs w:val="false"/>
          <w:color w:val="000000"/>
          <w:sz w:val="22"/>
          <w:szCs w:val="22"/>
        </w:rPr>
        <w:t xml:space="preserve">Each stage must be validated by the Security/IT Team and approved by the Incident Commander before proceeding. Validation includes: functional testing, security scanning, monitoring review, and confirmation that no indicators of compromise are present.</w:t>
      </w:r>
    </w:p>
    <w:p>
      <w:pPr>
        <w:pStyle w:val="Heading2"/>
        <w:keepNext/>
        <w:spacing w:after="120" w:before="240"/>
      </w:pPr>
      <w:r>
        <w:rPr>
          <w:rFonts w:ascii="Calibri" w:cs="Calibri" w:eastAsia="Calibri" w:hAnsi="Calibri"/>
          <w:b/>
          <w:bCs/>
          <w:color w:val="1F3864"/>
          <w:sz w:val="26"/>
          <w:szCs w:val="26"/>
        </w:rPr>
        <w:t xml:space="preserve">11.6  Post-Recovery Monitoring</w:t>
      </w:r>
    </w:p>
    <w:p>
      <w:pPr>
        <w:spacing w:after="120" w:line="276"/>
      </w:pPr>
      <w:r>
        <w:rPr>
          <w:rFonts w:ascii="Calibri" w:cs="Calibri" w:eastAsia="Calibri" w:hAnsi="Calibri"/>
          <w:b w:val="false"/>
          <w:bCs w:val="false"/>
          <w:i w:val="false"/>
          <w:iCs w:val="false"/>
          <w:color w:val="000000"/>
          <w:sz w:val="22"/>
          <w:szCs w:val="22"/>
        </w:rPr>
        <w:t xml:space="preserve">Following restoration, the Security/IT Team will implement enhanced monitoring for a period of at least </w:t>
      </w:r>
      <w:r>
        <w:rPr>
          <w:rFonts w:ascii="Calibri" w:cs="Calibri" w:eastAsia="Calibri" w:hAnsi="Calibri"/>
          <w:b/>
          <w:bCs/>
          <w:i w:val="false"/>
          <w:iCs w:val="false"/>
          <w:color w:val="000000"/>
          <w:sz w:val="22"/>
          <w:szCs w:val="22"/>
        </w:rPr>
        <w:t xml:space="preserve">[MONITORING PERIOD, E.G., 90 DAYS]</w:t>
      </w:r>
      <w:r>
        <w:rPr>
          <w:rFonts w:ascii="Calibri" w:cs="Calibri" w:eastAsia="Calibri" w:hAnsi="Calibri"/>
          <w:b w:val="false"/>
          <w:bCs w:val="false"/>
          <w:i w:val="false"/>
          <w:iCs w:val="false"/>
          <w:color w:val="000000"/>
          <w:sz w:val="22"/>
          <w:szCs w:val="22"/>
        </w:rPr>
        <w:t xml:space="preserve"> to detect any recurrence, residual threat-actor activity, or related attacks: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Deploy additional detection rules, alerts, and log-analysis queries targeted at the specific tactics, techniques, and procedures (TTPs) observed during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Increase SIEM alert sensitivity and review thresholds for affected systems and network segments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Conduct periodic threat-hunting exercises focused on indicators of compromise associated with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Monitor dark-web forums, paste sites, and threat-intelligence feeds for Company data or credentials related to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Provide weekly monitoring summary reports to the Incident Commander until the enhanced monitoring period concludes</w:t>
      </w:r>
    </w:p>
    <w:p>
      <w:r>
        <w:br w:type="page"/>
      </w:r>
    </w:p>
    <w:p>
      <w:pPr>
        <w:pStyle w:val="Heading1"/>
        <w:keepNext/>
        <w:spacing w:after="200" w:before="360"/>
      </w:pPr>
      <w:r>
        <w:rPr>
          <w:rFonts w:ascii="Calibri" w:cs="Calibri" w:eastAsia="Calibri" w:hAnsi="Calibri"/>
          <w:b/>
          <w:bCs/>
          <w:color w:val="1F3864"/>
          <w:sz w:val="32"/>
          <w:szCs w:val="32"/>
        </w:rPr>
        <w:t xml:space="preserve">12.  RANSOMWARE AND EXTORTION</w:t>
      </w:r>
    </w:p>
    <w:p>
      <w:pPr>
        <w:spacing w:after="120" w:line="276"/>
      </w:pPr>
      <w:r>
        <w:rPr>
          <w:rFonts w:ascii="Calibri" w:cs="Calibri" w:eastAsia="Calibri" w:hAnsi="Calibri"/>
          <w:b w:val="false"/>
          <w:bCs w:val="false"/>
          <w:i w:val="false"/>
          <w:iCs w:val="false"/>
          <w:color w:val="000000"/>
          <w:sz w:val="22"/>
          <w:szCs w:val="22"/>
        </w:rPr>
        <w:t xml:space="preserve">Ransomware and extortion Incidents present unique challenges that require specialized response procedures in addition to the general Incident response framework established in this Plan. This Section supplements (and does not replace) the other Sections of this Plan. In a ransomware or extortion scenario, the Incident Commander will activate the full Incident Response Team and apply the procedures in this Section concurrently with the applicable general procedures.</w:t>
      </w:r>
    </w:p>
    <w:p>
      <w:pPr>
        <w:pStyle w:val="Heading2"/>
        <w:keepNext/>
        <w:spacing w:after="120" w:before="240"/>
      </w:pPr>
      <w:r>
        <w:rPr>
          <w:rFonts w:ascii="Calibri" w:cs="Calibri" w:eastAsia="Calibri" w:hAnsi="Calibri"/>
          <w:b/>
          <w:bCs/>
          <w:color w:val="1F3864"/>
          <w:sz w:val="26"/>
          <w:szCs w:val="26"/>
        </w:rPr>
        <w:t xml:space="preserve">12.1  Immediate Response Actions</w:t>
      </w:r>
    </w:p>
    <w:p>
      <w:pPr>
        <w:spacing w:after="120" w:line="276"/>
      </w:pPr>
      <w:r>
        <w:rPr>
          <w:rFonts w:ascii="Calibri" w:cs="Calibri" w:eastAsia="Calibri" w:hAnsi="Calibri"/>
          <w:b w:val="false"/>
          <w:bCs w:val="false"/>
          <w:i w:val="false"/>
          <w:iCs w:val="false"/>
          <w:color w:val="000000"/>
          <w:sz w:val="22"/>
          <w:szCs w:val="22"/>
        </w:rPr>
        <w:t xml:space="preserve">Upon identification of a ransomware or extortion event, the following immediate actions must be taken: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 not pay the ransom or respond to the threat actor without express authorization from Executive Leadership and Legal Counsel. Premature payment or communication may worsen the outcome.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Preserve all evidence of the ransom demand, including screenshots, emails, ransom notes, chat messages, cryptocurrency wallet addresses, and any other communications from the threat actor.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Immediately isolate affected systems to prevent further encryption or data destruction (see Section 7). Do not reboot or power off encrypted systems unless directed by forensic investigators, as this may destroy volatile evidence.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Determine the scope of encryption: Which systems, data stores, and backups are affected? Which remain unaffected?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whether data exfiltration has occurred in addition to encryption (double extortion). Review network traffic logs, data-loss prevention alerts, and cloud storage access logs for evidence of outbound data transfer.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Notify Legal Counsel immediately. Legal Counsel will activate the privilege protocol (Section 4) and assess notification obligations.</w:t>
      </w:r>
    </w:p>
    <w:p>
      <w:pPr>
        <w:pStyle w:val="Heading2"/>
        <w:keepNext/>
        <w:spacing w:after="120" w:before="240"/>
      </w:pPr>
      <w:r>
        <w:rPr>
          <w:rFonts w:ascii="Calibri" w:cs="Calibri" w:eastAsia="Calibri" w:hAnsi="Calibri"/>
          <w:b/>
          <w:bCs/>
          <w:color w:val="1F3864"/>
          <w:sz w:val="26"/>
          <w:szCs w:val="26"/>
        </w:rPr>
        <w:t xml:space="preserve">12.2  Legal Counsel Engagement</w:t>
      </w:r>
    </w:p>
    <w:p>
      <w:pPr>
        <w:spacing w:after="120" w:line="276"/>
      </w:pPr>
      <w:r>
        <w:rPr>
          <w:rFonts w:ascii="Calibri" w:cs="Calibri" w:eastAsia="Calibri" w:hAnsi="Calibri"/>
          <w:b w:val="false"/>
          <w:bCs w:val="false"/>
          <w:i w:val="false"/>
          <w:iCs w:val="false"/>
          <w:color w:val="000000"/>
          <w:sz w:val="22"/>
          <w:szCs w:val="22"/>
        </w:rPr>
        <w:t xml:space="preserve">Legal Counsel will play a central role in ransomware and extortion response: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 outside counsel with ransomware-specific experience, if not already engaged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the legal implications of ransom payment, including potential violations of sanctions laws, anti-money laundering regulations, and the policy positions of OFAC, FinCEN, and relevant international authorities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Direct outside forensic investigators under privilege to determine the scope of compromise, the viability of recovery without payment, and the credibility of the threat actor's claims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Advise on disclosure obligations, including whether and when to notify regulators, customers, and law enforcement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Evaluate litigation risk, including potential class-action exposure, regulatory enforcement, and shareholder derivative actions</w:t>
      </w:r>
    </w:p>
    <w:p>
      <w:pPr>
        <w:pStyle w:val="Heading2"/>
        <w:keepNext/>
        <w:spacing w:after="120" w:before="240"/>
      </w:pPr>
      <w:r>
        <w:rPr>
          <w:rFonts w:ascii="Calibri" w:cs="Calibri" w:eastAsia="Calibri" w:hAnsi="Calibri"/>
          <w:b/>
          <w:bCs/>
          <w:color w:val="1F3864"/>
          <w:sz w:val="26"/>
          <w:szCs w:val="26"/>
        </w:rPr>
        <w:t xml:space="preserve">12.3  Insurance Notification</w:t>
      </w:r>
    </w:p>
    <w:p>
      <w:pPr>
        <w:spacing w:after="120" w:line="276"/>
      </w:pPr>
      <w:r>
        <w:rPr>
          <w:rFonts w:ascii="Calibri" w:cs="Calibri" w:eastAsia="Calibri" w:hAnsi="Calibri"/>
          <w:b w:val="false"/>
          <w:bCs w:val="false"/>
          <w:i w:val="false"/>
          <w:iCs w:val="false"/>
          <w:color w:val="000000"/>
          <w:sz w:val="22"/>
          <w:szCs w:val="22"/>
        </w:rPr>
        <w:t xml:space="preserve">The Insurance Liaison must notify the Company's cyber insurance carrier immediately upon identification of a ransomware or extortion event. Many cyber insurance policies include specific coverage for extortion payments, negotiation services, and related response costs, but coverage is typically conditioned on prior insurer consent. The Insurance Liaison will: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the cyber insurance policy includes cyber-extortion coverage and identify applicable sublimits, retentions, and conditions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Obtain insurer consent before engaging ransom negotiators, making any payment, or engaging non-panel forensic or legal vendors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Coordinate with the insurer's ransomware-response resources, which may include pre-approved negotiation firms, cryptocurrency-payment facilitators, and decryption-key verification services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Document all insurer communications, approvals, and claim-related activities</w:t>
      </w:r>
    </w:p>
    <w:p>
      <w:pPr>
        <w:pStyle w:val="Heading2"/>
        <w:keepNext/>
        <w:spacing w:after="120" w:before="240"/>
      </w:pPr>
      <w:r>
        <w:rPr>
          <w:rFonts w:ascii="Calibri" w:cs="Calibri" w:eastAsia="Calibri" w:hAnsi="Calibri"/>
          <w:b/>
          <w:bCs/>
          <w:color w:val="1F3864"/>
          <w:sz w:val="26"/>
          <w:szCs w:val="26"/>
        </w:rPr>
        <w:t xml:space="preserve">12.4  Forensic Investigation</w:t>
      </w:r>
    </w:p>
    <w:p>
      <w:pPr>
        <w:spacing w:after="120" w:line="276"/>
      </w:pPr>
      <w:r>
        <w:rPr>
          <w:rFonts w:ascii="Calibri" w:cs="Calibri" w:eastAsia="Calibri" w:hAnsi="Calibri"/>
          <w:b w:val="false"/>
          <w:bCs w:val="false"/>
          <w:i w:val="false"/>
          <w:iCs w:val="false"/>
          <w:color w:val="000000"/>
          <w:sz w:val="22"/>
          <w:szCs w:val="22"/>
        </w:rPr>
        <w:t xml:space="preserve">Outside forensic investigators will be engaged (under Legal Counsel's direction and, if required, with insurer approval) to:</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Identify the ransomware variant, threat-actor group, and known decryption options (e.g., publicly available decryptors from No More Ransom Project or law enforcement)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Determine the entry vector and timeline of compromise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whether data was exfiltrated and, if so, the nature, volume, and sensitivity of exfiltrated data</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Evaluate the threat actor's credibility, track record, and reliability of decryption upon payment (based on threat-intelligence sources)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Validate that decryption tools provided by the threat actor (if payment is made) are effective and do not contain additional malware</w:t>
      </w:r>
    </w:p>
    <w:p>
      <w:pPr>
        <w:pStyle w:val="Heading2"/>
        <w:keepNext/>
        <w:spacing w:after="120" w:before="240"/>
      </w:pPr>
      <w:r>
        <w:rPr>
          <w:rFonts w:ascii="Calibri" w:cs="Calibri" w:eastAsia="Calibri" w:hAnsi="Calibri"/>
          <w:b/>
          <w:bCs/>
          <w:color w:val="1F3864"/>
          <w:sz w:val="26"/>
          <w:szCs w:val="26"/>
        </w:rPr>
        <w:t xml:space="preserve">12.5  Law-Enforcement Engagement</w:t>
      </w:r>
    </w:p>
    <w:p>
      <w:pPr>
        <w:spacing w:after="120" w:line="276"/>
      </w:pPr>
      <w:r>
        <w:rPr>
          <w:rFonts w:ascii="Calibri" w:cs="Calibri" w:eastAsia="Calibri" w:hAnsi="Calibri"/>
          <w:b w:val="false"/>
          <w:bCs w:val="false"/>
          <w:i w:val="false"/>
          <w:iCs w:val="false"/>
          <w:color w:val="000000"/>
          <w:sz w:val="22"/>
          <w:szCs w:val="22"/>
        </w:rPr>
        <w:t xml:space="preserve">Legal Counsel will assess whether to engage law enforcement, considering the following factors: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FBI, CISA, and Secret Service strongly encourage reporting of ransomware events and may be able to provide threat intelligence, decryption assistance, or law-enforcement action against the threat actor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Reporting to law enforcement may be required by law for certain categories of Incidents (e.g., critical infrastructure, government contractors)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Law-enforcement engagement may support insurance claims and demonstrate good-faith compliance efforts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Legal Counsel will coordinate all law-enforcement communications and will ensure that only non-privileged, factual information is shared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primary law-enforcement contact is </w:t>
      </w:r>
      <w:r>
        <w:rPr>
          <w:rFonts w:ascii="Calibri" w:cs="Calibri" w:eastAsia="Calibri" w:hAnsi="Calibri"/>
          <w:b/>
          <w:bCs/>
          <w:i w:val="false"/>
          <w:iCs w:val="false"/>
          <w:color w:val="000000"/>
          <w:sz w:val="22"/>
          <w:szCs w:val="22"/>
        </w:rPr>
        <w:t xml:space="preserve">[FBI FIELD OFFICE / SECRET SERVICE FIELD OFFICE / CISA REGIONAL CONTACT]</w:t>
      </w:r>
    </w:p>
    <w:p>
      <w:pPr>
        <w:pStyle w:val="Heading2"/>
        <w:keepNext/>
        <w:spacing w:after="120" w:before="240"/>
      </w:pPr>
      <w:r>
        <w:rPr>
          <w:rFonts w:ascii="Calibri" w:cs="Calibri" w:eastAsia="Calibri" w:hAnsi="Calibri"/>
          <w:b/>
          <w:bCs/>
          <w:color w:val="1F3864"/>
          <w:sz w:val="26"/>
          <w:szCs w:val="26"/>
        </w:rPr>
        <w:t xml:space="preserve">12.6  Sanctions Screening</w:t>
      </w:r>
    </w:p>
    <w:p>
      <w:pPr>
        <w:spacing w:after="120" w:line="276"/>
      </w:pPr>
      <w:r>
        <w:rPr>
          <w:rFonts w:ascii="Calibri" w:cs="Calibri" w:eastAsia="Calibri" w:hAnsi="Calibri"/>
          <w:b w:val="false"/>
          <w:bCs w:val="false"/>
          <w:i w:val="false"/>
          <w:iCs w:val="false"/>
          <w:color w:val="000000"/>
          <w:sz w:val="22"/>
          <w:szCs w:val="22"/>
        </w:rPr>
        <w:t xml:space="preserve">Before any ransom payment is made, Legal Counsel must conduct (or direct outside counsel to conduct) a sanctions-screening analysis: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Screen the threat actor's identity, known aliases, cryptocurrency wallet addresses, and associated entities against the U.S. Treasury Department's Office of Foreign Assets Control (OFAC) Specially Designated Nationals (SDN) list and other applicable sanctions lists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 whether the threat actor is associated with a sanctioned country, region, or entity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If the screening identifies a sanctions concern, payment is prohibited unless a specific OFAC license is obtained. Legal Counsel will advise on next steps.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Engage specialized sanctions counsel or a compliance firm with OFAC expertise if the analysis is ambiguous: </w:t>
      </w:r>
      <w:r>
        <w:rPr>
          <w:rFonts w:ascii="Calibri" w:cs="Calibri" w:eastAsia="Calibri" w:hAnsi="Calibri"/>
          <w:b/>
          <w:bCs/>
          <w:i w:val="false"/>
          <w:iCs w:val="false"/>
          <w:color w:val="000000"/>
          <w:sz w:val="22"/>
          <w:szCs w:val="22"/>
        </w:rPr>
        <w:t xml:space="preserve">[SANCTIONS COUNSEL NAME AND CONTACT]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Document the sanctions-screening process and results in the Authoritative Timeline</w:t>
      </w:r>
    </w:p>
    <w:p>
      <w:pPr>
        <w:pStyle w:val="Heading2"/>
        <w:keepNext/>
        <w:spacing w:after="120" w:before="240"/>
      </w:pPr>
      <w:r>
        <w:rPr>
          <w:rFonts w:ascii="Calibri" w:cs="Calibri" w:eastAsia="Calibri" w:hAnsi="Calibri"/>
          <w:b/>
          <w:bCs/>
          <w:color w:val="1F3864"/>
          <w:sz w:val="26"/>
          <w:szCs w:val="26"/>
        </w:rPr>
        <w:t xml:space="preserve">12.7  Payment Decision Framework</w:t>
      </w:r>
    </w:p>
    <w:p>
      <w:pPr>
        <w:spacing w:after="120" w:line="276"/>
      </w:pPr>
      <w:r>
        <w:rPr>
          <w:rFonts w:ascii="Calibri" w:cs="Calibri" w:eastAsia="Calibri" w:hAnsi="Calibri"/>
          <w:b w:val="false"/>
          <w:bCs w:val="false"/>
          <w:i w:val="false"/>
          <w:iCs w:val="false"/>
          <w:color w:val="000000"/>
          <w:sz w:val="22"/>
          <w:szCs w:val="22"/>
        </w:rPr>
        <w:t xml:space="preserve">The decision to pay a ransom is a last resort and must be authorized by </w:t>
      </w:r>
      <w:r>
        <w:rPr>
          <w:rFonts w:ascii="Calibri" w:cs="Calibri" w:eastAsia="Calibri" w:hAnsi="Calibri"/>
          <w:b/>
          <w:bCs/>
          <w:i w:val="false"/>
          <w:iCs w:val="false"/>
          <w:color w:val="000000"/>
          <w:sz w:val="22"/>
          <w:szCs w:val="22"/>
        </w:rPr>
        <w:t xml:space="preserve">[CEO AND GENERAL COUNSEL, WITH BOARD NOTIFICATION]</w:t>
      </w:r>
      <w:r>
        <w:rPr>
          <w:rFonts w:ascii="Calibri" w:cs="Calibri" w:eastAsia="Calibri" w:hAnsi="Calibri"/>
          <w:b w:val="false"/>
          <w:bCs w:val="false"/>
          <w:i w:val="false"/>
          <w:iCs w:val="false"/>
          <w:color w:val="000000"/>
          <w:sz w:val="22"/>
          <w:szCs w:val="22"/>
        </w:rPr>
        <w:t xml:space="preserve">. Before authorizing payment, the following factors must be evaluated: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Availability and viability of backups and alternative recovery methods (see Section 11.4)</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Credibility of the threat actor and historical reliability of decryption upon payment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Sanctions-screening results and legal risk of payment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Insurance coverage and insurer consent for extortion payment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Potential impact of non-payment on business operations, customers, and affected individuals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Law-enforcement recommendations and ongoing investigation considerations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Reputational, regulatory, and litigation implications of payment versus non-payment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payment may incentivize future attacks against the Company or others</w:t>
      </w:r>
    </w:p>
    <w:p>
      <w:pPr>
        <w:spacing w:after="120" w:line="276"/>
      </w:pPr>
      <w:r>
        <w:rPr>
          <w:rFonts w:ascii="Calibri" w:cs="Calibri" w:eastAsia="Calibri" w:hAnsi="Calibri"/>
          <w:b w:val="false"/>
          <w:bCs w:val="false"/>
          <w:i w:val="false"/>
          <w:iCs w:val="false"/>
          <w:color w:val="000000"/>
          <w:sz w:val="22"/>
          <w:szCs w:val="22"/>
        </w:rPr>
        <w:t xml:space="preserve">If payment is authorized, it will be facilitated through </w:t>
      </w:r>
      <w:r>
        <w:rPr>
          <w:rFonts w:ascii="Calibri" w:cs="Calibri" w:eastAsia="Calibri" w:hAnsi="Calibri"/>
          <w:b/>
          <w:bCs/>
          <w:i w:val="false"/>
          <w:iCs w:val="false"/>
          <w:color w:val="000000"/>
          <w:sz w:val="22"/>
          <w:szCs w:val="22"/>
        </w:rPr>
        <w:t xml:space="preserve">[INSURER-APPROVED CRYPTOCURRENCY PAYMENT FIRM OR OTHER APPROVED FACILITATOR]</w:t>
      </w:r>
      <w:r>
        <w:rPr>
          <w:rFonts w:ascii="Calibri" w:cs="Calibri" w:eastAsia="Calibri" w:hAnsi="Calibri"/>
          <w:b w:val="false"/>
          <w:bCs w:val="false"/>
          <w:i w:val="false"/>
          <w:iCs w:val="false"/>
          <w:color w:val="000000"/>
          <w:sz w:val="22"/>
          <w:szCs w:val="22"/>
        </w:rPr>
        <w:t xml:space="preserve">, with full documentation maintained for law-enforcement, insurance, and regulatory purposes. The Ransomware Decision Checklist (Exhibit H) provides a structured framework for this analysis.</w:t>
      </w:r>
    </w:p>
    <w:p>
      <w:r>
        <w:br w:type="page"/>
      </w:r>
    </w:p>
    <w:p>
      <w:pPr>
        <w:pStyle w:val="Heading1"/>
        <w:keepNext/>
        <w:spacing w:after="200" w:before="360"/>
      </w:pPr>
      <w:r>
        <w:rPr>
          <w:rFonts w:ascii="Calibri" w:cs="Calibri" w:eastAsia="Calibri" w:hAnsi="Calibri"/>
          <w:b/>
          <w:bCs/>
          <w:color w:val="1F3864"/>
          <w:sz w:val="32"/>
          <w:szCs w:val="32"/>
        </w:rPr>
        <w:t xml:space="preserve">13.  CLOSURE AND CORRECTIVE ACTION</w:t>
      </w:r>
    </w:p>
    <w:p>
      <w:pPr>
        <w:spacing w:after="120" w:line="276"/>
      </w:pPr>
      <w:r>
        <w:rPr>
          <w:rFonts w:ascii="Calibri" w:cs="Calibri" w:eastAsia="Calibri" w:hAnsi="Calibri"/>
          <w:b w:val="false"/>
          <w:bCs w:val="false"/>
          <w:i w:val="false"/>
          <w:iCs w:val="false"/>
          <w:color w:val="000000"/>
          <w:sz w:val="22"/>
          <w:szCs w:val="22"/>
        </w:rPr>
        <w:t xml:space="preserve">Closure is the formal conclusion of the active Incident response lifecycle. The Incident Commander declares Closure when all containment, eradication, and recovery actions are complete; all required notifications have been sent; and the Company's systems and operations have been restored to a stable, monitored state. Closure does not mean the end of all Incident-related activities; corrective actions, monitoring, and litigation-related activities may continue beyond Closure.</w:t>
      </w:r>
    </w:p>
    <w:p>
      <w:pPr>
        <w:pStyle w:val="Heading2"/>
        <w:keepNext/>
        <w:spacing w:after="120" w:before="240"/>
      </w:pPr>
      <w:r>
        <w:rPr>
          <w:rFonts w:ascii="Calibri" w:cs="Calibri" w:eastAsia="Calibri" w:hAnsi="Calibri"/>
          <w:b/>
          <w:bCs/>
          <w:color w:val="1F3864"/>
          <w:sz w:val="26"/>
          <w:szCs w:val="26"/>
        </w:rPr>
        <w:t xml:space="preserve">13.1  Root-Cause Analysis</w:t>
      </w:r>
    </w:p>
    <w:p>
      <w:pPr>
        <w:spacing w:after="120" w:line="276"/>
      </w:pPr>
      <w:r>
        <w:rPr>
          <w:rFonts w:ascii="Calibri" w:cs="Calibri" w:eastAsia="Calibri" w:hAnsi="Calibri"/>
          <w:b w:val="false"/>
          <w:bCs w:val="false"/>
          <w:i w:val="false"/>
          <w:iCs w:val="false"/>
          <w:color w:val="000000"/>
          <w:sz w:val="22"/>
          <w:szCs w:val="22"/>
        </w:rPr>
        <w:t xml:space="preserve">The Incident Commander will convene a formal Root-Cause Analysis (RCA) within </w:t>
      </w:r>
      <w:r>
        <w:rPr>
          <w:rFonts w:ascii="Calibri" w:cs="Calibri" w:eastAsia="Calibri" w:hAnsi="Calibri"/>
          <w:b/>
          <w:bCs/>
          <w:i w:val="false"/>
          <w:iCs w:val="false"/>
          <w:color w:val="000000"/>
          <w:sz w:val="22"/>
          <w:szCs w:val="22"/>
        </w:rPr>
        <w:t xml:space="preserve">[TIMEFRAME, E.G., 14 DAYS]</w:t>
      </w:r>
      <w:r>
        <w:rPr>
          <w:rFonts w:ascii="Calibri" w:cs="Calibri" w:eastAsia="Calibri" w:hAnsi="Calibri"/>
          <w:b w:val="false"/>
          <w:bCs w:val="false"/>
          <w:i w:val="false"/>
          <w:iCs w:val="false"/>
          <w:color w:val="000000"/>
          <w:sz w:val="22"/>
          <w:szCs w:val="22"/>
        </w:rPr>
        <w:t xml:space="preserve"> of Closure. The RCA will be conducted by the Security/IT Team, with input from all IRT workstreams, and will address: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root cause of the Incident: What vulnerability, failure, or deficiency enabled the Incident to occur?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Contributing factors: What organizational, technical, or process factors contributed to the scope, duration, or impact of the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Detection effectiveness: How quickly was the Incident detected? What detection mechanisms worked, what failed, and what gaps exist?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Response effectiveness: How well did the Incident Response Team execute this Plan? What aspects of the response were effective, and where were there delays, miscommunications, or resource shortfalls?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Regulatory and legal assessment: Were all notification obligations met within required timeframes? Were there any compliance deficiencies?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Third-party and vendor assessment: Did third-party failures contribute to the Incident? Were vendor contractual obligations met?</w:t>
      </w:r>
    </w:p>
    <w:p>
      <w:pPr>
        <w:spacing w:after="120" w:line="276"/>
      </w:pPr>
      <w:r>
        <w:rPr>
          <w:rFonts w:ascii="Calibri" w:cs="Calibri" w:eastAsia="Calibri" w:hAnsi="Calibri"/>
          <w:b w:val="false"/>
          <w:bCs w:val="false"/>
          <w:i w:val="false"/>
          <w:iCs w:val="false"/>
          <w:color w:val="000000"/>
          <w:sz w:val="22"/>
          <w:szCs w:val="22"/>
        </w:rPr>
        <w:t xml:space="preserve">The RCA findings will be documented in a Root-Cause Analysis Report, reviewed by Legal Counsel (and marked as privileged if appropriate), and presented to Executive Leadership and, for Severity 1 Incidents, to the Board.</w:t>
      </w:r>
    </w:p>
    <w:p>
      <w:pPr>
        <w:pStyle w:val="Heading2"/>
        <w:keepNext/>
        <w:spacing w:after="120" w:before="240"/>
      </w:pPr>
      <w:r>
        <w:rPr>
          <w:rFonts w:ascii="Calibri" w:cs="Calibri" w:eastAsia="Calibri" w:hAnsi="Calibri"/>
          <w:b/>
          <w:bCs/>
          <w:color w:val="1F3864"/>
          <w:sz w:val="26"/>
          <w:szCs w:val="26"/>
        </w:rPr>
        <w:t xml:space="preserve">13.2  Corrective Actions</w:t>
      </w:r>
    </w:p>
    <w:p>
      <w:pPr>
        <w:spacing w:after="120" w:line="276"/>
      </w:pPr>
      <w:r>
        <w:rPr>
          <w:rFonts w:ascii="Calibri" w:cs="Calibri" w:eastAsia="Calibri" w:hAnsi="Calibri"/>
          <w:b w:val="false"/>
          <w:bCs w:val="false"/>
          <w:i w:val="false"/>
          <w:iCs w:val="false"/>
          <w:color w:val="000000"/>
          <w:sz w:val="22"/>
          <w:szCs w:val="22"/>
        </w:rPr>
        <w:t xml:space="preserve">Based on the RCA findings, the Incident Commander and the Security/IT Team Lead will develop a Corrective Action Plan that identifies specific, measurable, achievable, relevant, and time-bound (SMART) corrective actions. Each corrective action must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Description of the corrective action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Assigned owner (individual responsible for implementation)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Target completion date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Required resources and budget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Verification method (how completion and effectiveness will be confirmed)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Status tracking mechanism</w:t>
      </w:r>
    </w:p>
    <w:p>
      <w:pPr>
        <w:spacing w:after="120" w:line="276"/>
      </w:pPr>
      <w:r>
        <w:rPr>
          <w:rFonts w:ascii="Calibri" w:cs="Calibri" w:eastAsia="Calibri" w:hAnsi="Calibri"/>
          <w:b w:val="false"/>
          <w:bCs w:val="false"/>
          <w:i w:val="false"/>
          <w:iCs w:val="false"/>
          <w:color w:val="000000"/>
          <w:sz w:val="22"/>
          <w:szCs w:val="22"/>
        </w:rPr>
        <w:t xml:space="preserve">The Corrective Action Plan will be tracked in </w:t>
      </w:r>
      <w:r>
        <w:rPr>
          <w:rFonts w:ascii="Calibri" w:cs="Calibri" w:eastAsia="Calibri" w:hAnsi="Calibri"/>
          <w:b/>
          <w:bCs/>
          <w:i w:val="false"/>
          <w:iCs w:val="false"/>
          <w:color w:val="000000"/>
          <w:sz w:val="22"/>
          <w:szCs w:val="22"/>
        </w:rPr>
        <w:t xml:space="preserve">[TRACKING SYSTEM, E.G., JIRA, ASANA, GRC PLATFORM]</w:t>
      </w:r>
      <w:r>
        <w:rPr>
          <w:rFonts w:ascii="Calibri" w:cs="Calibri" w:eastAsia="Calibri" w:hAnsi="Calibri"/>
          <w:b w:val="false"/>
          <w:bCs w:val="false"/>
          <w:i w:val="false"/>
          <w:iCs w:val="false"/>
          <w:color w:val="000000"/>
          <w:sz w:val="22"/>
          <w:szCs w:val="22"/>
        </w:rPr>
        <w:t xml:space="preserve"> and reviewed at </w:t>
      </w:r>
      <w:r>
        <w:rPr>
          <w:rFonts w:ascii="Calibri" w:cs="Calibri" w:eastAsia="Calibri" w:hAnsi="Calibri"/>
          <w:b/>
          <w:bCs/>
          <w:i w:val="false"/>
          <w:iCs w:val="false"/>
          <w:color w:val="000000"/>
          <w:sz w:val="22"/>
          <w:szCs w:val="22"/>
        </w:rPr>
        <w:t xml:space="preserve">[CADENCE, E.G., MONTHLY]</w:t>
      </w:r>
      <w:r>
        <w:rPr>
          <w:rFonts w:ascii="Calibri" w:cs="Calibri" w:eastAsia="Calibri" w:hAnsi="Calibri"/>
          <w:b w:val="false"/>
          <w:bCs w:val="false"/>
          <w:i w:val="false"/>
          <w:iCs w:val="false"/>
          <w:color w:val="000000"/>
          <w:sz w:val="22"/>
          <w:szCs w:val="22"/>
        </w:rPr>
        <w:t xml:space="preserve"> by </w:t>
      </w:r>
      <w:r>
        <w:rPr>
          <w:rFonts w:ascii="Calibri" w:cs="Calibri" w:eastAsia="Calibri" w:hAnsi="Calibri"/>
          <w:b/>
          <w:bCs/>
          <w:i w:val="false"/>
          <w:iCs w:val="false"/>
          <w:color w:val="000000"/>
          <w:sz w:val="22"/>
          <w:szCs w:val="22"/>
        </w:rPr>
        <w:t xml:space="preserve">[CISO/SECURITY GOVERNANCE COMMITTEE]</w:t>
      </w:r>
      <w:r>
        <w:rPr>
          <w:rFonts w:ascii="Calibri" w:cs="Calibri" w:eastAsia="Calibri" w:hAnsi="Calibri"/>
          <w:b w:val="false"/>
          <w:bCs w:val="false"/>
          <w:i w:val="false"/>
          <w:iCs w:val="false"/>
          <w:color w:val="000000"/>
          <w:sz w:val="22"/>
          <w:szCs w:val="22"/>
        </w:rPr>
        <w:t xml:space="preserve"> until all actions are completed and verified.</w:t>
      </w:r>
    </w:p>
    <w:p>
      <w:pPr>
        <w:pStyle w:val="Heading2"/>
        <w:keepNext/>
        <w:spacing w:after="120" w:before="240"/>
      </w:pPr>
      <w:r>
        <w:rPr>
          <w:rFonts w:ascii="Calibri" w:cs="Calibri" w:eastAsia="Calibri" w:hAnsi="Calibri"/>
          <w:b/>
          <w:bCs/>
          <w:color w:val="1F3864"/>
          <w:sz w:val="26"/>
          <w:szCs w:val="26"/>
        </w:rPr>
        <w:t xml:space="preserve">13.3  Risk Register Transfer</w:t>
      </w:r>
    </w:p>
    <w:p>
      <w:pPr>
        <w:spacing w:after="120" w:line="276"/>
      </w:pPr>
      <w:r>
        <w:rPr>
          <w:rFonts w:ascii="Calibri" w:cs="Calibri" w:eastAsia="Calibri" w:hAnsi="Calibri"/>
          <w:b w:val="false"/>
          <w:bCs w:val="false"/>
          <w:i w:val="false"/>
          <w:iCs w:val="false"/>
          <w:color w:val="000000"/>
          <w:sz w:val="22"/>
          <w:szCs w:val="22"/>
        </w:rPr>
        <w:t xml:space="preserve">The Incident Commander will ensure that the lessons learned from the Incident are reflected in the Company's enterprise risk register. Specifically: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New risks identified during the Incident will be added to the risk register with appropriate risk ratings, risk owners, and mitigation plans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Existing risks that were validated or exacerbated by the Incident will be updated with revised risk ratings and additional mitigation measures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risk register will be reviewed by </w:t>
      </w:r>
      <w:r>
        <w:rPr>
          <w:rFonts w:ascii="Calibri" w:cs="Calibri" w:eastAsia="Calibri" w:hAnsi="Calibri"/>
          <w:b/>
          <w:bCs/>
          <w:i w:val="false"/>
          <w:iCs w:val="false"/>
          <w:color w:val="000000"/>
          <w:sz w:val="22"/>
          <w:szCs w:val="22"/>
        </w:rPr>
        <w:t xml:space="preserve">[RISK MANAGEMENT COMMITTEE/EXECUTIVE LEADERSHIP]</w:t>
      </w:r>
      <w:r>
        <w:rPr>
          <w:rFonts w:ascii="Calibri" w:cs="Calibri" w:eastAsia="Calibri" w:hAnsi="Calibri"/>
          <w:b w:val="false"/>
          <w:bCs w:val="false"/>
          <w:i w:val="false"/>
          <w:iCs w:val="false"/>
          <w:color w:val="000000"/>
          <w:sz w:val="22"/>
          <w:szCs w:val="22"/>
        </w:rPr>
        <w:t xml:space="preserve"> as part of the post-Incident review process</w:t>
      </w:r>
    </w:p>
    <w:p>
      <w:pPr>
        <w:pStyle w:val="Heading2"/>
        <w:keepNext/>
        <w:spacing w:after="120" w:before="240"/>
      </w:pPr>
      <w:r>
        <w:rPr>
          <w:rFonts w:ascii="Calibri" w:cs="Calibri" w:eastAsia="Calibri" w:hAnsi="Calibri"/>
          <w:b/>
          <w:bCs/>
          <w:color w:val="1F3864"/>
          <w:sz w:val="26"/>
          <w:szCs w:val="26"/>
        </w:rPr>
        <w:t xml:space="preserve">13.4  Executive and Board Reporting</w:t>
      </w:r>
    </w:p>
    <w:p>
      <w:pPr>
        <w:spacing w:after="120" w:line="276"/>
      </w:pPr>
      <w:r>
        <w:rPr>
          <w:rFonts w:ascii="Calibri" w:cs="Calibri" w:eastAsia="Calibri" w:hAnsi="Calibri"/>
          <w:b w:val="false"/>
          <w:bCs w:val="false"/>
          <w:i w:val="false"/>
          <w:iCs w:val="false"/>
          <w:color w:val="000000"/>
          <w:sz w:val="22"/>
          <w:szCs w:val="22"/>
        </w:rPr>
        <w:t xml:space="preserve">The Incident Commander will prepare a final Incident Report for Executive Leadership and, for Severity 1 and 2 Incidents, for the Board (or designated Board committee). The Incident Report will include: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Executive summary of the Incident (timeline, scope, impact, root cause)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Summary of response actions taken, including containment, eradication, recovery, and notifications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Assessment of financial impact (direct costs, indirect costs, insurance recoveries, potential liability)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Corrective Action Plan summary and status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Recommendations for strategic investments, policy changes, or organizational improvements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Lessons learned and implications for the Company's risk posture</w:t>
      </w:r>
    </w:p>
    <w:p>
      <w:pPr>
        <w:pStyle w:val="Heading2"/>
        <w:keepNext/>
        <w:spacing w:after="120" w:before="240"/>
      </w:pPr>
      <w:r>
        <w:rPr>
          <w:rFonts w:ascii="Calibri" w:cs="Calibri" w:eastAsia="Calibri" w:hAnsi="Calibri"/>
          <w:b/>
          <w:bCs/>
          <w:color w:val="1F3864"/>
          <w:sz w:val="26"/>
          <w:szCs w:val="26"/>
        </w:rPr>
        <w:t xml:space="preserve">13.5  Lessons Learned and Plan Update</w:t>
      </w:r>
    </w:p>
    <w:p>
      <w:pPr>
        <w:spacing w:after="120" w:line="276"/>
      </w:pPr>
      <w:r>
        <w:rPr>
          <w:rFonts w:ascii="Calibri" w:cs="Calibri" w:eastAsia="Calibri" w:hAnsi="Calibri"/>
          <w:b w:val="false"/>
          <w:bCs w:val="false"/>
          <w:i w:val="false"/>
          <w:iCs w:val="false"/>
          <w:color w:val="000000"/>
          <w:sz w:val="22"/>
          <w:szCs w:val="22"/>
        </w:rPr>
        <w:t xml:space="preserve">The Incident Commander will convene a Lessons Learned session (also known as a "hot wash" or "after-action review") within </w:t>
      </w:r>
      <w:r>
        <w:rPr>
          <w:rFonts w:ascii="Calibri" w:cs="Calibri" w:eastAsia="Calibri" w:hAnsi="Calibri"/>
          <w:b/>
          <w:bCs/>
          <w:i w:val="false"/>
          <w:iCs w:val="false"/>
          <w:color w:val="000000"/>
          <w:sz w:val="22"/>
          <w:szCs w:val="22"/>
        </w:rPr>
        <w:t xml:space="preserve">[TIMEFRAME, E.G., 30 DAYS]</w:t>
      </w:r>
      <w:r>
        <w:rPr>
          <w:rFonts w:ascii="Calibri" w:cs="Calibri" w:eastAsia="Calibri" w:hAnsi="Calibri"/>
          <w:b w:val="false"/>
          <w:bCs w:val="false"/>
          <w:i w:val="false"/>
          <w:iCs w:val="false"/>
          <w:color w:val="000000"/>
          <w:sz w:val="22"/>
          <w:szCs w:val="22"/>
        </w:rPr>
        <w:t xml:space="preserve"> of Closure, involving all IRT members who participated in the response. The session will focus 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What went well during the response that should be reinforced or formalized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What did not go well and should be improved, including specific process gaps, communication breakdowns, or resource shortfalls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this Plan adequately addressed the Incident or whether revisions are needed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Whether the Company's training, tabletop exercises, and readiness activities adequately prepared the IRT for this Incident</w:t>
      </w:r>
    </w:p>
    <w:p>
      <w:pPr>
        <w:spacing w:after="120" w:line="276"/>
      </w:pPr>
      <w:r>
        <w:rPr>
          <w:rFonts w:ascii="Calibri" w:cs="Calibri" w:eastAsia="Calibri" w:hAnsi="Calibri"/>
          <w:b w:val="false"/>
          <w:bCs w:val="false"/>
          <w:i w:val="false"/>
          <w:iCs w:val="false"/>
          <w:color w:val="000000"/>
          <w:sz w:val="22"/>
          <w:szCs w:val="22"/>
        </w:rPr>
        <w:t xml:space="preserve">Findings from the Lessons Learned session will be incorporated into an update to this Plan within </w:t>
      </w:r>
      <w:r>
        <w:rPr>
          <w:rFonts w:ascii="Calibri" w:cs="Calibri" w:eastAsia="Calibri" w:hAnsi="Calibri"/>
          <w:b/>
          <w:bCs/>
          <w:i w:val="false"/>
          <w:iCs w:val="false"/>
          <w:color w:val="000000"/>
          <w:sz w:val="22"/>
          <w:szCs w:val="22"/>
        </w:rPr>
        <w:t xml:space="preserve">[TIMEFRAME, E.G., 60 DAYS]</w:t>
      </w:r>
      <w:r>
        <w:rPr>
          <w:rFonts w:ascii="Calibri" w:cs="Calibri" w:eastAsia="Calibri" w:hAnsi="Calibri"/>
          <w:b w:val="false"/>
          <w:bCs w:val="false"/>
          <w:i w:val="false"/>
          <w:iCs w:val="false"/>
          <w:color w:val="000000"/>
          <w:sz w:val="22"/>
          <w:szCs w:val="22"/>
        </w:rPr>
        <w:t xml:space="preserve"> of the session. The updated Plan will be distributed to all IRT members and approved by </w:t>
      </w:r>
      <w:r>
        <w:rPr>
          <w:rFonts w:ascii="Calibri" w:cs="Calibri" w:eastAsia="Calibri" w:hAnsi="Calibri"/>
          <w:b/>
          <w:bCs/>
          <w:i w:val="false"/>
          <w:iCs w:val="false"/>
          <w:color w:val="000000"/>
          <w:sz w:val="22"/>
          <w:szCs w:val="22"/>
        </w:rPr>
        <w:t xml:space="preserve">[DOCUMENT OWNER/APPROVING AUTHORITY]</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Upon completion of all Closure activities, the Incident Commander will execute the Closure Certificate (Exhibit I) to formally document the closure of the Incident.</w:t>
      </w:r>
    </w:p>
    <w:p>
      <w:r>
        <w:br w:type="page"/>
      </w:r>
    </w:p>
    <w:p>
      <w:pPr>
        <w:pStyle w:val="Heading1"/>
        <w:keepNext/>
        <w:spacing w:after="200" w:before="360"/>
      </w:pPr>
      <w:r>
        <w:rPr>
          <w:rFonts w:ascii="Calibri" w:cs="Calibri" w:eastAsia="Calibri" w:hAnsi="Calibri"/>
          <w:b/>
          <w:bCs/>
          <w:color w:val="1F3864"/>
          <w:sz w:val="32"/>
          <w:szCs w:val="32"/>
        </w:rPr>
        <w:t xml:space="preserve">14.  READINESS</w:t>
      </w:r>
    </w:p>
    <w:p>
      <w:pPr>
        <w:spacing w:after="120" w:line="276"/>
      </w:pPr>
      <w:r>
        <w:rPr>
          <w:rFonts w:ascii="Calibri" w:cs="Calibri" w:eastAsia="Calibri" w:hAnsi="Calibri"/>
          <w:b w:val="false"/>
          <w:bCs w:val="false"/>
          <w:i w:val="false"/>
          <w:iCs w:val="false"/>
          <w:color w:val="000000"/>
          <w:sz w:val="22"/>
          <w:szCs w:val="22"/>
        </w:rPr>
        <w:t xml:space="preserve">An Incident response plan is only effective if it is maintained, tested, and supported by trained, prepared personnel. This Section establishes the Company's ongoing readiness program to ensure that this Plan remains current, that IRT members are prepared to execute it, and that supporting infrastructure, vendor relationships, and insurance coverage are in place when needed.</w:t>
      </w:r>
    </w:p>
    <w:p>
      <w:pPr>
        <w:pStyle w:val="Heading2"/>
        <w:keepNext/>
        <w:spacing w:after="120" w:before="240"/>
      </w:pPr>
      <w:r>
        <w:rPr>
          <w:rFonts w:ascii="Calibri" w:cs="Calibri" w:eastAsia="Calibri" w:hAnsi="Calibri"/>
          <w:b/>
          <w:bCs/>
          <w:color w:val="1F3864"/>
          <w:sz w:val="26"/>
          <w:szCs w:val="26"/>
        </w:rPr>
        <w:t xml:space="preserve">14.1  Quarterly Contact Verification</w:t>
      </w:r>
    </w:p>
    <w:p>
      <w:pPr>
        <w:spacing w:after="120" w:line="276"/>
      </w:pPr>
      <w:r>
        <w:rPr>
          <w:rFonts w:ascii="Calibri" w:cs="Calibri" w:eastAsia="Calibri" w:hAnsi="Calibri"/>
          <w:b w:val="false"/>
          <w:bCs w:val="false"/>
          <w:i w:val="false"/>
          <w:iCs w:val="false"/>
          <w:color w:val="000000"/>
          <w:sz w:val="22"/>
          <w:szCs w:val="22"/>
        </w:rPr>
        <w:t xml:space="preserve">The Incident Commander (or designee) will verify the 24/7 Contacts Matrix (Exhibit A) on a quarterly basis: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all primary and backup contacts for each IRT role are current and reachable at the listed phone numbers and email addresses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that on-call rotation schedules are current and that on-call personnel have been properly briefed on their responsibilities under this Plan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Test the incident reporting channels (SOC phone, email, portal, messaging) to confirm they are operational and monitored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Update the Contacts Matrix immediately upon any personnel change, departure, or reorganization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Distribute the updated Contacts Matrix to all IRT members and store the current version in </w:t>
      </w:r>
      <w:r>
        <w:rPr>
          <w:rFonts w:ascii="Calibri" w:cs="Calibri" w:eastAsia="Calibri" w:hAnsi="Calibri"/>
          <w:b/>
          <w:bCs/>
          <w:i w:val="false"/>
          <w:iCs w:val="false"/>
          <w:color w:val="000000"/>
          <w:sz w:val="22"/>
          <w:szCs w:val="22"/>
        </w:rPr>
        <w:t xml:space="preserve">[DOCUMENT REPOSITORY]</w:t>
      </w:r>
    </w:p>
    <w:p>
      <w:pPr>
        <w:pStyle w:val="Heading2"/>
        <w:keepNext/>
        <w:spacing w:after="120" w:before="240"/>
      </w:pPr>
      <w:r>
        <w:rPr>
          <w:rFonts w:ascii="Calibri" w:cs="Calibri" w:eastAsia="Calibri" w:hAnsi="Calibri"/>
          <w:b/>
          <w:bCs/>
          <w:color w:val="1F3864"/>
          <w:sz w:val="26"/>
          <w:szCs w:val="26"/>
        </w:rPr>
        <w:t xml:space="preserve">14.2  Logging and Monitoring Checks</w:t>
      </w:r>
    </w:p>
    <w:p>
      <w:pPr>
        <w:spacing w:after="120" w:line="276"/>
      </w:pPr>
      <w:r>
        <w:rPr>
          <w:rFonts w:ascii="Calibri" w:cs="Calibri" w:eastAsia="Calibri" w:hAnsi="Calibri"/>
          <w:b w:val="false"/>
          <w:bCs w:val="false"/>
          <w:i w:val="false"/>
          <w:iCs w:val="false"/>
          <w:color w:val="000000"/>
          <w:sz w:val="22"/>
          <w:szCs w:val="22"/>
        </w:rPr>
        <w:t xml:space="preserve">The Security/IT Team will conduct quarterly checks to verify that the Company's logging, monitoring, and detection infrastructure is operational and sufficient to support Incident detection and investigation: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that SIEM log sources are connected, collecting data, and retaining logs for the required period (</w:t>
      </w:r>
      <w:r>
        <w:rPr>
          <w:rFonts w:ascii="Calibri" w:cs="Calibri" w:eastAsia="Calibri" w:hAnsi="Calibri"/>
          <w:b/>
          <w:bCs/>
          <w:i w:val="false"/>
          <w:iCs w:val="false"/>
          <w:color w:val="000000"/>
          <w:sz w:val="22"/>
          <w:szCs w:val="22"/>
        </w:rPr>
        <w:t xml:space="preserve">[LOG RETENTION PERIOD, E.G., 12 MONTHS]</w:t>
      </w:r>
      <w:r>
        <w:rPr>
          <w:rFonts w:ascii="Calibri" w:cs="Calibri" w:eastAsia="Calibri" w:hAnsi="Calibri"/>
          <w:b w:val="false"/>
          <w:bCs w:val="false"/>
          <w:i w:val="false"/>
          <w:iCs w:val="false"/>
          <w:color w:val="000000"/>
          <w:sz w:val="22"/>
          <w:szCs w:val="22"/>
        </w:rPr>
        <w:t xml:space="preserv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EDR agents are deployed on all endpoints and are reporting to the central management console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Test critical detection rules, alerts, and correlation queries to verify they generate alerts as expected</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and update threat-detection rules based on current threat intelligence and the Company's evolving technology environment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network monitoring, DLP, and cloud security posture management (CSPM) tools are operational and configured to current standards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that forensic tools (memory acquisition, disk imaging, log-analysis tools) are available, licensed, and functional</w:t>
      </w:r>
    </w:p>
    <w:p>
      <w:pPr>
        <w:pStyle w:val="Heading2"/>
        <w:keepNext/>
        <w:spacing w:after="120" w:before="240"/>
      </w:pPr>
      <w:r>
        <w:rPr>
          <w:rFonts w:ascii="Calibri" w:cs="Calibri" w:eastAsia="Calibri" w:hAnsi="Calibri"/>
          <w:b/>
          <w:bCs/>
          <w:color w:val="1F3864"/>
          <w:sz w:val="26"/>
          <w:szCs w:val="26"/>
        </w:rPr>
        <w:t xml:space="preserve">14.3  Vendor and Insurance Confirmation</w:t>
      </w:r>
    </w:p>
    <w:p>
      <w:pPr>
        <w:spacing w:after="120" w:line="276"/>
      </w:pPr>
      <w:r>
        <w:rPr>
          <w:rFonts w:ascii="Calibri" w:cs="Calibri" w:eastAsia="Calibri" w:hAnsi="Calibri"/>
          <w:b w:val="false"/>
          <w:bCs w:val="false"/>
          <w:i w:val="false"/>
          <w:iCs w:val="false"/>
          <w:color w:val="000000"/>
          <w:sz w:val="22"/>
          <w:szCs w:val="22"/>
        </w:rPr>
        <w:t xml:space="preserve">The Insurance Liaison and Vendor Management team will conduct quarterly confirmations of critical vendor and insurance relationships: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the Company's cyber insurance policy is in force, that premiums are current, and that coverage limits and sublimits are adequate based on current risk assessments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that pre-approved outside counsel, forensic firms, notification vendors, and credit-monitoring providers are under current retainer or engagement-ready agreements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Confirm that the insurer's panel-vendor list is current and that the Company has established relationships with panel vendors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Review vendor SLAs and response-time commitments for incident-response services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Verify that all vendor contact information is current in the 24/7 Contacts Matrix (Exhibit A)</w:t>
      </w:r>
    </w:p>
    <w:p>
      <w:pPr>
        <w:pStyle w:val="Heading2"/>
        <w:keepNext/>
        <w:spacing w:after="120" w:before="240"/>
      </w:pPr>
      <w:r>
        <w:rPr>
          <w:rFonts w:ascii="Calibri" w:cs="Calibri" w:eastAsia="Calibri" w:hAnsi="Calibri"/>
          <w:b/>
          <w:bCs/>
          <w:color w:val="1F3864"/>
          <w:sz w:val="26"/>
          <w:szCs w:val="26"/>
        </w:rPr>
        <w:t xml:space="preserve">14.4  Tabletop Exercises</w:t>
      </w:r>
    </w:p>
    <w:p>
      <w:pPr>
        <w:spacing w:after="120" w:line="276"/>
      </w:pPr>
      <w:r>
        <w:rPr>
          <w:rFonts w:ascii="Calibri" w:cs="Calibri" w:eastAsia="Calibri" w:hAnsi="Calibri"/>
          <w:b w:val="false"/>
          <w:bCs w:val="false"/>
          <w:i w:val="false"/>
          <w:iCs w:val="false"/>
          <w:color w:val="000000"/>
          <w:sz w:val="22"/>
          <w:szCs w:val="22"/>
        </w:rPr>
        <w:t xml:space="preserve">The Company will conduct tabletop exercises at least </w:t>
      </w:r>
      <w:r>
        <w:rPr>
          <w:rFonts w:ascii="Calibri" w:cs="Calibri" w:eastAsia="Calibri" w:hAnsi="Calibri"/>
          <w:b/>
          <w:bCs/>
          <w:i w:val="false"/>
          <w:iCs w:val="false"/>
          <w:color w:val="000000"/>
          <w:sz w:val="22"/>
          <w:szCs w:val="22"/>
        </w:rPr>
        <w:t xml:space="preserve">[FREQUENCY, E.G., TWICE ANNUALLY]</w:t>
      </w:r>
      <w:r>
        <w:rPr>
          <w:rFonts w:ascii="Calibri" w:cs="Calibri" w:eastAsia="Calibri" w:hAnsi="Calibri"/>
          <w:b w:val="false"/>
          <w:bCs w:val="false"/>
          <w:i w:val="false"/>
          <w:iCs w:val="false"/>
          <w:color w:val="000000"/>
          <w:sz w:val="22"/>
          <w:szCs w:val="22"/>
        </w:rPr>
        <w:t xml:space="preserve"> to test this Plan, develop IRT members' skills, and identify gaps. Tabletop exercises will:</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Simulate realistic Incident scenarios based on current threat intelligence, industry trends, and the Company's specific risk profile (see Exhibit J for sample scenarios)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Involve all IRT roles, including Executive Leadership and (for at least one exercise per year) Board representatives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Test specific aspects of the Plan, including reporting, escalation, privilege protocol, communication, legal-obligation tracking, containment decisions, and executive decision-making</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Be facilitated by </w:t>
      </w:r>
      <w:r>
        <w:rPr>
          <w:rFonts w:ascii="Calibri" w:cs="Calibri" w:eastAsia="Calibri" w:hAnsi="Calibri"/>
          <w:b/>
          <w:bCs/>
          <w:i w:val="false"/>
          <w:iCs w:val="false"/>
          <w:color w:val="000000"/>
          <w:sz w:val="22"/>
          <w:szCs w:val="22"/>
        </w:rPr>
        <w:t xml:space="preserve">[INTERNAL FACILITATOR, E.G., CISO]</w:t>
      </w:r>
      <w:r>
        <w:rPr>
          <w:rFonts w:ascii="Calibri" w:cs="Calibri" w:eastAsia="Calibri" w:hAnsi="Calibri"/>
          <w:b w:val="false"/>
          <w:bCs w:val="false"/>
          <w:i w:val="false"/>
          <w:iCs w:val="false"/>
          <w:color w:val="000000"/>
          <w:sz w:val="22"/>
          <w:szCs w:val="22"/>
        </w:rPr>
        <w:t xml:space="preserve"> or an external facilitator (e.g., outside counsel, forensic firm, or specialized tabletop exercise vendor)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Produce a written after-action report documenting observations, findings, and recommended improvements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Result in updates to this Plan, the Contacts Matrix, and readiness procedures within </w:t>
      </w:r>
      <w:r>
        <w:rPr>
          <w:rFonts w:ascii="Calibri" w:cs="Calibri" w:eastAsia="Calibri" w:hAnsi="Calibri"/>
          <w:b/>
          <w:bCs/>
          <w:i w:val="false"/>
          <w:iCs w:val="false"/>
          <w:color w:val="000000"/>
          <w:sz w:val="22"/>
          <w:szCs w:val="22"/>
        </w:rPr>
        <w:t xml:space="preserve">[TIMEFRAME, E.G., 30 DAYS]</w:t>
      </w:r>
      <w:r>
        <w:rPr>
          <w:rFonts w:ascii="Calibri" w:cs="Calibri" w:eastAsia="Calibri" w:hAnsi="Calibri"/>
          <w:b w:val="false"/>
          <w:bCs w:val="false"/>
          <w:i w:val="false"/>
          <w:iCs w:val="false"/>
          <w:color w:val="000000"/>
          <w:sz w:val="22"/>
          <w:szCs w:val="22"/>
        </w:rPr>
        <w:t xml:space="preserve"> of the exercise</w:t>
      </w:r>
    </w:p>
    <w:p>
      <w:pPr>
        <w:pStyle w:val="Heading2"/>
        <w:keepNext/>
        <w:spacing w:after="120" w:before="240"/>
      </w:pPr>
      <w:r>
        <w:rPr>
          <w:rFonts w:ascii="Calibri" w:cs="Calibri" w:eastAsia="Calibri" w:hAnsi="Calibri"/>
          <w:b/>
          <w:bCs/>
          <w:color w:val="1F3864"/>
          <w:sz w:val="26"/>
          <w:szCs w:val="26"/>
        </w:rPr>
        <w:t xml:space="preserve">14.5  Training</w:t>
      </w:r>
    </w:p>
    <w:p>
      <w:pPr>
        <w:spacing w:after="120" w:line="276"/>
      </w:pPr>
      <w:r>
        <w:rPr>
          <w:rFonts w:ascii="Calibri" w:cs="Calibri" w:eastAsia="Calibri" w:hAnsi="Calibri"/>
          <w:b w:val="false"/>
          <w:bCs w:val="false"/>
          <w:i w:val="false"/>
          <w:iCs w:val="false"/>
          <w:color w:val="000000"/>
          <w:sz w:val="22"/>
          <w:szCs w:val="22"/>
        </w:rPr>
        <w:t xml:space="preserve">All Workforce Members will receive training on incident identification and reporting as part of the Company's annual security-awareness training program. In addition: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IRT members will receive role-specific training on their responsibilities under this Plan at least </w:t>
      </w:r>
      <w:r>
        <w:rPr>
          <w:rFonts w:ascii="Calibri" w:cs="Calibri" w:eastAsia="Calibri" w:hAnsi="Calibri"/>
          <w:b/>
          <w:bCs/>
          <w:i w:val="false"/>
          <w:iCs w:val="false"/>
          <w:color w:val="000000"/>
          <w:sz w:val="22"/>
          <w:szCs w:val="22"/>
        </w:rPr>
        <w:t xml:space="preserve">[FREQUENCY, E.G., ANNUALLY]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New IRT members will receive onboarding training within </w:t>
      </w:r>
      <w:r>
        <w:rPr>
          <w:rFonts w:ascii="Calibri" w:cs="Calibri" w:eastAsia="Calibri" w:hAnsi="Calibri"/>
          <w:b/>
          <w:bCs/>
          <w:i w:val="false"/>
          <w:iCs w:val="false"/>
          <w:color w:val="000000"/>
          <w:sz w:val="22"/>
          <w:szCs w:val="22"/>
        </w:rPr>
        <w:t xml:space="preserve">[TIMEFRAME, E.G., 30 DAYS]</w:t>
      </w:r>
      <w:r>
        <w:rPr>
          <w:rFonts w:ascii="Calibri" w:cs="Calibri" w:eastAsia="Calibri" w:hAnsi="Calibri"/>
          <w:b w:val="false"/>
          <w:bCs w:val="false"/>
          <w:i w:val="false"/>
          <w:iCs w:val="false"/>
          <w:color w:val="000000"/>
          <w:sz w:val="22"/>
          <w:szCs w:val="22"/>
        </w:rPr>
        <w:t xml:space="preserve"> of assignment to the IRT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Legal Counsel and the Incident Commander will receive training on privilege protocols, regulatory notification requirements, and insurance claim processes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The Security/IT Team will receive training on forensic evidence collection, chain-of-custody procedures, and the use of forensic tools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Training records will be maintained by </w:t>
      </w:r>
      <w:r>
        <w:rPr>
          <w:rFonts w:ascii="Calibri" w:cs="Calibri" w:eastAsia="Calibri" w:hAnsi="Calibri"/>
          <w:b/>
          <w:bCs/>
          <w:i w:val="false"/>
          <w:iCs w:val="false"/>
          <w:color w:val="000000"/>
          <w:sz w:val="22"/>
          <w:szCs w:val="22"/>
        </w:rPr>
        <w:t xml:space="preserve">[HR/SECURITY TEAM]</w:t>
      </w:r>
      <w:r>
        <w:rPr>
          <w:rFonts w:ascii="Calibri" w:cs="Calibri" w:eastAsia="Calibri" w:hAnsi="Calibri"/>
          <w:b w:val="false"/>
          <w:bCs w:val="false"/>
          <w:i w:val="false"/>
          <w:iCs w:val="false"/>
          <w:color w:val="000000"/>
          <w:sz w:val="22"/>
          <w:szCs w:val="22"/>
        </w:rPr>
        <w:t xml:space="preserve"> for a minimum of </w:t>
      </w:r>
      <w:r>
        <w:rPr>
          <w:rFonts w:ascii="Calibri" w:cs="Calibri" w:eastAsia="Calibri" w:hAnsi="Calibri"/>
          <w:b/>
          <w:bCs/>
          <w:i w:val="false"/>
          <w:iCs w:val="false"/>
          <w:color w:val="000000"/>
          <w:sz w:val="22"/>
          <w:szCs w:val="22"/>
        </w:rPr>
        <w:t xml:space="preserve">[RETENTION PERIOD, E.G., THREE YEARS]</w:t>
      </w:r>
    </w:p>
    <w:p>
      <w:pPr>
        <w:pStyle w:val="Heading2"/>
        <w:keepNext/>
        <w:spacing w:after="120" w:before="240"/>
      </w:pPr>
      <w:r>
        <w:rPr>
          <w:rFonts w:ascii="Calibri" w:cs="Calibri" w:eastAsia="Calibri" w:hAnsi="Calibri"/>
          <w:b/>
          <w:bCs/>
          <w:color w:val="1F3864"/>
          <w:sz w:val="26"/>
          <w:szCs w:val="26"/>
        </w:rPr>
        <w:t xml:space="preserve">14.6  Plan Review and Updates</w:t>
      </w:r>
    </w:p>
    <w:p>
      <w:pPr>
        <w:spacing w:after="120" w:line="276"/>
      </w:pPr>
      <w:r>
        <w:rPr>
          <w:rFonts w:ascii="Calibri" w:cs="Calibri" w:eastAsia="Calibri" w:hAnsi="Calibri"/>
          <w:b w:val="false"/>
          <w:bCs w:val="false"/>
          <w:i w:val="false"/>
          <w:iCs w:val="false"/>
          <w:color w:val="000000"/>
          <w:sz w:val="22"/>
          <w:szCs w:val="22"/>
        </w:rPr>
        <w:t xml:space="preserve">This Plan will be reviewed and updated at least </w:t>
      </w:r>
      <w:r>
        <w:rPr>
          <w:rFonts w:ascii="Calibri" w:cs="Calibri" w:eastAsia="Calibri" w:hAnsi="Calibri"/>
          <w:b/>
          <w:bCs/>
          <w:i w:val="false"/>
          <w:iCs w:val="false"/>
          <w:color w:val="000000"/>
          <w:sz w:val="22"/>
          <w:szCs w:val="22"/>
        </w:rPr>
        <w:t xml:space="preserve">[FREQUENCY, E.G., ANNUALLY]</w:t>
      </w:r>
      <w:r>
        <w:rPr>
          <w:rFonts w:ascii="Calibri" w:cs="Calibri" w:eastAsia="Calibri" w:hAnsi="Calibri"/>
          <w:b w:val="false"/>
          <w:bCs w:val="false"/>
          <w:i w:val="false"/>
          <w:iCs w:val="false"/>
          <w:color w:val="000000"/>
          <w:sz w:val="22"/>
          <w:szCs w:val="22"/>
        </w:rPr>
        <w:t xml:space="preserve"> or more frequently upon the occurrence of any of the following triggering events: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Closure of any Severity 1 or Severity 2 Incident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Material changes to the Company's technology infrastructure, products, or services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Material changes to the Company's organizational structure, key personnel, or vendor relationships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Changes in applicable laws, regulations, or industry standards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Findings from tabletop exercises, audits, or penetration tests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Changes to the Company's cyber insurance policy</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Recommendations from outside counsel, forensic firms, or regulatory authorities</w:t>
      </w:r>
    </w:p>
    <w:p>
      <w:pPr>
        <w:spacing w:after="120" w:line="276"/>
      </w:pPr>
      <w:r>
        <w:rPr>
          <w:rFonts w:ascii="Calibri" w:cs="Calibri" w:eastAsia="Calibri" w:hAnsi="Calibri"/>
          <w:b w:val="false"/>
          <w:bCs w:val="false"/>
          <w:i w:val="false"/>
          <w:iCs w:val="false"/>
          <w:color w:val="000000"/>
          <w:sz w:val="22"/>
          <w:szCs w:val="22"/>
        </w:rPr>
        <w:t xml:space="preserve">All updates to this Plan must be approved by </w:t>
      </w:r>
      <w:r>
        <w:rPr>
          <w:rFonts w:ascii="Calibri" w:cs="Calibri" w:eastAsia="Calibri" w:hAnsi="Calibri"/>
          <w:b/>
          <w:bCs/>
          <w:i w:val="false"/>
          <w:iCs w:val="false"/>
          <w:color w:val="000000"/>
          <w:sz w:val="22"/>
          <w:szCs w:val="22"/>
        </w:rPr>
        <w:t xml:space="preserve">[APPROVING AUTHORITY, E.G., CISO AND GENERAL COUNSEL]</w:t>
      </w:r>
      <w:r>
        <w:rPr>
          <w:rFonts w:ascii="Calibri" w:cs="Calibri" w:eastAsia="Calibri" w:hAnsi="Calibri"/>
          <w:b w:val="false"/>
          <w:bCs w:val="false"/>
          <w:i w:val="false"/>
          <w:iCs w:val="false"/>
          <w:color w:val="000000"/>
          <w:sz w:val="22"/>
          <w:szCs w:val="22"/>
        </w:rPr>
        <w:t xml:space="preserve"> and distributed to all IRT members. Superseded versions of this Plan will be archived in </w:t>
      </w:r>
      <w:r>
        <w:rPr>
          <w:rFonts w:ascii="Calibri" w:cs="Calibri" w:eastAsia="Calibri" w:hAnsi="Calibri"/>
          <w:b/>
          <w:bCs/>
          <w:i w:val="false"/>
          <w:iCs w:val="false"/>
          <w:color w:val="000000"/>
          <w:sz w:val="22"/>
          <w:szCs w:val="22"/>
        </w:rPr>
        <w:t xml:space="preserve">[DOCUMENT REPOSITORY]</w:t>
      </w:r>
      <w:r>
        <w:rPr>
          <w:rFonts w:ascii="Calibri" w:cs="Calibri" w:eastAsia="Calibri" w:hAnsi="Calibri"/>
          <w:b w:val="false"/>
          <w:bCs w:val="false"/>
          <w:i w:val="false"/>
          <w:iCs w:val="false"/>
          <w:color w:val="000000"/>
          <w:sz w:val="22"/>
          <w:szCs w:val="22"/>
        </w:rPr>
        <w:t xml:space="preserve"> in accordance with the Company's document retention policy.</w:t>
      </w:r>
    </w:p>
    <w:p>
      <w:r>
        <w:br w:type="page"/>
      </w:r>
    </w:p>
    <w:p>
      <w:pPr>
        <w:pStyle w:val="Heading1"/>
        <w:spacing w:after="100" w:before="200"/>
        <w:jc w:val="center"/>
      </w:pPr>
      <w:r>
        <w:rPr>
          <w:rFonts w:ascii="Calibri" w:cs="Calibri" w:eastAsia="Calibri" w:hAnsi="Calibri"/>
          <w:b/>
          <w:bCs/>
          <w:color w:val="1F3864"/>
          <w:sz w:val="32"/>
          <w:szCs w:val="32"/>
        </w:rPr>
        <w:t xml:space="preserve">EXHIBIT A</w:t>
      </w:r>
    </w:p>
    <w:p>
      <w:pPr>
        <w:spacing w:after="300"/>
        <w:jc w:val="center"/>
      </w:pPr>
      <w:r>
        <w:rPr>
          <w:rFonts w:ascii="Calibri" w:cs="Calibri" w:eastAsia="Calibri" w:hAnsi="Calibri"/>
          <w:b/>
          <w:bCs/>
          <w:color w:val="1F3864"/>
          <w:sz w:val="28"/>
          <w:szCs w:val="28"/>
        </w:rPr>
        <w:t xml:space="preserve">24/7 CONTACTS MATRIX</w:t>
      </w:r>
    </w:p>
    <w:p>
      <w:pPr>
        <w:spacing w:after="120" w:line="276"/>
      </w:pPr>
      <w:r>
        <w:rPr>
          <w:rFonts w:ascii="Calibri" w:cs="Calibri" w:eastAsia="Calibri" w:hAnsi="Calibri"/>
          <w:b w:val="false"/>
          <w:bCs w:val="false"/>
          <w:i w:val="false"/>
          <w:iCs w:val="false"/>
          <w:color w:val="000000"/>
          <w:sz w:val="22"/>
          <w:szCs w:val="22"/>
        </w:rPr>
        <w:t xml:space="preserve">The following matrix identifies the primary and backup contacts for each Incident Response Team role. This matrix must be verified quarterly pursuant to Section 14.1 and updated immediately upon any personnel change.</w:t>
      </w:r>
    </w:p>
    <w:p>
      <w:pPr>
        <w:spacing w:after="200"/>
      </w:pPr>
    </w:p>
    <w:tbl>
      <w:tblPr>
        <w:tblW w:type="dxa" w:w="8400"/>
        <w:tblBorders>
          <w:top w:val="single" w:color="auto" w:sz="4"/>
          <w:left w:val="single" w:color="auto" w:sz="4"/>
          <w:bottom w:val="single" w:color="auto" w:sz="4"/>
          <w:right w:val="single" w:color="auto" w:sz="4"/>
          <w:insideH w:val="single" w:color="auto" w:sz="4"/>
          <w:insideV w:val="single" w:color="auto" w:sz="4"/>
        </w:tblBorders>
      </w:tblPr>
      <w:tblGrid>
        <w:gridCol w:w="1700"/>
        <w:gridCol w:w="1400"/>
        <w:gridCol w:w="1200"/>
        <w:gridCol w:w="1500"/>
        <w:gridCol w:w="1400"/>
        <w:gridCol w:w="1200"/>
      </w:tblGrid>
      <w:tr>
        <w:trPr>
          <w:tblHeader/>
        </w:trPr>
        <w:tc>
          <w:tcPr>
            <w:tcW w:type="dxa" w:w="1700"/>
            <w:shd w:fill="1F3864" w:color="auto" w:val="clear"/>
          </w:tcPr>
          <w:p>
            <w:pPr>
              <w:spacing w:after="60" w:before="60"/>
            </w:pPr>
            <w:r>
              <w:rPr>
                <w:rFonts w:ascii="Calibri" w:cs="Calibri" w:eastAsia="Calibri" w:hAnsi="Calibri"/>
                <w:b/>
                <w:bCs/>
                <w:color w:val="FFFFFF"/>
                <w:sz w:val="20"/>
                <w:szCs w:val="20"/>
              </w:rPr>
              <w:t xml:space="preserve">Role</w:t>
            </w:r>
          </w:p>
        </w:tc>
        <w:tc>
          <w:tcPr>
            <w:tcW w:type="dxa" w:w="1400"/>
            <w:shd w:fill="1F3864" w:color="auto" w:val="clear"/>
          </w:tcPr>
          <w:p>
            <w:pPr>
              <w:spacing w:after="60" w:before="60"/>
            </w:pPr>
            <w:r>
              <w:rPr>
                <w:rFonts w:ascii="Calibri" w:cs="Calibri" w:eastAsia="Calibri" w:hAnsi="Calibri"/>
                <w:b/>
                <w:bCs/>
                <w:color w:val="FFFFFF"/>
                <w:sz w:val="20"/>
                <w:szCs w:val="20"/>
              </w:rPr>
              <w:t xml:space="preserve">Primary Contact</w:t>
            </w:r>
          </w:p>
        </w:tc>
        <w:tc>
          <w:tcPr>
            <w:tcW w:type="dxa" w:w="1200"/>
            <w:shd w:fill="1F3864" w:color="auto" w:val="clear"/>
          </w:tcPr>
          <w:p>
            <w:pPr>
              <w:spacing w:after="60" w:before="60"/>
            </w:pPr>
            <w:r>
              <w:rPr>
                <w:rFonts w:ascii="Calibri" w:cs="Calibri" w:eastAsia="Calibri" w:hAnsi="Calibri"/>
                <w:b/>
                <w:bCs/>
                <w:color w:val="FFFFFF"/>
                <w:sz w:val="20"/>
                <w:szCs w:val="20"/>
              </w:rPr>
              <w:t xml:space="preserve">Phone</w:t>
            </w:r>
          </w:p>
        </w:tc>
        <w:tc>
          <w:tcPr>
            <w:tcW w:type="dxa" w:w="1500"/>
            <w:shd w:fill="1F3864" w:color="auto" w:val="clear"/>
          </w:tcPr>
          <w:p>
            <w:pPr>
              <w:spacing w:after="60" w:before="60"/>
            </w:pPr>
            <w:r>
              <w:rPr>
                <w:rFonts w:ascii="Calibri" w:cs="Calibri" w:eastAsia="Calibri" w:hAnsi="Calibri"/>
                <w:b/>
                <w:bCs/>
                <w:color w:val="FFFFFF"/>
                <w:sz w:val="20"/>
                <w:szCs w:val="20"/>
              </w:rPr>
              <w:t xml:space="preserve">Email</w:t>
            </w:r>
          </w:p>
        </w:tc>
        <w:tc>
          <w:tcPr>
            <w:tcW w:type="dxa" w:w="1400"/>
            <w:shd w:fill="1F3864" w:color="auto" w:val="clear"/>
          </w:tcPr>
          <w:p>
            <w:pPr>
              <w:spacing w:after="60" w:before="60"/>
            </w:pPr>
            <w:r>
              <w:rPr>
                <w:rFonts w:ascii="Calibri" w:cs="Calibri" w:eastAsia="Calibri" w:hAnsi="Calibri"/>
                <w:b/>
                <w:bCs/>
                <w:color w:val="FFFFFF"/>
                <w:sz w:val="20"/>
                <w:szCs w:val="20"/>
              </w:rPr>
              <w:t xml:space="preserve">Backup Contact</w:t>
            </w:r>
          </w:p>
        </w:tc>
        <w:tc>
          <w:tcPr>
            <w:tcW w:type="dxa" w:w="1200"/>
            <w:shd w:fill="1F3864" w:color="auto" w:val="clear"/>
          </w:tcPr>
          <w:p>
            <w:pPr>
              <w:spacing w:after="60" w:before="60"/>
            </w:pPr>
            <w:r>
              <w:rPr>
                <w:rFonts w:ascii="Calibri" w:cs="Calibri" w:eastAsia="Calibri" w:hAnsi="Calibri"/>
                <w:b/>
                <w:bCs/>
                <w:color w:val="FFFFFF"/>
                <w:sz w:val="20"/>
                <w:szCs w:val="20"/>
              </w:rPr>
              <w:t xml:space="preserve">Backup 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Incident Commander</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IC — First Alternate</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IC — Second Alternate</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Security/IT Team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SOC Analyst (On-Call)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Network/Infrastructure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Cloud Security Lead</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Product/Engineering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General Counsel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Privacy Counsel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Outside Counsel</w:t>
            </w:r>
          </w:p>
        </w:tc>
        <w:tc>
          <w:tcPr>
            <w:tcW w:type="dxa" w:w="1400"/>
          </w:tcPr>
          <w:p>
            <w:pPr>
              <w:spacing w:after="30" w:before="30"/>
            </w:pPr>
            <w:r>
              <w:rPr>
                <w:rFonts w:ascii="Calibri" w:cs="Calibri" w:eastAsia="Calibri" w:hAnsi="Calibri"/>
                <w:b/>
                <w:bCs/>
                <w:i w:val="false"/>
                <w:iCs w:val="false"/>
                <w:color w:val="000000"/>
                <w:sz w:val="20"/>
                <w:szCs w:val="20"/>
              </w:rPr>
              <w:t xml:space="preserve">[FIRM/NAME]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[FIRM/NAME]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Communications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HR Lead</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Finance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Customer Success Lead</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Vendor Management Lead</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Insurance Liaison</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Insurance Broker</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[FIRM/NAME]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[FIRM/NAME]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Insurance Carrier Claims</w:t>
            </w:r>
          </w:p>
        </w:tc>
        <w:tc>
          <w:tcPr>
            <w:tcW w:type="dxa" w:w="1400"/>
          </w:tcPr>
          <w:p>
            <w:pPr>
              <w:spacing w:after="30" w:before="30"/>
            </w:pPr>
            <w:r>
              <w:rPr>
                <w:rFonts w:ascii="Calibri" w:cs="Calibri" w:eastAsia="Calibri" w:hAnsi="Calibri"/>
                <w:b/>
                <w:bCs/>
                <w:i w:val="false"/>
                <w:iCs w:val="false"/>
                <w:color w:val="000000"/>
                <w:sz w:val="20"/>
                <w:szCs w:val="20"/>
              </w:rPr>
              <w:t xml:space="preserve">[CARRIER]</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CEO</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COO</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Board Chair / Audit Chair</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Outside Forensics — Primary</w:t>
            </w:r>
          </w:p>
        </w:tc>
        <w:tc>
          <w:tcPr>
            <w:tcW w:type="dxa" w:w="1400"/>
          </w:tcPr>
          <w:p>
            <w:pPr>
              <w:spacing w:after="30" w:before="30"/>
            </w:pPr>
            <w:r>
              <w:rPr>
                <w:rFonts w:ascii="Calibri" w:cs="Calibri" w:eastAsia="Calibri" w:hAnsi="Calibri"/>
                <w:b/>
                <w:bCs/>
                <w:i w:val="false"/>
                <w:iCs w:val="false"/>
                <w:color w:val="000000"/>
                <w:sz w:val="20"/>
                <w:szCs w:val="20"/>
              </w:rPr>
              <w:t xml:space="preserve">[FIRM/NAME]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bCs/>
                <w:i w:val="false"/>
                <w:iCs w:val="false"/>
                <w:color w:val="000000"/>
                <w:sz w:val="20"/>
                <w:szCs w:val="20"/>
              </w:rPr>
              <w:t xml:space="preserve">[FIRM/NAME]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Outside Forensics — Alternate</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[FIRM/NAME]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[FIRM/NAME]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Notification Vendor</w:t>
            </w:r>
          </w:p>
        </w:tc>
        <w:tc>
          <w:tcPr>
            <w:tcW w:type="dxa" w:w="1400"/>
          </w:tcPr>
          <w:p>
            <w:pPr>
              <w:spacing w:after="30" w:before="30"/>
            </w:pPr>
            <w:r>
              <w:rPr>
                <w:rFonts w:ascii="Calibri" w:cs="Calibri" w:eastAsia="Calibri" w:hAnsi="Calibri"/>
                <w:b/>
                <w:bCs/>
                <w:i w:val="false"/>
                <w:iCs w:val="false"/>
                <w:color w:val="000000"/>
                <w:sz w:val="20"/>
                <w:szCs w:val="20"/>
              </w:rPr>
              <w:t xml:space="preserve">[VENDOR]</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Credit Monitoring Vendor</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[VENDOR]</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Crisis Communications Firm</w:t>
            </w:r>
          </w:p>
        </w:tc>
        <w:tc>
          <w:tcPr>
            <w:tcW w:type="dxa" w:w="1400"/>
          </w:tcPr>
          <w:p>
            <w:pPr>
              <w:spacing w:after="30" w:before="30"/>
            </w:pPr>
            <w:r>
              <w:rPr>
                <w:rFonts w:ascii="Calibri" w:cs="Calibri" w:eastAsia="Calibri" w:hAnsi="Calibri"/>
                <w:b/>
                <w:bCs/>
                <w:i w:val="false"/>
                <w:iCs w:val="false"/>
                <w:color w:val="000000"/>
                <w:sz w:val="20"/>
                <w:szCs w:val="20"/>
              </w:rPr>
              <w:t xml:space="preserve">[FIRM]</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w:t>
            </w:r>
          </w:p>
        </w:tc>
      </w:tr>
      <w:tr>
        <w:tc>
          <w:tcPr>
            <w:tcW w:type="dxa" w:w="1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FBI Field Office</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[OFFICE]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[PHONE]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r>
      <w:tr>
        <w:tc>
          <w:tcPr>
            <w:tcW w:type="dxa" w:w="1700"/>
          </w:tcPr>
          <w:p>
            <w:pPr>
              <w:spacing w:after="30" w:before="30"/>
            </w:pPr>
            <w:r>
              <w:rPr>
                <w:rFonts w:ascii="Calibri" w:cs="Calibri" w:eastAsia="Calibri" w:hAnsi="Calibri"/>
                <w:b w:val="false"/>
                <w:bCs w:val="false"/>
                <w:i w:val="false"/>
                <w:iCs w:val="false"/>
                <w:color w:val="000000"/>
                <w:sz w:val="20"/>
                <w:szCs w:val="20"/>
              </w:rPr>
              <w:t xml:space="preserve">CISA Regional Contact</w:t>
            </w:r>
          </w:p>
        </w:tc>
        <w:tc>
          <w:tcPr>
            <w:tcW w:type="dxa" w:w="1400"/>
          </w:tcPr>
          <w:p>
            <w:pPr>
              <w:spacing w:after="30" w:before="30"/>
            </w:pPr>
            <w:r>
              <w:rPr>
                <w:rFonts w:ascii="Calibri" w:cs="Calibri" w:eastAsia="Calibri" w:hAnsi="Calibri"/>
                <w:b/>
                <w:bCs/>
                <w:i w:val="false"/>
                <w:iCs w:val="false"/>
                <w:color w:val="000000"/>
                <w:sz w:val="20"/>
                <w:szCs w:val="20"/>
              </w:rPr>
              <w:t xml:space="preserve">[NAME/OFFICE]</w:t>
            </w:r>
          </w:p>
        </w:tc>
        <w:tc>
          <w:tcPr>
            <w:tcW w:type="dxa" w:w="1200"/>
          </w:tcPr>
          <w:p>
            <w:pPr>
              <w:spacing w:after="30" w:before="30"/>
            </w:pPr>
            <w:r>
              <w:rPr>
                <w:rFonts w:ascii="Calibri" w:cs="Calibri" w:eastAsia="Calibri" w:hAnsi="Calibri"/>
                <w:b/>
                <w:bCs/>
                <w:i w:val="false"/>
                <w:iCs w:val="false"/>
                <w:color w:val="000000"/>
                <w:sz w:val="20"/>
                <w:szCs w:val="20"/>
              </w:rPr>
              <w:t xml:space="preserve">[PHONE]</w:t>
            </w:r>
          </w:p>
        </w:tc>
        <w:tc>
          <w:tcPr>
            <w:tcW w:type="dxa" w:w="1500"/>
          </w:tcPr>
          <w:p>
            <w:pPr>
              <w:spacing w:after="30" w:before="30"/>
            </w:pPr>
            <w:r>
              <w:rPr>
                <w:rFonts w:ascii="Calibri" w:cs="Calibri" w:eastAsia="Calibri" w:hAnsi="Calibri"/>
                <w:b/>
                <w:bCs/>
                <w:i w:val="false"/>
                <w:iCs w:val="false"/>
                <w:color w:val="000000"/>
                <w:sz w:val="20"/>
                <w:szCs w:val="20"/>
              </w:rPr>
              <w:t xml:space="preserve">[EMAIL]</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w:t>
            </w:r>
          </w:p>
        </w:tc>
      </w:tr>
    </w:tbl>
    <w:p>
      <w:pPr>
        <w:spacing w:after="200"/>
      </w:pPr>
    </w:p>
    <w:p>
      <w:pPr>
        <w:spacing w:after="120" w:line="276"/>
      </w:pPr>
      <w:r>
        <w:rPr>
          <w:rFonts w:ascii="Calibri" w:cs="Calibri" w:eastAsia="Calibri" w:hAnsi="Calibri"/>
          <w:b w:val="false"/>
          <w:bCs w:val="false"/>
          <w:i/>
          <w:iCs/>
          <w:color w:val="000000"/>
          <w:sz w:val="22"/>
          <w:szCs w:val="22"/>
        </w:rPr>
        <w:t xml:space="preserve">Last verified: </w:t>
      </w:r>
      <w:r>
        <w:rPr>
          <w:rFonts w:ascii="Calibri" w:cs="Calibri" w:eastAsia="Calibri" w:hAnsi="Calibri"/>
          <w:b/>
          <w:bCs/>
          <w:i/>
          <w:iCs/>
          <w:color w:val="000000"/>
          <w:sz w:val="22"/>
          <w:szCs w:val="22"/>
        </w:rPr>
        <w:t xml:space="preserve">[DATE]</w:t>
      </w:r>
      <w:r>
        <w:rPr>
          <w:rFonts w:ascii="Calibri" w:cs="Calibri" w:eastAsia="Calibri" w:hAnsi="Calibri"/>
          <w:b w:val="false"/>
          <w:bCs w:val="false"/>
          <w:i/>
          <w:iCs/>
          <w:color w:val="000000"/>
          <w:sz w:val="22"/>
          <w:szCs w:val="22"/>
        </w:rPr>
        <w:t xml:space="preserve">  |  Verified by: </w:t>
      </w:r>
      <w:r>
        <w:rPr>
          <w:rFonts w:ascii="Calibri" w:cs="Calibri" w:eastAsia="Calibri" w:hAnsi="Calibri"/>
          <w:b/>
          <w:bCs/>
          <w:i/>
          <w:iCs/>
          <w:color w:val="000000"/>
          <w:sz w:val="22"/>
          <w:szCs w:val="22"/>
        </w:rPr>
        <w:t xml:space="preserve">[NAME/TITLE]</w:t>
      </w:r>
    </w:p>
    <w:p>
      <w:r>
        <w:br w:type="page"/>
      </w:r>
    </w:p>
    <w:p>
      <w:pPr>
        <w:pStyle w:val="Heading1"/>
        <w:spacing w:after="100" w:before="200"/>
        <w:jc w:val="center"/>
      </w:pPr>
      <w:r>
        <w:rPr>
          <w:rFonts w:ascii="Calibri" w:cs="Calibri" w:eastAsia="Calibri" w:hAnsi="Calibri"/>
          <w:b/>
          <w:bCs/>
          <w:color w:val="1F3864"/>
          <w:sz w:val="32"/>
          <w:szCs w:val="32"/>
        </w:rPr>
        <w:t xml:space="preserve">EXHIBIT B</w:t>
      </w:r>
    </w:p>
    <w:p>
      <w:pPr>
        <w:spacing w:after="300"/>
        <w:jc w:val="center"/>
      </w:pPr>
      <w:r>
        <w:rPr>
          <w:rFonts w:ascii="Calibri" w:cs="Calibri" w:eastAsia="Calibri" w:hAnsi="Calibri"/>
          <w:b/>
          <w:bCs/>
          <w:color w:val="1F3864"/>
          <w:sz w:val="28"/>
          <w:szCs w:val="28"/>
        </w:rPr>
        <w:t xml:space="preserve">SEVERITY AND ESCALATION MATRIX</w:t>
      </w:r>
    </w:p>
    <w:p>
      <w:pPr>
        <w:spacing w:after="120" w:line="276"/>
      </w:pPr>
      <w:r>
        <w:rPr>
          <w:rFonts w:ascii="Calibri" w:cs="Calibri" w:eastAsia="Calibri" w:hAnsi="Calibri"/>
          <w:b w:val="false"/>
          <w:bCs w:val="false"/>
          <w:i w:val="false"/>
          <w:iCs w:val="false"/>
          <w:color w:val="000000"/>
          <w:sz w:val="22"/>
          <w:szCs w:val="22"/>
        </w:rPr>
        <w:t xml:space="preserve">This matrix provides detailed criteria for Severity classification and the corresponding escalation, response-time, and communication requirements.</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2040"/>
        <w:gridCol w:w="2040"/>
        <w:gridCol w:w="2040"/>
        <w:gridCol w:w="2040"/>
      </w:tblGrid>
      <w:tr>
        <w:trPr>
          <w:tblHeader/>
        </w:trPr>
        <w:tc>
          <w:tcPr>
            <w:tcW w:type="dxa" w:w="1200"/>
            <w:shd w:fill="1F3864" w:color="auto" w:val="clear"/>
          </w:tcPr>
          <w:p>
            <w:pPr>
              <w:spacing w:after="60" w:before="60"/>
            </w:pPr>
            <w:r>
              <w:rPr>
                <w:rFonts w:ascii="Calibri" w:cs="Calibri" w:eastAsia="Calibri" w:hAnsi="Calibri"/>
                <w:b/>
                <w:bCs/>
                <w:color w:val="FFFFFF"/>
                <w:sz w:val="20"/>
                <w:szCs w:val="20"/>
              </w:rPr>
              <w:t xml:space="preserve">Factor</w:t>
            </w:r>
          </w:p>
        </w:tc>
        <w:tc>
          <w:tcPr>
            <w:tcW w:type="dxa" w:w="2040"/>
            <w:shd w:fill="1F3864" w:color="auto" w:val="clear"/>
          </w:tcPr>
          <w:p>
            <w:pPr>
              <w:spacing w:after="60" w:before="60"/>
            </w:pPr>
            <w:r>
              <w:rPr>
                <w:rFonts w:ascii="Calibri" w:cs="Calibri" w:eastAsia="Calibri" w:hAnsi="Calibri"/>
                <w:b/>
                <w:bCs/>
                <w:color w:val="FFFFFF"/>
                <w:sz w:val="20"/>
                <w:szCs w:val="20"/>
              </w:rPr>
              <w:t xml:space="preserve">Severity 1 — Critical</w:t>
            </w:r>
          </w:p>
        </w:tc>
        <w:tc>
          <w:tcPr>
            <w:tcW w:type="dxa" w:w="2040"/>
            <w:shd w:fill="1F3864" w:color="auto" w:val="clear"/>
          </w:tcPr>
          <w:p>
            <w:pPr>
              <w:spacing w:after="60" w:before="60"/>
            </w:pPr>
            <w:r>
              <w:rPr>
                <w:rFonts w:ascii="Calibri" w:cs="Calibri" w:eastAsia="Calibri" w:hAnsi="Calibri"/>
                <w:b/>
                <w:bCs/>
                <w:color w:val="FFFFFF"/>
                <w:sz w:val="20"/>
                <w:szCs w:val="20"/>
              </w:rPr>
              <w:t xml:space="preserve">Severity 2 — High</w:t>
            </w:r>
          </w:p>
        </w:tc>
        <w:tc>
          <w:tcPr>
            <w:tcW w:type="dxa" w:w="2040"/>
            <w:shd w:fill="1F3864" w:color="auto" w:val="clear"/>
          </w:tcPr>
          <w:p>
            <w:pPr>
              <w:spacing w:after="60" w:before="60"/>
            </w:pPr>
            <w:r>
              <w:rPr>
                <w:rFonts w:ascii="Calibri" w:cs="Calibri" w:eastAsia="Calibri" w:hAnsi="Calibri"/>
                <w:b/>
                <w:bCs/>
                <w:color w:val="FFFFFF"/>
                <w:sz w:val="20"/>
                <w:szCs w:val="20"/>
              </w:rPr>
              <w:t xml:space="preserve">Severity 3 — Medium</w:t>
            </w:r>
          </w:p>
        </w:tc>
        <w:tc>
          <w:tcPr>
            <w:tcW w:type="dxa" w:w="2040"/>
            <w:shd w:fill="1F3864" w:color="auto" w:val="clear"/>
          </w:tcPr>
          <w:p>
            <w:pPr>
              <w:spacing w:after="60" w:before="60"/>
            </w:pPr>
            <w:r>
              <w:rPr>
                <w:rFonts w:ascii="Calibri" w:cs="Calibri" w:eastAsia="Calibri" w:hAnsi="Calibri"/>
                <w:b/>
                <w:bCs/>
                <w:color w:val="FFFFFF"/>
                <w:sz w:val="20"/>
                <w:szCs w:val="20"/>
              </w:rPr>
              <w:t xml:space="preserve">Severity 4 — Info</w:t>
            </w:r>
          </w:p>
        </w:tc>
      </w:tr>
      <w:tr>
        <w:tc>
          <w:tcPr>
            <w:tcW w:type="dxa" w:w="1200"/>
          </w:tcPr>
          <w:p>
            <w:pPr>
              <w:spacing w:after="30" w:before="30"/>
            </w:pPr>
            <w:r>
              <w:rPr>
                <w:rFonts w:ascii="Calibri" w:cs="Calibri" w:eastAsia="Calibri" w:hAnsi="Calibri"/>
                <w:b w:val="false"/>
                <w:bCs w:val="false"/>
                <w:i w:val="false"/>
                <w:iCs w:val="false"/>
                <w:color w:val="000000"/>
                <w:sz w:val="20"/>
                <w:szCs w:val="20"/>
              </w:rPr>
              <w:t xml:space="preserve">Data Impact</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Mass exfiltration of sensitive PII, financial data, or trade secrets; confirmed large-scale Breach</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Targeted exfiltration of sensitive data; confirmed unauthorized access to regulated data</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Limited data exposure; potential access without confirmed exfiltration</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No confirmed data compromise</w:t>
            </w:r>
          </w:p>
        </w:tc>
      </w:tr>
      <w:tr>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System Impact</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Critical Services unavailable or destroyed; active ransomware encryption across multiple systems</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Production systems compromised; partial service disruption; active threat actor present</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Non-critical systems compromised; contained within single segment</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No operational impact; blocked or failed attack</w:t>
            </w:r>
          </w:p>
        </w:tc>
      </w:tr>
      <w:tr>
        <w:tc>
          <w:tcPr>
            <w:tcW w:type="dxa" w:w="1200"/>
          </w:tcPr>
          <w:p>
            <w:pPr>
              <w:spacing w:after="30" w:before="30"/>
            </w:pPr>
            <w:r>
              <w:rPr>
                <w:rFonts w:ascii="Calibri" w:cs="Calibri" w:eastAsia="Calibri" w:hAnsi="Calibri"/>
                <w:b w:val="false"/>
                <w:bCs w:val="false"/>
                <w:i w:val="false"/>
                <w:iCs w:val="false"/>
                <w:color w:val="000000"/>
                <w:sz w:val="20"/>
                <w:szCs w:val="20"/>
              </w:rPr>
              <w:t xml:space="preserve">Threat Actor</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Nation-state, APT, or sophisticated organized crime; active and ongoing attack</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Targeted attack by skilled adversary; insider threat with privileged access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Opportunistic attacker; single compromised credential without lateral movement</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Automated scan; brute-force attempt; false positive confirmed</w:t>
            </w:r>
          </w:p>
        </w:tc>
      </w:tr>
      <w:tr>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Business Impact</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Material financial, reputational, or legal impact certain; regulatory enforcement likely</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Significant potential financial or reputational impact; regulatory notification probable</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Moderate potential impact; limited regulatory exposure</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Negligible impact; routine security event</w:t>
            </w:r>
          </w:p>
        </w:tc>
      </w:tr>
      <w:tr>
        <w:tc>
          <w:tcPr>
            <w:tcW w:type="dxa" w:w="1200"/>
          </w:tcPr>
          <w:p>
            <w:pPr>
              <w:spacing w:after="30" w:before="30"/>
            </w:pPr>
            <w:r>
              <w:rPr>
                <w:rFonts w:ascii="Calibri" w:cs="Calibri" w:eastAsia="Calibri" w:hAnsi="Calibri"/>
                <w:b w:val="false"/>
                <w:bCs w:val="false"/>
                <w:i w:val="false"/>
                <w:iCs w:val="false"/>
                <w:color w:val="000000"/>
                <w:sz w:val="20"/>
                <w:szCs w:val="20"/>
              </w:rPr>
              <w:t xml:space="preserve">Response Time</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Immediate — 15 minutes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Within 1 hour</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Within 4 hours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Within 24 hours</w:t>
            </w:r>
          </w:p>
        </w:tc>
      </w:tr>
      <w:tr>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Briefing Cadence</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Every 2-4 hours</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Every 4-8 hours</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Daily</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Weekly or as needed</w:t>
            </w:r>
          </w:p>
        </w:tc>
      </w:tr>
      <w:tr>
        <w:tc>
          <w:tcPr>
            <w:tcW w:type="dxa" w:w="1200"/>
          </w:tcPr>
          <w:p>
            <w:pPr>
              <w:spacing w:after="30" w:before="30"/>
            </w:pPr>
            <w:r>
              <w:rPr>
                <w:rFonts w:ascii="Calibri" w:cs="Calibri" w:eastAsia="Calibri" w:hAnsi="Calibri"/>
                <w:b w:val="false"/>
                <w:bCs w:val="false"/>
                <w:i w:val="false"/>
                <w:iCs w:val="false"/>
                <w:color w:val="000000"/>
                <w:sz w:val="20"/>
                <w:szCs w:val="20"/>
              </w:rPr>
              <w:t xml:space="preserve">IC Authority</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Full IRT activation; IC has emergency spend authority up to </w:t>
            </w:r>
            <w:r>
              <w:rPr>
                <w:rFonts w:ascii="Calibri" w:cs="Calibri" w:eastAsia="Calibri" w:hAnsi="Calibri"/>
                <w:b/>
                <w:bCs/>
                <w:i w:val="false"/>
                <w:iCs w:val="false"/>
                <w:color w:val="000000"/>
                <w:sz w:val="20"/>
                <w:szCs w:val="20"/>
              </w:rPr>
              <w:t xml:space="preserve">[AMOUNT]</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Core IRT activation; IC coordinates with CISO/GC on major decisions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Security/IT Team activation; IC monitors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Tracked in ticketing system; no formal activation</w:t>
            </w:r>
          </w:p>
        </w:tc>
      </w:tr>
      <w:tr>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Board Notification</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Immediate (Audit Committee Chair)</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Within 24 hours if material</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Not required</w:t>
            </w:r>
          </w:p>
        </w:tc>
        <w:tc>
          <w:tcPr>
            <w:tcW w:type="dxa" w:w="204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Not required</w:t>
            </w:r>
          </w:p>
        </w:tc>
      </w:tr>
      <w:tr>
        <w:tc>
          <w:tcPr>
            <w:tcW w:type="dxa" w:w="1200"/>
          </w:tcPr>
          <w:p>
            <w:pPr>
              <w:spacing w:after="30" w:before="30"/>
            </w:pPr>
            <w:r>
              <w:rPr>
                <w:rFonts w:ascii="Calibri" w:cs="Calibri" w:eastAsia="Calibri" w:hAnsi="Calibri"/>
                <w:b w:val="false"/>
                <w:bCs w:val="false"/>
                <w:i w:val="false"/>
                <w:iCs w:val="false"/>
                <w:color w:val="000000"/>
                <w:sz w:val="20"/>
                <w:szCs w:val="20"/>
              </w:rPr>
              <w:t xml:space="preserve">Outside Resources</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Outside counsel, forensics, crisis comms engaged immediately</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Outside counsel and forensics engaged as needed</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Internal resources; outside engagement optional</w:t>
            </w:r>
          </w:p>
        </w:tc>
        <w:tc>
          <w:tcPr>
            <w:tcW w:type="dxa" w:w="2040"/>
          </w:tcPr>
          <w:p>
            <w:pPr>
              <w:spacing w:after="30" w:before="30"/>
            </w:pPr>
            <w:r>
              <w:rPr>
                <w:rFonts w:ascii="Calibri" w:cs="Calibri" w:eastAsia="Calibri" w:hAnsi="Calibri"/>
                <w:b w:val="false"/>
                <w:bCs w:val="false"/>
                <w:i w:val="false"/>
                <w:iCs w:val="false"/>
                <w:color w:val="000000"/>
                <w:sz w:val="20"/>
                <w:szCs w:val="20"/>
              </w:rPr>
              <w:t xml:space="preserve">Internal resources only</w:t>
            </w:r>
          </w:p>
        </w:tc>
      </w:tr>
    </w:tbl>
    <w:p>
      <w:pPr>
        <w:spacing w:after="200"/>
      </w:pPr>
    </w:p>
    <w:p>
      <w:pPr>
        <w:pStyle w:val="Heading2"/>
        <w:keepNext/>
        <w:spacing w:after="120" w:before="240"/>
      </w:pPr>
      <w:r>
        <w:rPr>
          <w:rFonts w:ascii="Calibri" w:cs="Calibri" w:eastAsia="Calibri" w:hAnsi="Calibri"/>
          <w:b/>
          <w:bCs/>
          <w:color w:val="1F3864"/>
          <w:sz w:val="26"/>
          <w:szCs w:val="26"/>
        </w:rPr>
        <w:t xml:space="preserve">Escalation and De-escalation</w:t>
      </w:r>
    </w:p>
    <w:p>
      <w:pPr>
        <w:spacing w:after="120" w:line="276"/>
      </w:pPr>
      <w:r>
        <w:rPr>
          <w:rFonts w:ascii="Calibri" w:cs="Calibri" w:eastAsia="Calibri" w:hAnsi="Calibri"/>
          <w:b w:val="false"/>
          <w:bCs w:val="false"/>
          <w:i w:val="false"/>
          <w:iCs w:val="false"/>
          <w:color w:val="000000"/>
          <w:sz w:val="22"/>
          <w:szCs w:val="22"/>
        </w:rPr>
        <w:t xml:space="preserve">Severity may be escalated or de-escalated by the Incident Commander at any time based on new information. Escalation from Severity 3 to Severity 2 or from Severity 2 to Severity 1 triggers additional notification requirements as set forth in the matrix above. De-escalation requires documented justification in the Authoritative Timeline (Section 6). An Incident may not be de-escalated below Severity 3 while any of the following conditions exist: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Active, uncontained threat-actor access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Ongoing data exfiltration or encryption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Unresolved regulatory notification obligations</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Open forensic investigation with pending findings</w:t>
      </w:r>
    </w:p>
    <w:p>
      <w:r>
        <w:br w:type="page"/>
      </w:r>
    </w:p>
    <w:p>
      <w:pPr>
        <w:pStyle w:val="Heading1"/>
        <w:spacing w:after="100" w:before="200"/>
        <w:jc w:val="center"/>
      </w:pPr>
      <w:r>
        <w:rPr>
          <w:rFonts w:ascii="Calibri" w:cs="Calibri" w:eastAsia="Calibri" w:hAnsi="Calibri"/>
          <w:b/>
          <w:bCs/>
          <w:color w:val="1F3864"/>
          <w:sz w:val="32"/>
          <w:szCs w:val="32"/>
        </w:rPr>
        <w:t xml:space="preserve">EXHIBIT C</w:t>
      </w:r>
    </w:p>
    <w:p>
      <w:pPr>
        <w:spacing w:after="300"/>
        <w:jc w:val="center"/>
      </w:pPr>
      <w:r>
        <w:rPr>
          <w:rFonts w:ascii="Calibri" w:cs="Calibri" w:eastAsia="Calibri" w:hAnsi="Calibri"/>
          <w:b/>
          <w:bCs/>
          <w:color w:val="1F3864"/>
          <w:sz w:val="28"/>
          <w:szCs w:val="28"/>
        </w:rPr>
        <w:t xml:space="preserve">INTAKE FORM, TIMELINE, AND DECISION LOG</w:t>
      </w:r>
    </w:p>
    <w:p>
      <w:pPr>
        <w:pStyle w:val="Heading2"/>
        <w:keepNext/>
        <w:spacing w:after="120" w:before="240"/>
      </w:pPr>
      <w:r>
        <w:rPr>
          <w:rFonts w:ascii="Calibri" w:cs="Calibri" w:eastAsia="Calibri" w:hAnsi="Calibri"/>
          <w:b/>
          <w:bCs/>
          <w:color w:val="1F3864"/>
          <w:sz w:val="26"/>
          <w:szCs w:val="26"/>
        </w:rPr>
        <w:t xml:space="preserve">Part 1: Incident Intake Form</w:t>
      </w:r>
    </w:p>
    <w:p>
      <w:pPr>
        <w:spacing w:after="120" w:line="276"/>
      </w:pPr>
      <w:r>
        <w:rPr>
          <w:rFonts w:ascii="Calibri" w:cs="Calibri" w:eastAsia="Calibri" w:hAnsi="Calibri"/>
          <w:b w:val="false"/>
          <w:bCs w:val="false"/>
          <w:i w:val="false"/>
          <w:iCs w:val="false"/>
          <w:color w:val="000000"/>
          <w:sz w:val="22"/>
          <w:szCs w:val="22"/>
        </w:rPr>
        <w:t xml:space="preserve">Complete this form upon initial report of a Security Event. Fields marked with an asterisk (*) are required for initial triage.</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Field</w:t>
            </w:r>
          </w:p>
        </w:tc>
        <w:tc>
          <w:tcPr>
            <w:tcW w:type="dxa" w:w="6160"/>
            <w:shd w:fill="1F3864" w:color="auto" w:val="clear"/>
          </w:tcPr>
          <w:p>
            <w:pPr>
              <w:spacing w:after="60" w:before="60"/>
            </w:pPr>
            <w:r>
              <w:rPr>
                <w:rFonts w:ascii="Calibri" w:cs="Calibri" w:eastAsia="Calibri" w:hAnsi="Calibri"/>
                <w:b/>
                <w:bCs/>
                <w:color w:val="FFFFFF"/>
                <w:sz w:val="20"/>
                <w:szCs w:val="20"/>
              </w:rPr>
              <w:t xml:space="preserve">Response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Incident Tracking Number*</w:t>
            </w:r>
          </w:p>
        </w:tc>
        <w:tc>
          <w:tcPr>
            <w:tcW w:type="dxa" w:w="6160"/>
          </w:tcPr>
          <w:p>
            <w:pPr>
              <w:spacing w:after="30" w:before="30"/>
            </w:pPr>
            <w:r>
              <w:rPr>
                <w:rFonts w:ascii="Calibri" w:cs="Calibri" w:eastAsia="Calibri" w:hAnsi="Calibri"/>
                <w:b/>
                <w:bCs/>
                <w:i w:val="false"/>
                <w:iCs w:val="false"/>
                <w:color w:val="000000"/>
                <w:sz w:val="20"/>
                <w:szCs w:val="20"/>
              </w:rPr>
              <w:t xml:space="preserve">[AUTO-ASSIGNED OR MANUALLY ASSIGNED]</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Date and Time of Report*</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[DATE]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[TIMEZONE]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Reporter Name*</w:t>
            </w:r>
          </w:p>
        </w:tc>
        <w:tc>
          <w:tcPr>
            <w:tcW w:type="dxa" w:w="6160"/>
          </w:tcPr>
          <w:p>
            <w:pPr>
              <w:spacing w:after="30" w:before="30"/>
            </w:pPr>
            <w:r>
              <w:rPr>
                <w:rFonts w:ascii="Calibri" w:cs="Calibri" w:eastAsia="Calibri" w:hAnsi="Calibri"/>
                <w:b/>
                <w:bCs/>
                <w:i w:val="false"/>
                <w:iCs w:val="false"/>
                <w:color w:val="000000"/>
                <w:sz w:val="20"/>
                <w:szCs w:val="20"/>
              </w:rPr>
              <w:t xml:space="preserve">[NAME]</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Reporter Title/Department</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[TITLE/DEPARTMENT]</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Reporter Phone*</w:t>
            </w:r>
          </w:p>
        </w:tc>
        <w:tc>
          <w:tcPr>
            <w:tcW w:type="dxa" w:w="6160"/>
          </w:tcPr>
          <w:p>
            <w:pPr>
              <w:spacing w:after="30" w:before="30"/>
            </w:pPr>
            <w:r>
              <w:rPr>
                <w:rFonts w:ascii="Calibri" w:cs="Calibri" w:eastAsia="Calibri" w:hAnsi="Calibri"/>
                <w:b/>
                <w:bCs/>
                <w:i w:val="false"/>
                <w:iCs w:val="false"/>
                <w:color w:val="000000"/>
                <w:sz w:val="20"/>
                <w:szCs w:val="20"/>
              </w:rPr>
              <w:t xml:space="preserve">[PHONE]</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Reporter Email*</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[EMAIL]</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Date/Time Event Detected*</w:t>
            </w:r>
          </w:p>
        </w:tc>
        <w:tc>
          <w:tcPr>
            <w:tcW w:type="dxa" w:w="6160"/>
          </w:tcPr>
          <w:p>
            <w:pPr>
              <w:spacing w:after="30" w:before="30"/>
            </w:pPr>
            <w:r>
              <w:rPr>
                <w:rFonts w:ascii="Calibri" w:cs="Calibri" w:eastAsia="Calibri" w:hAnsi="Calibri"/>
                <w:b/>
                <w:bCs/>
                <w:i w:val="false"/>
                <w:iCs w:val="false"/>
                <w:color w:val="000000"/>
                <w:sz w:val="20"/>
                <w:szCs w:val="20"/>
              </w:rPr>
              <w:t xml:space="preserve">[DATE]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[TIMEZONE]</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Date/Time Event Believed to Have Occurred</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[DATE]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[TIMEZONE]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Detection Method*</w:t>
            </w:r>
          </w:p>
        </w:tc>
        <w:tc>
          <w:tcPr>
            <w:tcW w:type="dxa" w:w="6160"/>
          </w:tcPr>
          <w:p>
            <w:pPr>
              <w:spacing w:after="30" w:before="30"/>
            </w:pPr>
            <w:r>
              <w:rPr>
                <w:rFonts w:ascii="Calibri" w:cs="Calibri" w:eastAsia="Calibri" w:hAnsi="Calibri"/>
                <w:b/>
                <w:bCs/>
                <w:i w:val="false"/>
                <w:iCs w:val="false"/>
                <w:color w:val="000000"/>
                <w:sz w:val="20"/>
                <w:szCs w:val="20"/>
              </w:rPr>
              <w:t xml:space="preserve">[SIEM ALERT / EDR ALERT / USER REPORT / THIRD-PARTY NOTIFICATION / CUSTOMER COMPLAINT / VULNERABILITY SCAN / OTHER]</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Event Description*</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[NARRATIVE DESCRIPTION OF WHAT HAPPENED OR WAS OBSERVED]</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Systems/Applications Affected</w:t>
            </w:r>
          </w:p>
        </w:tc>
        <w:tc>
          <w:tcPr>
            <w:tcW w:type="dxa" w:w="6160"/>
          </w:tcPr>
          <w:p>
            <w:pPr>
              <w:spacing w:after="30" w:before="30"/>
            </w:pPr>
            <w:r>
              <w:rPr>
                <w:rFonts w:ascii="Calibri" w:cs="Calibri" w:eastAsia="Calibri" w:hAnsi="Calibri"/>
                <w:b/>
                <w:bCs/>
                <w:i w:val="false"/>
                <w:iCs w:val="false"/>
                <w:color w:val="000000"/>
                <w:sz w:val="20"/>
                <w:szCs w:val="20"/>
              </w:rPr>
              <w:t xml:space="preserve">[LIST ALL KNOWN SYSTEMS, APPLICATIONS, SERVERS, ENDPOINTS]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Accounts/Credentials Involved</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[LIST ALL KNOWN USER ACCOUNTS, SERVICE ACCOUNTS, API KEYS]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Data Types Potentially Affected</w:t>
            </w:r>
          </w:p>
        </w:tc>
        <w:tc>
          <w:tcPr>
            <w:tcW w:type="dxa" w:w="6160"/>
          </w:tcPr>
          <w:p>
            <w:pPr>
              <w:spacing w:after="30" w:before="30"/>
            </w:pPr>
            <w:r>
              <w:rPr>
                <w:rFonts w:ascii="Calibri" w:cs="Calibri" w:eastAsia="Calibri" w:hAnsi="Calibri"/>
                <w:b/>
                <w:bCs/>
                <w:i w:val="false"/>
                <w:iCs w:val="false"/>
                <w:color w:val="000000"/>
                <w:sz w:val="20"/>
                <w:szCs w:val="20"/>
              </w:rPr>
              <w:t xml:space="preserve">[PII / FINANCIAL / HEALTH / IP / SOURCE CODE / CREDENTIALS / OTHER]</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Estimated Number of Affected Individuals</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[NUMBER OR RANGE]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Categories of Affected Individuals</w:t>
            </w:r>
          </w:p>
        </w:tc>
        <w:tc>
          <w:tcPr>
            <w:tcW w:type="dxa" w:w="6160"/>
          </w:tcPr>
          <w:p>
            <w:pPr>
              <w:spacing w:after="30" w:before="30"/>
            </w:pPr>
            <w:r>
              <w:rPr>
                <w:rFonts w:ascii="Calibri" w:cs="Calibri" w:eastAsia="Calibri" w:hAnsi="Calibri"/>
                <w:b/>
                <w:bCs/>
                <w:i w:val="false"/>
                <w:iCs w:val="false"/>
                <w:color w:val="000000"/>
                <w:sz w:val="20"/>
                <w:szCs w:val="20"/>
              </w:rPr>
              <w:t xml:space="preserve">[CUSTOMERS / EMPLOYEES / CONTRACTORS / PARTNERS / MINORS / OTHER]</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Locations/Jurisdictions</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[LIST PHYSICAL LOCATIONS, DATA CENTERS, CLOUD REGIONS, COUNTRIES]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Actions Already Taken</w:t>
            </w:r>
          </w:p>
        </w:tc>
        <w:tc>
          <w:tcPr>
            <w:tcW w:type="dxa" w:w="6160"/>
          </w:tcPr>
          <w:p>
            <w:pPr>
              <w:spacing w:after="30" w:before="30"/>
            </w:pPr>
            <w:r>
              <w:rPr>
                <w:rFonts w:ascii="Calibri" w:cs="Calibri" w:eastAsia="Calibri" w:hAnsi="Calibri"/>
                <w:b/>
                <w:bCs/>
                <w:i w:val="false"/>
                <w:iCs w:val="false"/>
                <w:color w:val="000000"/>
                <w:sz w:val="20"/>
                <w:szCs w:val="20"/>
              </w:rPr>
              <w:t xml:space="preserve">[DESCRIBE ANY ACTIONS TAKEN BY REPORTER OR OTHERS]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Initial Severity Assessment</w:t>
            </w:r>
          </w:p>
        </w:tc>
        <w:tc>
          <w:tcPr>
            <w:tcW w:type="dxa" w:w="61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[1-CRITICAL / 2-HIGH / 3-MEDIUM / 4-INFO / PENDING IC REVIEW]</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Assigned Incident Commander</w:t>
            </w:r>
          </w:p>
        </w:tc>
        <w:tc>
          <w:tcPr>
            <w:tcW w:type="dxa" w:w="6160"/>
          </w:tcPr>
          <w:p>
            <w:pPr>
              <w:spacing w:after="30" w:before="30"/>
            </w:pPr>
            <w:r>
              <w:rPr>
                <w:rFonts w:ascii="Calibri" w:cs="Calibri" w:eastAsia="Calibri" w:hAnsi="Calibri"/>
                <w:b/>
                <w:bCs/>
                <w:i w:val="false"/>
                <w:iCs w:val="false"/>
                <w:color w:val="000000"/>
                <w:sz w:val="20"/>
                <w:szCs w:val="20"/>
              </w:rPr>
              <w:t xml:space="preserve">[NAME]</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Date/Time Plan Activated</w:t>
            </w:r>
          </w:p>
        </w:tc>
        <w:tc>
          <w:tcPr>
            <w:tcW w:type="dxa" w:w="6160"/>
            <w:shd w:fill="F2F2F2" w:color="auto" w:val="clear"/>
          </w:tcPr>
          <w:p>
            <w:pPr>
              <w:spacing w:after="30" w:before="30"/>
            </w:pPr>
            <w:r>
              <w:rPr>
                <w:rFonts w:ascii="Calibri" w:cs="Calibri" w:eastAsia="Calibri" w:hAnsi="Calibri"/>
                <w:b/>
                <w:bCs/>
                <w:i w:val="false"/>
                <w:iCs w:val="false"/>
                <w:color w:val="000000"/>
                <w:sz w:val="20"/>
                <w:szCs w:val="20"/>
              </w:rPr>
              <w:t xml:space="preserve">[DATE]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w:t>
            </w:r>
            <w:r>
              <w:rPr>
                <w:rFonts w:ascii="Calibri" w:cs="Calibri" w:eastAsia="Calibri" w:hAnsi="Calibri"/>
                <w:b w:val="false"/>
                <w:bCs w:val="false"/>
                <w:i w:val="false"/>
                <w:iCs w:val="false"/>
                <w:color w:val="000000"/>
                <w:sz w:val="20"/>
                <w:szCs w:val="20"/>
              </w:rPr>
              <w:t xml:space="preserve"> </w:t>
            </w:r>
            <w:r>
              <w:rPr>
                <w:rFonts w:ascii="Calibri" w:cs="Calibri" w:eastAsia="Calibri" w:hAnsi="Calibri"/>
                <w:b/>
                <w:bCs/>
                <w:i w:val="false"/>
                <w:iCs w:val="false"/>
                <w:color w:val="000000"/>
                <w:sz w:val="20"/>
                <w:szCs w:val="20"/>
              </w:rPr>
              <w:t xml:space="preserve">[TIMEZONE]</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2: Authoritative Timeline Template</w:t>
      </w:r>
    </w:p>
    <w:p>
      <w:pPr>
        <w:spacing w:after="120" w:line="276"/>
      </w:pPr>
      <w:r>
        <w:rPr>
          <w:rFonts w:ascii="Calibri" w:cs="Calibri" w:eastAsia="Calibri" w:hAnsi="Calibri"/>
          <w:b w:val="false"/>
          <w:bCs w:val="false"/>
          <w:i w:val="false"/>
          <w:iCs w:val="false"/>
          <w:color w:val="000000"/>
          <w:sz w:val="22"/>
          <w:szCs w:val="22"/>
        </w:rPr>
        <w:t xml:space="preserve">Maintain this timeline throughout the Incident lifecycle. All entries must be contemporaneous.</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400"/>
        <w:gridCol w:w="1500"/>
        <w:gridCol w:w="2960"/>
        <w:gridCol w:w="1400"/>
        <w:gridCol w:w="1400"/>
      </w:tblGrid>
      <w:tr>
        <w:trPr>
          <w:tblHeader/>
        </w:trPr>
        <w:tc>
          <w:tcPr>
            <w:tcW w:type="dxa" w:w="700"/>
            <w:shd w:fill="1F3864" w:color="auto" w:val="clear"/>
          </w:tcPr>
          <w:p>
            <w:pPr>
              <w:spacing w:after="60" w:before="60"/>
            </w:pPr>
            <w:r>
              <w:rPr>
                <w:rFonts w:ascii="Calibri" w:cs="Calibri" w:eastAsia="Calibri" w:hAnsi="Calibri"/>
                <w:b/>
                <w:bCs/>
                <w:color w:val="FFFFFF"/>
                <w:sz w:val="20"/>
                <w:szCs w:val="20"/>
              </w:rPr>
              <w:t xml:space="preserve">Entry #</w:t>
            </w:r>
          </w:p>
        </w:tc>
        <w:tc>
          <w:tcPr>
            <w:tcW w:type="dxa" w:w="1400"/>
            <w:shd w:fill="1F3864" w:color="auto" w:val="clear"/>
          </w:tcPr>
          <w:p>
            <w:pPr>
              <w:spacing w:after="60" w:before="60"/>
            </w:pPr>
            <w:r>
              <w:rPr>
                <w:rFonts w:ascii="Calibri" w:cs="Calibri" w:eastAsia="Calibri" w:hAnsi="Calibri"/>
                <w:b/>
                <w:bCs/>
                <w:color w:val="FFFFFF"/>
                <w:sz w:val="20"/>
                <w:szCs w:val="20"/>
              </w:rPr>
              <w:t xml:space="preserve">Date/Time (UTC)</w:t>
            </w:r>
          </w:p>
        </w:tc>
        <w:tc>
          <w:tcPr>
            <w:tcW w:type="dxa" w:w="1500"/>
            <w:shd w:fill="1F3864" w:color="auto" w:val="clear"/>
          </w:tcPr>
          <w:p>
            <w:pPr>
              <w:spacing w:after="60" w:before="60"/>
            </w:pPr>
            <w:r>
              <w:rPr>
                <w:rFonts w:ascii="Calibri" w:cs="Calibri" w:eastAsia="Calibri" w:hAnsi="Calibri"/>
                <w:b/>
                <w:bCs/>
                <w:color w:val="FFFFFF"/>
                <w:sz w:val="20"/>
                <w:szCs w:val="20"/>
              </w:rPr>
              <w:t xml:space="preserve">Category</w:t>
            </w:r>
          </w:p>
        </w:tc>
        <w:tc>
          <w:tcPr>
            <w:tcW w:type="dxa" w:w="2960"/>
            <w:shd w:fill="1F3864" w:color="auto" w:val="clear"/>
          </w:tcPr>
          <w:p>
            <w:pPr>
              <w:spacing w:after="60" w:before="60"/>
            </w:pPr>
            <w:r>
              <w:rPr>
                <w:rFonts w:ascii="Calibri" w:cs="Calibri" w:eastAsia="Calibri" w:hAnsi="Calibri"/>
                <w:b/>
                <w:bCs/>
                <w:color w:val="FFFFFF"/>
                <w:sz w:val="20"/>
                <w:szCs w:val="20"/>
              </w:rPr>
              <w:t xml:space="preserve">Description</w:t>
            </w:r>
          </w:p>
        </w:tc>
        <w:tc>
          <w:tcPr>
            <w:tcW w:type="dxa" w:w="1400"/>
            <w:shd w:fill="1F3864" w:color="auto" w:val="clear"/>
          </w:tcPr>
          <w:p>
            <w:pPr>
              <w:spacing w:after="60" w:before="60"/>
            </w:pPr>
            <w:r>
              <w:rPr>
                <w:rFonts w:ascii="Calibri" w:cs="Calibri" w:eastAsia="Calibri" w:hAnsi="Calibri"/>
                <w:b/>
                <w:bCs/>
                <w:color w:val="FFFFFF"/>
                <w:sz w:val="20"/>
                <w:szCs w:val="20"/>
              </w:rPr>
              <w:t xml:space="preserve">Source/Basis</w:t>
            </w:r>
          </w:p>
        </w:tc>
        <w:tc>
          <w:tcPr>
            <w:tcW w:type="dxa" w:w="1400"/>
            <w:shd w:fill="1F3864" w:color="auto" w:val="clear"/>
          </w:tcPr>
          <w:p>
            <w:pPr>
              <w:spacing w:after="60" w:before="60"/>
            </w:pPr>
            <w:r>
              <w:rPr>
                <w:rFonts w:ascii="Calibri" w:cs="Calibri" w:eastAsia="Calibri" w:hAnsi="Calibri"/>
                <w:b/>
                <w:bCs/>
                <w:color w:val="FFFFFF"/>
                <w:sz w:val="20"/>
                <w:szCs w:val="20"/>
              </w:rPr>
              <w:t xml:space="preserve">Recorded By</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1</w:t>
            </w:r>
          </w:p>
        </w:tc>
        <w:tc>
          <w:tcPr>
            <w:tcW w:type="dxa" w:w="1400"/>
          </w:tcPr>
          <w:p>
            <w:pPr>
              <w:spacing w:after="30" w:before="30"/>
            </w:pPr>
            <w:r>
              <w:rPr>
                <w:rFonts w:ascii="Calibri" w:cs="Calibri" w:eastAsia="Calibri" w:hAnsi="Calibri"/>
                <w:b/>
                <w:bCs/>
                <w:i w:val="false"/>
                <w:iCs w:val="false"/>
                <w:color w:val="000000"/>
                <w:sz w:val="20"/>
                <w:szCs w:val="20"/>
              </w:rPr>
              <w:t xml:space="preserve">[DATE/TIME]</w:t>
            </w:r>
          </w:p>
        </w:tc>
        <w:tc>
          <w:tcPr>
            <w:tcW w:type="dxa" w:w="1500"/>
          </w:tcPr>
          <w:p>
            <w:pPr>
              <w:spacing w:after="30" w:before="30"/>
            </w:pPr>
            <w:r>
              <w:rPr>
                <w:rFonts w:ascii="Calibri" w:cs="Calibri" w:eastAsia="Calibri" w:hAnsi="Calibri"/>
                <w:b/>
                <w:bCs/>
                <w:i w:val="false"/>
                <w:iCs w:val="false"/>
                <w:color w:val="000000"/>
                <w:sz w:val="20"/>
                <w:szCs w:val="20"/>
              </w:rPr>
              <w:t xml:space="preserve">[CONFIRMED FACT / INFERENCE / UNKNOWN / DECISION]</w:t>
            </w:r>
          </w:p>
        </w:tc>
        <w:tc>
          <w:tcPr>
            <w:tcW w:type="dxa" w:w="2960"/>
          </w:tcPr>
          <w:p>
            <w:pPr>
              <w:spacing w:after="30" w:before="30"/>
            </w:pPr>
            <w:r>
              <w:rPr>
                <w:rFonts w:ascii="Calibri" w:cs="Calibri" w:eastAsia="Calibri" w:hAnsi="Calibri"/>
                <w:b/>
                <w:bCs/>
                <w:i w:val="false"/>
                <w:iCs w:val="false"/>
                <w:color w:val="000000"/>
                <w:sz w:val="20"/>
                <w:szCs w:val="20"/>
              </w:rPr>
              <w:t xml:space="preserve">[DETAILED DESCRIPTION]</w:t>
            </w:r>
          </w:p>
        </w:tc>
        <w:tc>
          <w:tcPr>
            <w:tcW w:type="dxa" w:w="1400"/>
          </w:tcPr>
          <w:p>
            <w:pPr>
              <w:spacing w:after="30" w:before="30"/>
            </w:pPr>
            <w:r>
              <w:rPr>
                <w:rFonts w:ascii="Calibri" w:cs="Calibri" w:eastAsia="Calibri" w:hAnsi="Calibri"/>
                <w:b/>
                <w:bCs/>
                <w:i w:val="false"/>
                <w:iCs w:val="false"/>
                <w:color w:val="000000"/>
                <w:sz w:val="20"/>
                <w:szCs w:val="20"/>
              </w:rPr>
              <w:t xml:space="preserve">[SOURCE]</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r>
      <w:tr>
        <w:tc>
          <w:tcPr>
            <w:tcW w:type="dxa" w:w="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2</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[DATE/TIME]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[CONFIRMED FACT / INFERENCE / UNKNOWN / DECISION]</w:t>
            </w:r>
          </w:p>
        </w:tc>
        <w:tc>
          <w:tcPr>
            <w:tcW w:type="dxa" w:w="2960"/>
            <w:shd w:fill="F2F2F2" w:color="auto" w:val="clear"/>
          </w:tcPr>
          <w:p>
            <w:pPr>
              <w:spacing w:after="30" w:before="30"/>
            </w:pPr>
            <w:r>
              <w:rPr>
                <w:rFonts w:ascii="Calibri" w:cs="Calibri" w:eastAsia="Calibri" w:hAnsi="Calibri"/>
                <w:b/>
                <w:bCs/>
                <w:i w:val="false"/>
                <w:iCs w:val="false"/>
                <w:color w:val="000000"/>
                <w:sz w:val="20"/>
                <w:szCs w:val="20"/>
              </w:rPr>
              <w:t xml:space="preserve">[DETAILED DESCRIPTION]</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[SOURCE]</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3</w:t>
            </w:r>
          </w:p>
        </w:tc>
        <w:tc>
          <w:tcPr>
            <w:tcW w:type="dxa" w:w="1400"/>
          </w:tcPr>
          <w:p>
            <w:pPr>
              <w:spacing w:after="30" w:before="30"/>
            </w:pPr>
            <w:r>
              <w:rPr>
                <w:rFonts w:ascii="Calibri" w:cs="Calibri" w:eastAsia="Calibri" w:hAnsi="Calibri"/>
                <w:b/>
                <w:bCs/>
                <w:i w:val="false"/>
                <w:iCs w:val="false"/>
                <w:color w:val="000000"/>
                <w:sz w:val="20"/>
                <w:szCs w:val="20"/>
              </w:rPr>
              <w:t xml:space="preserve">[DATE/TIME]</w:t>
            </w:r>
          </w:p>
        </w:tc>
        <w:tc>
          <w:tcPr>
            <w:tcW w:type="dxa" w:w="1500"/>
          </w:tcPr>
          <w:p>
            <w:pPr>
              <w:spacing w:after="30" w:before="30"/>
            </w:pPr>
            <w:r>
              <w:rPr>
                <w:rFonts w:ascii="Calibri" w:cs="Calibri" w:eastAsia="Calibri" w:hAnsi="Calibri"/>
                <w:b/>
                <w:bCs/>
                <w:i w:val="false"/>
                <w:iCs w:val="false"/>
                <w:color w:val="000000"/>
                <w:sz w:val="20"/>
                <w:szCs w:val="20"/>
              </w:rPr>
              <w:t xml:space="preserve">[CONFIRMED FACT / INFERENCE / UNKNOWN / DECISION]</w:t>
            </w:r>
          </w:p>
        </w:tc>
        <w:tc>
          <w:tcPr>
            <w:tcW w:type="dxa" w:w="2960"/>
          </w:tcPr>
          <w:p>
            <w:pPr>
              <w:spacing w:after="30" w:before="30"/>
            </w:pPr>
            <w:r>
              <w:rPr>
                <w:rFonts w:ascii="Calibri" w:cs="Calibri" w:eastAsia="Calibri" w:hAnsi="Calibri"/>
                <w:b/>
                <w:bCs/>
                <w:i w:val="false"/>
                <w:iCs w:val="false"/>
                <w:color w:val="000000"/>
                <w:sz w:val="20"/>
                <w:szCs w:val="20"/>
              </w:rPr>
              <w:t xml:space="preserve">[DETAILED DESCRIPTION]</w:t>
            </w:r>
          </w:p>
        </w:tc>
        <w:tc>
          <w:tcPr>
            <w:tcW w:type="dxa" w:w="1400"/>
          </w:tcPr>
          <w:p>
            <w:pPr>
              <w:spacing w:after="30" w:before="30"/>
            </w:pPr>
            <w:r>
              <w:rPr>
                <w:rFonts w:ascii="Calibri" w:cs="Calibri" w:eastAsia="Calibri" w:hAnsi="Calibri"/>
                <w:b/>
                <w:bCs/>
                <w:i w:val="false"/>
                <w:iCs w:val="false"/>
                <w:color w:val="000000"/>
                <w:sz w:val="20"/>
                <w:szCs w:val="20"/>
              </w:rPr>
              <w:t xml:space="preserve">[SOURCE]</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r>
      <w:tr>
        <w:tc>
          <w:tcPr>
            <w:tcW w:type="dxa" w:w="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29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3: Decision Log</w:t>
      </w:r>
    </w:p>
    <w:p>
      <w:pPr>
        <w:spacing w:after="120" w:line="276"/>
      </w:pPr>
      <w:r>
        <w:rPr>
          <w:rFonts w:ascii="Calibri" w:cs="Calibri" w:eastAsia="Calibri" w:hAnsi="Calibri"/>
          <w:b w:val="false"/>
          <w:bCs w:val="false"/>
          <w:i w:val="false"/>
          <w:iCs w:val="false"/>
          <w:color w:val="000000"/>
          <w:sz w:val="22"/>
          <w:szCs w:val="22"/>
        </w:rPr>
        <w:t xml:space="preserve">Record all material decisions in this log. Each decision should also be entered in the Authoritative Timeline with the "Decision" category.</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000"/>
        <w:gridCol w:w="1660"/>
        <w:gridCol w:w="1100"/>
        <w:gridCol w:w="1700"/>
        <w:gridCol w:w="1700"/>
        <w:gridCol w:w="1500"/>
      </w:tblGrid>
      <w:tr>
        <w:trPr>
          <w:tblHeader/>
        </w:trPr>
        <w:tc>
          <w:tcPr>
            <w:tcW w:type="dxa" w:w="700"/>
            <w:shd w:fill="1F3864" w:color="auto" w:val="clear"/>
          </w:tcPr>
          <w:p>
            <w:pPr>
              <w:spacing w:after="60" w:before="60"/>
            </w:pPr>
            <w:r>
              <w:rPr>
                <w:rFonts w:ascii="Calibri" w:cs="Calibri" w:eastAsia="Calibri" w:hAnsi="Calibri"/>
                <w:b/>
                <w:bCs/>
                <w:color w:val="FFFFFF"/>
                <w:sz w:val="20"/>
                <w:szCs w:val="20"/>
              </w:rPr>
              <w:t xml:space="preserve">Decision #</w:t>
            </w:r>
          </w:p>
        </w:tc>
        <w:tc>
          <w:tcPr>
            <w:tcW w:type="dxa" w:w="1000"/>
            <w:shd w:fill="1F3864" w:color="auto" w:val="clear"/>
          </w:tcPr>
          <w:p>
            <w:pPr>
              <w:spacing w:after="60" w:before="60"/>
            </w:pPr>
            <w:r>
              <w:rPr>
                <w:rFonts w:ascii="Calibri" w:cs="Calibri" w:eastAsia="Calibri" w:hAnsi="Calibri"/>
                <w:b/>
                <w:bCs/>
                <w:color w:val="FFFFFF"/>
                <w:sz w:val="20"/>
                <w:szCs w:val="20"/>
              </w:rPr>
              <w:t xml:space="preserve">Date/Time</w:t>
            </w:r>
          </w:p>
        </w:tc>
        <w:tc>
          <w:tcPr>
            <w:tcW w:type="dxa" w:w="1660"/>
            <w:shd w:fill="1F3864" w:color="auto" w:val="clear"/>
          </w:tcPr>
          <w:p>
            <w:pPr>
              <w:spacing w:after="60" w:before="60"/>
            </w:pPr>
            <w:r>
              <w:rPr>
                <w:rFonts w:ascii="Calibri" w:cs="Calibri" w:eastAsia="Calibri" w:hAnsi="Calibri"/>
                <w:b/>
                <w:bCs/>
                <w:color w:val="FFFFFF"/>
                <w:sz w:val="20"/>
                <w:szCs w:val="20"/>
              </w:rPr>
              <w:t xml:space="preserve">Decision</w:t>
            </w:r>
          </w:p>
        </w:tc>
        <w:tc>
          <w:tcPr>
            <w:tcW w:type="dxa" w:w="1100"/>
            <w:shd w:fill="1F3864" w:color="auto" w:val="clear"/>
          </w:tcPr>
          <w:p>
            <w:pPr>
              <w:spacing w:after="60" w:before="60"/>
            </w:pPr>
            <w:r>
              <w:rPr>
                <w:rFonts w:ascii="Calibri" w:cs="Calibri" w:eastAsia="Calibri" w:hAnsi="Calibri"/>
                <w:b/>
                <w:bCs/>
                <w:color w:val="FFFFFF"/>
                <w:sz w:val="20"/>
                <w:szCs w:val="20"/>
              </w:rPr>
              <w:t xml:space="preserve">Decision-Maker</w:t>
            </w:r>
          </w:p>
        </w:tc>
        <w:tc>
          <w:tcPr>
            <w:tcW w:type="dxa" w:w="1700"/>
            <w:shd w:fill="1F3864" w:color="auto" w:val="clear"/>
          </w:tcPr>
          <w:p>
            <w:pPr>
              <w:spacing w:after="60" w:before="60"/>
            </w:pPr>
            <w:r>
              <w:rPr>
                <w:rFonts w:ascii="Calibri" w:cs="Calibri" w:eastAsia="Calibri" w:hAnsi="Calibri"/>
                <w:b/>
                <w:bCs/>
                <w:color w:val="FFFFFF"/>
                <w:sz w:val="20"/>
                <w:szCs w:val="20"/>
              </w:rPr>
              <w:t xml:space="preserve">Rationale</w:t>
            </w:r>
          </w:p>
        </w:tc>
        <w:tc>
          <w:tcPr>
            <w:tcW w:type="dxa" w:w="1700"/>
            <w:shd w:fill="1F3864" w:color="auto" w:val="clear"/>
          </w:tcPr>
          <w:p>
            <w:pPr>
              <w:spacing w:after="60" w:before="60"/>
            </w:pPr>
            <w:r>
              <w:rPr>
                <w:rFonts w:ascii="Calibri" w:cs="Calibri" w:eastAsia="Calibri" w:hAnsi="Calibri"/>
                <w:b/>
                <w:bCs/>
                <w:color w:val="FFFFFF"/>
                <w:sz w:val="20"/>
                <w:szCs w:val="20"/>
              </w:rPr>
              <w:t xml:space="preserve">Alternatives Considered</w:t>
            </w:r>
          </w:p>
        </w:tc>
        <w:tc>
          <w:tcPr>
            <w:tcW w:type="dxa" w:w="1500"/>
            <w:shd w:fill="1F3864" w:color="auto" w:val="clear"/>
          </w:tcPr>
          <w:p>
            <w:pPr>
              <w:spacing w:after="60" w:before="60"/>
            </w:pPr>
            <w:r>
              <w:rPr>
                <w:rFonts w:ascii="Calibri" w:cs="Calibri" w:eastAsia="Calibri" w:hAnsi="Calibri"/>
                <w:b/>
                <w:bCs/>
                <w:color w:val="FFFFFF"/>
                <w:sz w:val="20"/>
                <w:szCs w:val="20"/>
              </w:rPr>
              <w:t xml:space="preserve">Dissent</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D-1</w:t>
            </w:r>
          </w:p>
        </w:tc>
        <w:tc>
          <w:tcPr>
            <w:tcW w:type="dxa" w:w="1000"/>
          </w:tcPr>
          <w:p>
            <w:pPr>
              <w:spacing w:after="30" w:before="30"/>
            </w:pPr>
            <w:r>
              <w:rPr>
                <w:rFonts w:ascii="Calibri" w:cs="Calibri" w:eastAsia="Calibri" w:hAnsi="Calibri"/>
                <w:b/>
                <w:bCs/>
                <w:i w:val="false"/>
                <w:iCs w:val="false"/>
                <w:color w:val="000000"/>
                <w:sz w:val="20"/>
                <w:szCs w:val="20"/>
              </w:rPr>
              <w:t xml:space="preserve">[DATE/TIME]</w:t>
            </w:r>
          </w:p>
        </w:tc>
        <w:tc>
          <w:tcPr>
            <w:tcW w:type="dxa" w:w="1660"/>
          </w:tcPr>
          <w:p>
            <w:pPr>
              <w:spacing w:after="30" w:before="30"/>
            </w:pPr>
            <w:r>
              <w:rPr>
                <w:rFonts w:ascii="Calibri" w:cs="Calibri" w:eastAsia="Calibri" w:hAnsi="Calibri"/>
                <w:b/>
                <w:bCs/>
                <w:i w:val="false"/>
                <w:iCs w:val="false"/>
                <w:color w:val="000000"/>
                <w:sz w:val="20"/>
                <w:szCs w:val="20"/>
              </w:rPr>
              <w:t xml:space="preserve">[DESCRIPTION OF DECISION]</w:t>
            </w:r>
          </w:p>
        </w:tc>
        <w:tc>
          <w:tcPr>
            <w:tcW w:type="dxa" w:w="1100"/>
          </w:tcPr>
          <w:p>
            <w:pPr>
              <w:spacing w:after="30" w:before="30"/>
            </w:pPr>
            <w:r>
              <w:rPr>
                <w:rFonts w:ascii="Calibri" w:cs="Calibri" w:eastAsia="Calibri" w:hAnsi="Calibri"/>
                <w:b/>
                <w:bCs/>
                <w:i w:val="false"/>
                <w:iCs w:val="false"/>
                <w:color w:val="000000"/>
                <w:sz w:val="20"/>
                <w:szCs w:val="20"/>
              </w:rPr>
              <w:t xml:space="preserve">[NAME/TITLE]</w:t>
            </w:r>
          </w:p>
        </w:tc>
        <w:tc>
          <w:tcPr>
            <w:tcW w:type="dxa" w:w="1700"/>
          </w:tcPr>
          <w:p>
            <w:pPr>
              <w:spacing w:after="30" w:before="30"/>
            </w:pPr>
            <w:r>
              <w:rPr>
                <w:rFonts w:ascii="Calibri" w:cs="Calibri" w:eastAsia="Calibri" w:hAnsi="Calibri"/>
                <w:b/>
                <w:bCs/>
                <w:i w:val="false"/>
                <w:iCs w:val="false"/>
                <w:color w:val="000000"/>
                <w:sz w:val="20"/>
                <w:szCs w:val="20"/>
              </w:rPr>
              <w:t xml:space="preserve">[RATIONALE AND SUPPORTING FACTORS]</w:t>
            </w:r>
          </w:p>
        </w:tc>
        <w:tc>
          <w:tcPr>
            <w:tcW w:type="dxa" w:w="1700"/>
          </w:tcPr>
          <w:p>
            <w:pPr>
              <w:spacing w:after="30" w:before="30"/>
            </w:pPr>
            <w:r>
              <w:rPr>
                <w:rFonts w:ascii="Calibri" w:cs="Calibri" w:eastAsia="Calibri" w:hAnsi="Calibri"/>
                <w:b/>
                <w:bCs/>
                <w:i w:val="false"/>
                <w:iCs w:val="false"/>
                <w:color w:val="000000"/>
                <w:sz w:val="20"/>
                <w:szCs w:val="20"/>
              </w:rPr>
              <w:t xml:space="preserve">[ALTERNATIVES THAT WERE CONSIDERED AND REASONS THEY WERE REJECTED]</w:t>
            </w:r>
          </w:p>
        </w:tc>
        <w:tc>
          <w:tcPr>
            <w:tcW w:type="dxa" w:w="1500"/>
          </w:tcPr>
          <w:p>
            <w:pPr>
              <w:spacing w:after="30" w:before="30"/>
            </w:pPr>
            <w:r>
              <w:rPr>
                <w:rFonts w:ascii="Calibri" w:cs="Calibri" w:eastAsia="Calibri" w:hAnsi="Calibri"/>
                <w:b/>
                <w:bCs/>
                <w:i w:val="false"/>
                <w:iCs w:val="false"/>
                <w:color w:val="000000"/>
                <w:sz w:val="20"/>
                <w:szCs w:val="20"/>
              </w:rPr>
              <w:t xml:space="preserve">[ANY DISSENTING VIEWS OR CONCERNS RAISED]</w:t>
            </w:r>
          </w:p>
        </w:tc>
      </w:tr>
      <w:tr>
        <w:tc>
          <w:tcPr>
            <w:tcW w:type="dxa" w:w="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D-2</w:t>
            </w:r>
          </w:p>
        </w:tc>
        <w:tc>
          <w:tcPr>
            <w:tcW w:type="dxa" w:w="1000"/>
            <w:shd w:fill="F2F2F2" w:color="auto" w:val="clear"/>
          </w:tcPr>
          <w:p>
            <w:pPr>
              <w:spacing w:after="30" w:before="30"/>
            </w:pPr>
            <w:r>
              <w:rPr>
                <w:rFonts w:ascii="Calibri" w:cs="Calibri" w:eastAsia="Calibri" w:hAnsi="Calibri"/>
                <w:b/>
                <w:bCs/>
                <w:i w:val="false"/>
                <w:iCs w:val="false"/>
                <w:color w:val="000000"/>
                <w:sz w:val="20"/>
                <w:szCs w:val="20"/>
              </w:rPr>
              <w:t xml:space="preserve">[DATE/TIME]</w:t>
            </w:r>
          </w:p>
        </w:tc>
        <w:tc>
          <w:tcPr>
            <w:tcW w:type="dxa" w:w="1660"/>
            <w:shd w:fill="F2F2F2" w:color="auto" w:val="clear"/>
          </w:tcPr>
          <w:p>
            <w:pPr>
              <w:spacing w:after="30" w:before="30"/>
            </w:pPr>
            <w:r>
              <w:rPr>
                <w:rFonts w:ascii="Calibri" w:cs="Calibri" w:eastAsia="Calibri" w:hAnsi="Calibri"/>
                <w:b/>
                <w:bCs/>
                <w:i w:val="false"/>
                <w:iCs w:val="false"/>
                <w:color w:val="000000"/>
                <w:sz w:val="20"/>
                <w:szCs w:val="20"/>
              </w:rPr>
              <w:t xml:space="preserve">[DESCRIPTION]</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[NAME/TITLE]</w:t>
            </w:r>
          </w:p>
        </w:tc>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[RATIONALE]</w:t>
            </w:r>
          </w:p>
        </w:tc>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[ALTERNATIVES]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[DISSENT]</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0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66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1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7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700"/>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500"/>
          </w:tcPr>
          <w:p>
            <w:pPr>
              <w:spacing w:after="30" w:before="30"/>
            </w:pPr>
            <w:r>
              <w:rPr>
                <w:rFonts w:ascii="Calibri" w:cs="Calibri" w:eastAsia="Calibri" w:hAnsi="Calibri"/>
                <w:b w:val="false"/>
                <w:bCs w:val="false"/>
                <w:i w:val="false"/>
                <w:iCs w:val="false"/>
                <w:color w:val="000000"/>
                <w:sz w:val="20"/>
                <w:szCs w:val="20"/>
              </w:rPr>
              <w:t xml:space="preserve">...</w:t>
            </w:r>
          </w:p>
        </w:tc>
      </w:tr>
    </w:tbl>
    <w:p>
      <w:r>
        <w:br w:type="page"/>
      </w:r>
    </w:p>
    <w:p>
      <w:pPr>
        <w:pStyle w:val="Heading1"/>
        <w:spacing w:after="100" w:before="200"/>
        <w:jc w:val="center"/>
      </w:pPr>
      <w:r>
        <w:rPr>
          <w:rFonts w:ascii="Calibri" w:cs="Calibri" w:eastAsia="Calibri" w:hAnsi="Calibri"/>
          <w:b/>
          <w:bCs/>
          <w:color w:val="1F3864"/>
          <w:sz w:val="32"/>
          <w:szCs w:val="32"/>
        </w:rPr>
        <w:t xml:space="preserve">EXHIBIT D</w:t>
      </w:r>
    </w:p>
    <w:p>
      <w:pPr>
        <w:spacing w:after="300"/>
        <w:jc w:val="center"/>
      </w:pPr>
      <w:r>
        <w:rPr>
          <w:rFonts w:ascii="Calibri" w:cs="Calibri" w:eastAsia="Calibri" w:hAnsi="Calibri"/>
          <w:b/>
          <w:bCs/>
          <w:color w:val="1F3864"/>
          <w:sz w:val="28"/>
          <w:szCs w:val="28"/>
        </w:rPr>
        <w:t xml:space="preserve">LEGAL OBLIGATIONS TRACKER</w:t>
      </w:r>
    </w:p>
    <w:p>
      <w:pPr>
        <w:spacing w:after="120" w:line="276"/>
      </w:pPr>
      <w:r>
        <w:rPr>
          <w:rFonts w:ascii="Calibri" w:cs="Calibri" w:eastAsia="Calibri" w:hAnsi="Calibri"/>
          <w:b w:val="false"/>
          <w:bCs w:val="false"/>
          <w:i w:val="false"/>
          <w:iCs w:val="false"/>
          <w:color w:val="000000"/>
          <w:sz w:val="22"/>
          <w:szCs w:val="22"/>
        </w:rPr>
        <w:t xml:space="preserve">Legal Counsel will maintain this tracker throughout the Incident to identify, track, and satisfy all applicable legal, regulatory, and contractual notification obligations. Update at each IRT briefing and upon receipt of new information about the scope or nature of affected data.</w:t>
      </w:r>
    </w:p>
    <w:p>
      <w:pPr>
        <w:spacing w:after="200"/>
      </w:pPr>
    </w:p>
    <w:p>
      <w:pPr>
        <w:pStyle w:val="Heading2"/>
        <w:keepNext/>
        <w:spacing w:after="120" w:before="240"/>
      </w:pPr>
      <w:r>
        <w:rPr>
          <w:rFonts w:ascii="Calibri" w:cs="Calibri" w:eastAsia="Calibri" w:hAnsi="Calibri"/>
          <w:b/>
          <w:bCs/>
          <w:color w:val="1F3864"/>
          <w:sz w:val="26"/>
          <w:szCs w:val="26"/>
        </w:rPr>
        <w:t xml:space="preserve">Part 1: Regulatory and Statutory Obligations</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400"/>
        <w:gridCol w:w="1200"/>
        <w:gridCol w:w="1200"/>
        <w:gridCol w:w="1200"/>
        <w:gridCol w:w="1400"/>
        <w:gridCol w:w="1160"/>
        <w:gridCol w:w="800"/>
      </w:tblGrid>
      <w:tr>
        <w:trPr>
          <w:tblHeader/>
        </w:trPr>
        <w:tc>
          <w:tcPr>
            <w:tcW w:type="dxa" w:w="1400"/>
            <w:shd w:fill="1F3864" w:color="auto" w:val="clear"/>
          </w:tcPr>
          <w:p>
            <w:pPr>
              <w:spacing w:after="60" w:before="60"/>
            </w:pPr>
            <w:r>
              <w:rPr>
                <w:rFonts w:ascii="Calibri" w:cs="Calibri" w:eastAsia="Calibri" w:hAnsi="Calibri"/>
                <w:b/>
                <w:bCs/>
                <w:color w:val="FFFFFF"/>
                <w:sz w:val="20"/>
                <w:szCs w:val="20"/>
              </w:rPr>
              <w:t xml:space="preserve">Jurisdiction/Law</w:t>
            </w:r>
          </w:p>
        </w:tc>
        <w:tc>
          <w:tcPr>
            <w:tcW w:type="dxa" w:w="1200"/>
            <w:shd w:fill="1F3864" w:color="auto" w:val="clear"/>
          </w:tcPr>
          <w:p>
            <w:pPr>
              <w:spacing w:after="60" w:before="60"/>
            </w:pPr>
            <w:r>
              <w:rPr>
                <w:rFonts w:ascii="Calibri" w:cs="Calibri" w:eastAsia="Calibri" w:hAnsi="Calibri"/>
                <w:b/>
                <w:bCs/>
                <w:color w:val="FFFFFF"/>
                <w:sz w:val="20"/>
                <w:szCs w:val="20"/>
              </w:rPr>
              <w:t xml:space="preserve">Trigger</w:t>
            </w:r>
          </w:p>
        </w:tc>
        <w:tc>
          <w:tcPr>
            <w:tcW w:type="dxa" w:w="1200"/>
            <w:shd w:fill="1F3864" w:color="auto" w:val="clear"/>
          </w:tcPr>
          <w:p>
            <w:pPr>
              <w:spacing w:after="60" w:before="60"/>
            </w:pPr>
            <w:r>
              <w:rPr>
                <w:rFonts w:ascii="Calibri" w:cs="Calibri" w:eastAsia="Calibri" w:hAnsi="Calibri"/>
                <w:b/>
                <w:bCs/>
                <w:color w:val="FFFFFF"/>
                <w:sz w:val="20"/>
                <w:szCs w:val="20"/>
              </w:rPr>
              <w:t xml:space="preserve">Deadline</w:t>
            </w:r>
          </w:p>
        </w:tc>
        <w:tc>
          <w:tcPr>
            <w:tcW w:type="dxa" w:w="1200"/>
            <w:shd w:fill="1F3864" w:color="auto" w:val="clear"/>
          </w:tcPr>
          <w:p>
            <w:pPr>
              <w:spacing w:after="60" w:before="60"/>
            </w:pPr>
            <w:r>
              <w:rPr>
                <w:rFonts w:ascii="Calibri" w:cs="Calibri" w:eastAsia="Calibri" w:hAnsi="Calibri"/>
                <w:b/>
                <w:bCs/>
                <w:color w:val="FFFFFF"/>
                <w:sz w:val="20"/>
                <w:szCs w:val="20"/>
              </w:rPr>
              <w:t xml:space="preserve">Notify To</w:t>
            </w:r>
          </w:p>
        </w:tc>
        <w:tc>
          <w:tcPr>
            <w:tcW w:type="dxa" w:w="1400"/>
            <w:shd w:fill="1F3864" w:color="auto" w:val="clear"/>
          </w:tcPr>
          <w:p>
            <w:pPr>
              <w:spacing w:after="60" w:before="60"/>
            </w:pPr>
            <w:r>
              <w:rPr>
                <w:rFonts w:ascii="Calibri" w:cs="Calibri" w:eastAsia="Calibri" w:hAnsi="Calibri"/>
                <w:b/>
                <w:bCs/>
                <w:color w:val="FFFFFF"/>
                <w:sz w:val="20"/>
                <w:szCs w:val="20"/>
              </w:rPr>
              <w:t xml:space="preserve">Required Content</w:t>
            </w:r>
          </w:p>
        </w:tc>
        <w:tc>
          <w:tcPr>
            <w:tcW w:type="dxa" w:w="1160"/>
            <w:shd w:fill="1F3864" w:color="auto" w:val="clear"/>
          </w:tcPr>
          <w:p>
            <w:pPr>
              <w:spacing w:after="60" w:before="60"/>
            </w:pPr>
            <w:r>
              <w:rPr>
                <w:rFonts w:ascii="Calibri" w:cs="Calibri" w:eastAsia="Calibri" w:hAnsi="Calibri"/>
                <w:b/>
                <w:bCs/>
                <w:color w:val="FFFFFF"/>
                <w:sz w:val="20"/>
                <w:szCs w:val="20"/>
              </w:rPr>
              <w:t xml:space="preserve">Status</w:t>
            </w:r>
          </w:p>
        </w:tc>
        <w:tc>
          <w:tcPr>
            <w:tcW w:type="dxa" w:w="800"/>
            <w:shd w:fill="1F3864" w:color="auto" w:val="clear"/>
          </w:tcPr>
          <w:p>
            <w:pPr>
              <w:spacing w:after="60" w:before="60"/>
            </w:pPr>
            <w:r>
              <w:rPr>
                <w:rFonts w:ascii="Calibri" w:cs="Calibri" w:eastAsia="Calibri" w:hAnsi="Calibri"/>
                <w:b/>
                <w:bCs/>
                <w:color w:val="FFFFFF"/>
                <w:sz w:val="20"/>
                <w:szCs w:val="20"/>
              </w:rPr>
              <w:t xml:space="preserve">Date Sent</w:t>
            </w:r>
          </w:p>
        </w:tc>
      </w:tr>
      <w:tr>
        <w:tc>
          <w:tcPr>
            <w:tcW w:type="dxa" w:w="1400"/>
          </w:tcPr>
          <w:p>
            <w:pPr>
              <w:spacing w:after="30" w:before="30"/>
            </w:pPr>
            <w:r>
              <w:rPr>
                <w:rFonts w:ascii="Calibri" w:cs="Calibri" w:eastAsia="Calibri" w:hAnsi="Calibri"/>
                <w:b/>
                <w:bCs/>
                <w:i w:val="false"/>
                <w:iCs w:val="false"/>
                <w:color w:val="000000"/>
                <w:sz w:val="20"/>
                <w:szCs w:val="20"/>
              </w:rPr>
              <w:t xml:space="preserve">[STATE]</w:t>
            </w:r>
            <w:r>
              <w:rPr>
                <w:rFonts w:ascii="Calibri" w:cs="Calibri" w:eastAsia="Calibri" w:hAnsi="Calibri"/>
                <w:b w:val="false"/>
                <w:bCs w:val="false"/>
                <w:i w:val="false"/>
                <w:iCs w:val="false"/>
                <w:color w:val="000000"/>
                <w:sz w:val="20"/>
                <w:szCs w:val="20"/>
              </w:rPr>
              <w:t xml:space="preserve"> Breach Notification</w:t>
            </w:r>
          </w:p>
        </w:tc>
        <w:tc>
          <w:tcPr>
            <w:tcW w:type="dxa" w:w="1200"/>
          </w:tcPr>
          <w:p>
            <w:pPr>
              <w:spacing w:after="30" w:before="30"/>
            </w:pPr>
            <w:r>
              <w:rPr>
                <w:rFonts w:ascii="Calibri" w:cs="Calibri" w:eastAsia="Calibri" w:hAnsi="Calibri"/>
                <w:b/>
                <w:bCs/>
                <w:i w:val="false"/>
                <w:iCs w:val="false"/>
                <w:color w:val="000000"/>
                <w:sz w:val="20"/>
                <w:szCs w:val="20"/>
              </w:rPr>
              <w:t xml:space="preserve">[TRIGGER, E.G., UNAUTHORIZED ACQUISITION OF PII]</w:t>
            </w:r>
          </w:p>
        </w:tc>
        <w:tc>
          <w:tcPr>
            <w:tcW w:type="dxa" w:w="1200"/>
          </w:tcPr>
          <w:p>
            <w:pPr>
              <w:spacing w:after="30" w:before="30"/>
            </w:pPr>
            <w:r>
              <w:rPr>
                <w:rFonts w:ascii="Calibri" w:cs="Calibri" w:eastAsia="Calibri" w:hAnsi="Calibri"/>
                <w:b/>
                <w:bCs/>
                <w:i w:val="false"/>
                <w:iCs w:val="false"/>
                <w:color w:val="000000"/>
                <w:sz w:val="20"/>
                <w:szCs w:val="20"/>
              </w:rPr>
              <w:t xml:space="preserve">[DEADLINE, E.G., 60 DAYS FROM DISCOVERY]</w:t>
            </w:r>
          </w:p>
        </w:tc>
        <w:tc>
          <w:tcPr>
            <w:tcW w:type="dxa" w:w="1200"/>
          </w:tcPr>
          <w:p>
            <w:pPr>
              <w:spacing w:after="30" w:before="30"/>
            </w:pPr>
            <w:r>
              <w:rPr>
                <w:rFonts w:ascii="Calibri" w:cs="Calibri" w:eastAsia="Calibri" w:hAnsi="Calibri"/>
                <w:b/>
                <w:bCs/>
                <w:i w:val="false"/>
                <w:iCs w:val="false"/>
                <w:color w:val="000000"/>
                <w:sz w:val="20"/>
                <w:szCs w:val="20"/>
              </w:rPr>
              <w:t xml:space="preserve">[STATE AG / AFFECTED INDIVIDUALS]</w:t>
            </w:r>
          </w:p>
        </w:tc>
        <w:tc>
          <w:tcPr>
            <w:tcW w:type="dxa" w:w="1400"/>
          </w:tcPr>
          <w:p>
            <w:pPr>
              <w:spacing w:after="30" w:before="30"/>
            </w:pPr>
            <w:r>
              <w:rPr>
                <w:rFonts w:ascii="Calibri" w:cs="Calibri" w:eastAsia="Calibri" w:hAnsi="Calibri"/>
                <w:b/>
                <w:bCs/>
                <w:i w:val="false"/>
                <w:iCs w:val="false"/>
                <w:color w:val="000000"/>
                <w:sz w:val="20"/>
                <w:szCs w:val="20"/>
              </w:rPr>
              <w:t xml:space="preserve">[REQUIRED CONTENT PER STATUTE]</w:t>
            </w:r>
          </w:p>
        </w:tc>
        <w:tc>
          <w:tcPr>
            <w:tcW w:type="dxa" w:w="1160"/>
          </w:tcPr>
          <w:p>
            <w:pPr>
              <w:spacing w:after="30" w:before="30"/>
            </w:pPr>
            <w:r>
              <w:rPr>
                <w:rFonts w:ascii="Calibri" w:cs="Calibri" w:eastAsia="Calibri" w:hAnsi="Calibri"/>
                <w:b/>
                <w:bCs/>
                <w:i w:val="false"/>
                <w:iCs w:val="false"/>
                <w:color w:val="000000"/>
                <w:sz w:val="20"/>
                <w:szCs w:val="20"/>
              </w:rPr>
              <w:t xml:space="preserve">[NOT TRIGGERED / CLOCK RUNNING / SENT / N-A]</w:t>
            </w:r>
          </w:p>
        </w:tc>
        <w:tc>
          <w:tcPr>
            <w:tcW w:type="dxa" w:w="800"/>
          </w:tcPr>
          <w:p>
            <w:pPr>
              <w:spacing w:after="30" w:before="30"/>
            </w:pPr>
            <w:r>
              <w:rPr>
                <w:rFonts w:ascii="Calibri" w:cs="Calibri" w:eastAsia="Calibri" w:hAnsi="Calibri"/>
                <w:b/>
                <w:bCs/>
                <w:i w:val="false"/>
                <w:iCs w:val="false"/>
                <w:color w:val="000000"/>
                <w:sz w:val="20"/>
                <w:szCs w:val="20"/>
              </w:rPr>
              <w:t xml:space="preserve">[DATE]</w:t>
            </w:r>
          </w:p>
        </w:tc>
      </w:tr>
      <w:tr>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HIPAA (if applicable)</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Unsecured PHI accessed/disclosed</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60 days from discovery; HHS within 60 days if 500+ individuals</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HHS OCR / Affected Individuals / Media (if 500+ in state)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Per 45 CFR 164.404</w:t>
            </w:r>
          </w:p>
        </w:tc>
        <w:tc>
          <w:tcPr>
            <w:tcW w:type="dxa" w:w="116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8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r>
        <w:tc>
          <w:tcPr>
            <w:tcW w:type="dxa" w:w="1400"/>
          </w:tcPr>
          <w:p>
            <w:pPr>
              <w:spacing w:after="30" w:before="30"/>
            </w:pPr>
            <w:r>
              <w:rPr>
                <w:rFonts w:ascii="Calibri" w:cs="Calibri" w:eastAsia="Calibri" w:hAnsi="Calibri"/>
                <w:b w:val="false"/>
                <w:bCs w:val="false"/>
                <w:i w:val="false"/>
                <w:iCs w:val="false"/>
                <w:color w:val="000000"/>
                <w:sz w:val="20"/>
                <w:szCs w:val="20"/>
              </w:rPr>
              <w:t xml:space="preserve">GDPR Art. 33 (if applicable)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Personal data breach likely to result in risk to rights and freedoms</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72 hours from awareness</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Lead Supervisory Authority</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Per Art. 33(3)</w:t>
            </w:r>
          </w:p>
        </w:tc>
        <w:tc>
          <w:tcPr>
            <w:tcW w:type="dxa" w:w="1160"/>
          </w:tcPr>
          <w:p>
            <w:pPr>
              <w:spacing w:after="30" w:before="30"/>
            </w:pPr>
            <w:r>
              <w:rPr>
                <w:rFonts w:ascii="Calibri" w:cs="Calibri" w:eastAsia="Calibri" w:hAnsi="Calibri"/>
                <w:b/>
                <w:bCs/>
                <w:i w:val="false"/>
                <w:iCs w:val="false"/>
                <w:color w:val="000000"/>
                <w:sz w:val="20"/>
                <w:szCs w:val="20"/>
              </w:rPr>
              <w:t xml:space="preserve">[STATUS]</w:t>
            </w:r>
          </w:p>
        </w:tc>
        <w:tc>
          <w:tcPr>
            <w:tcW w:type="dxa" w:w="800"/>
          </w:tcPr>
          <w:p>
            <w:pPr>
              <w:spacing w:after="30" w:before="30"/>
            </w:pPr>
            <w:r>
              <w:rPr>
                <w:rFonts w:ascii="Calibri" w:cs="Calibri" w:eastAsia="Calibri" w:hAnsi="Calibri"/>
                <w:b/>
                <w:bCs/>
                <w:i w:val="false"/>
                <w:iCs w:val="false"/>
                <w:color w:val="000000"/>
                <w:sz w:val="20"/>
                <w:szCs w:val="20"/>
              </w:rPr>
              <w:t xml:space="preserve">[DATE]</w:t>
            </w:r>
          </w:p>
        </w:tc>
      </w:tr>
      <w:tr>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GDPR Art. 34 (if applicable)</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High risk to rights and freedoms of data subjects</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Without undue delay</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Affected Data Subjects</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Per Art. 34(2)</w:t>
            </w:r>
          </w:p>
        </w:tc>
        <w:tc>
          <w:tcPr>
            <w:tcW w:type="dxa" w:w="116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8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r>
        <w:tc>
          <w:tcPr>
            <w:tcW w:type="dxa" w:w="1400"/>
          </w:tcPr>
          <w:p>
            <w:pPr>
              <w:spacing w:after="30" w:before="30"/>
            </w:pPr>
            <w:r>
              <w:rPr>
                <w:rFonts w:ascii="Calibri" w:cs="Calibri" w:eastAsia="Calibri" w:hAnsi="Calibri"/>
                <w:b w:val="false"/>
                <w:bCs w:val="false"/>
                <w:i w:val="false"/>
                <w:iCs w:val="false"/>
                <w:color w:val="000000"/>
                <w:sz w:val="20"/>
                <w:szCs w:val="20"/>
              </w:rPr>
              <w:t xml:space="preserve">SEC (if applicable)</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Material cybersecurity incident</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4 business days from materiality determination</w:t>
            </w:r>
          </w:p>
        </w:tc>
        <w:tc>
          <w:tcPr>
            <w:tcW w:type="dxa" w:w="1200"/>
          </w:tcPr>
          <w:p>
            <w:pPr>
              <w:spacing w:after="30" w:before="30"/>
            </w:pPr>
            <w:r>
              <w:rPr>
                <w:rFonts w:ascii="Calibri" w:cs="Calibri" w:eastAsia="Calibri" w:hAnsi="Calibri"/>
                <w:b w:val="false"/>
                <w:bCs w:val="false"/>
                <w:i w:val="false"/>
                <w:iCs w:val="false"/>
                <w:color w:val="000000"/>
                <w:sz w:val="20"/>
                <w:szCs w:val="20"/>
              </w:rPr>
              <w:t xml:space="preserve">SEC (Form 8-K Item 1.05)</w:t>
            </w:r>
          </w:p>
        </w:tc>
        <w:tc>
          <w:tcPr>
            <w:tcW w:type="dxa" w:w="1400"/>
          </w:tcPr>
          <w:p>
            <w:pPr>
              <w:spacing w:after="30" w:before="30"/>
            </w:pPr>
            <w:r>
              <w:rPr>
                <w:rFonts w:ascii="Calibri" w:cs="Calibri" w:eastAsia="Calibri" w:hAnsi="Calibri"/>
                <w:b w:val="false"/>
                <w:bCs w:val="false"/>
                <w:i w:val="false"/>
                <w:iCs w:val="false"/>
                <w:color w:val="000000"/>
                <w:sz w:val="20"/>
                <w:szCs w:val="20"/>
              </w:rPr>
              <w:t xml:space="preserve">Per SEC rules</w:t>
            </w:r>
          </w:p>
        </w:tc>
        <w:tc>
          <w:tcPr>
            <w:tcW w:type="dxa" w:w="1160"/>
          </w:tcPr>
          <w:p>
            <w:pPr>
              <w:spacing w:after="30" w:before="30"/>
            </w:pPr>
            <w:r>
              <w:rPr>
                <w:rFonts w:ascii="Calibri" w:cs="Calibri" w:eastAsia="Calibri" w:hAnsi="Calibri"/>
                <w:b/>
                <w:bCs/>
                <w:i w:val="false"/>
                <w:iCs w:val="false"/>
                <w:color w:val="000000"/>
                <w:sz w:val="20"/>
                <w:szCs w:val="20"/>
              </w:rPr>
              <w:t xml:space="preserve">[STATUS]</w:t>
            </w:r>
          </w:p>
        </w:tc>
        <w:tc>
          <w:tcPr>
            <w:tcW w:type="dxa" w:w="800"/>
          </w:tcPr>
          <w:p>
            <w:pPr>
              <w:spacing w:after="30" w:before="30"/>
            </w:pPr>
            <w:r>
              <w:rPr>
                <w:rFonts w:ascii="Calibri" w:cs="Calibri" w:eastAsia="Calibri" w:hAnsi="Calibri"/>
                <w:b/>
                <w:bCs/>
                <w:i w:val="false"/>
                <w:iCs w:val="false"/>
                <w:color w:val="000000"/>
                <w:sz w:val="20"/>
                <w:szCs w:val="20"/>
              </w:rPr>
              <w:t xml:space="preserve">[DATE]</w:t>
            </w:r>
          </w:p>
        </w:tc>
      </w:tr>
      <w:tr>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[OTHER JURISDICTION/LAW]</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[TRIGGER]</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[DEADLINE]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[NOTIFY TO]</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[REQUIRED CONTENT]</w:t>
            </w:r>
          </w:p>
        </w:tc>
        <w:tc>
          <w:tcPr>
            <w:tcW w:type="dxa" w:w="116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8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2: Contractual Obligations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160"/>
        <w:gridCol w:w="1200"/>
        <w:gridCol w:w="1500"/>
        <w:gridCol w:w="1200"/>
        <w:gridCol w:w="1600"/>
      </w:tblGrid>
      <w:tr>
        <w:trPr>
          <w:tblHeader/>
        </w:trPr>
        <w:tc>
          <w:tcPr>
            <w:tcW w:type="dxa" w:w="1700"/>
            <w:shd w:fill="1F3864" w:color="auto" w:val="clear"/>
          </w:tcPr>
          <w:p>
            <w:pPr>
              <w:spacing w:after="60" w:before="60"/>
            </w:pPr>
            <w:r>
              <w:rPr>
                <w:rFonts w:ascii="Calibri" w:cs="Calibri" w:eastAsia="Calibri" w:hAnsi="Calibri"/>
                <w:b/>
                <w:bCs/>
                <w:color w:val="FFFFFF"/>
                <w:sz w:val="20"/>
                <w:szCs w:val="20"/>
              </w:rPr>
              <w:t xml:space="preserve">Contract/Party</w:t>
            </w:r>
          </w:p>
        </w:tc>
        <w:tc>
          <w:tcPr>
            <w:tcW w:type="dxa" w:w="2160"/>
            <w:shd w:fill="1F3864" w:color="auto" w:val="clear"/>
          </w:tcPr>
          <w:p>
            <w:pPr>
              <w:spacing w:after="60" w:before="60"/>
            </w:pPr>
            <w:r>
              <w:rPr>
                <w:rFonts w:ascii="Calibri" w:cs="Calibri" w:eastAsia="Calibri" w:hAnsi="Calibri"/>
                <w:b/>
                <w:bCs/>
                <w:color w:val="FFFFFF"/>
                <w:sz w:val="20"/>
                <w:szCs w:val="20"/>
              </w:rPr>
              <w:t xml:space="preserve">Obligation</w:t>
            </w:r>
          </w:p>
        </w:tc>
        <w:tc>
          <w:tcPr>
            <w:tcW w:type="dxa" w:w="1200"/>
            <w:shd w:fill="1F3864" w:color="auto" w:val="clear"/>
          </w:tcPr>
          <w:p>
            <w:pPr>
              <w:spacing w:after="60" w:before="60"/>
            </w:pPr>
            <w:r>
              <w:rPr>
                <w:rFonts w:ascii="Calibri" w:cs="Calibri" w:eastAsia="Calibri" w:hAnsi="Calibri"/>
                <w:b/>
                <w:bCs/>
                <w:color w:val="FFFFFF"/>
                <w:sz w:val="20"/>
                <w:szCs w:val="20"/>
              </w:rPr>
              <w:t xml:space="preserve">Deadline</w:t>
            </w:r>
          </w:p>
        </w:tc>
        <w:tc>
          <w:tcPr>
            <w:tcW w:type="dxa" w:w="1500"/>
            <w:shd w:fill="1F3864" w:color="auto" w:val="clear"/>
          </w:tcPr>
          <w:p>
            <w:pPr>
              <w:spacing w:after="60" w:before="60"/>
            </w:pPr>
            <w:r>
              <w:rPr>
                <w:rFonts w:ascii="Calibri" w:cs="Calibri" w:eastAsia="Calibri" w:hAnsi="Calibri"/>
                <w:b/>
                <w:bCs/>
                <w:color w:val="FFFFFF"/>
                <w:sz w:val="20"/>
                <w:szCs w:val="20"/>
              </w:rPr>
              <w:t xml:space="preserve">Contact</w:t>
            </w:r>
          </w:p>
        </w:tc>
        <w:tc>
          <w:tcPr>
            <w:tcW w:type="dxa" w:w="1200"/>
            <w:shd w:fill="1F3864" w:color="auto" w:val="clear"/>
          </w:tcPr>
          <w:p>
            <w:pPr>
              <w:spacing w:after="60" w:before="60"/>
            </w:pPr>
            <w:r>
              <w:rPr>
                <w:rFonts w:ascii="Calibri" w:cs="Calibri" w:eastAsia="Calibri" w:hAnsi="Calibri"/>
                <w:b/>
                <w:bCs/>
                <w:color w:val="FFFFFF"/>
                <w:sz w:val="20"/>
                <w:szCs w:val="20"/>
              </w:rPr>
              <w:t xml:space="preserve">Status</w:t>
            </w:r>
          </w:p>
        </w:tc>
        <w:tc>
          <w:tcPr>
            <w:tcW w:type="dxa" w:w="1600"/>
            <w:shd w:fill="1F3864" w:color="auto" w:val="clear"/>
          </w:tcPr>
          <w:p>
            <w:pPr>
              <w:spacing w:after="60" w:before="60"/>
            </w:pPr>
            <w:r>
              <w:rPr>
                <w:rFonts w:ascii="Calibri" w:cs="Calibri" w:eastAsia="Calibri" w:hAnsi="Calibri"/>
                <w:b/>
                <w:bCs/>
                <w:color w:val="FFFFFF"/>
                <w:sz w:val="20"/>
                <w:szCs w:val="20"/>
              </w:rPr>
              <w:t xml:space="preserve">Date Sent</w:t>
            </w:r>
          </w:p>
        </w:tc>
      </w:tr>
      <w:tr>
        <w:tc>
          <w:tcPr>
            <w:tcW w:type="dxa" w:w="1700"/>
          </w:tcPr>
          <w:p>
            <w:pPr>
              <w:spacing w:after="30" w:before="30"/>
            </w:pPr>
            <w:r>
              <w:rPr>
                <w:rFonts w:ascii="Calibri" w:cs="Calibri" w:eastAsia="Calibri" w:hAnsi="Calibri"/>
                <w:b/>
                <w:bCs/>
                <w:i w:val="false"/>
                <w:iCs w:val="false"/>
                <w:color w:val="000000"/>
                <w:sz w:val="20"/>
                <w:szCs w:val="20"/>
              </w:rPr>
              <w:t xml:space="preserve">[CUSTOMER NAME / DPA]</w:t>
            </w:r>
          </w:p>
        </w:tc>
        <w:tc>
          <w:tcPr>
            <w:tcW w:type="dxa" w:w="2160"/>
          </w:tcPr>
          <w:p>
            <w:pPr>
              <w:spacing w:after="30" w:before="30"/>
            </w:pPr>
            <w:r>
              <w:rPr>
                <w:rFonts w:ascii="Calibri" w:cs="Calibri" w:eastAsia="Calibri" w:hAnsi="Calibri"/>
                <w:b/>
                <w:bCs/>
                <w:i w:val="false"/>
                <w:iCs w:val="false"/>
                <w:color w:val="000000"/>
                <w:sz w:val="20"/>
                <w:szCs w:val="20"/>
              </w:rPr>
              <w:t xml:space="preserve">[NOTIFICATION OBLIGATION PER CONTRACT]</w:t>
            </w:r>
          </w:p>
        </w:tc>
        <w:tc>
          <w:tcPr>
            <w:tcW w:type="dxa" w:w="1200"/>
          </w:tcPr>
          <w:p>
            <w:pPr>
              <w:spacing w:after="30" w:before="30"/>
            </w:pPr>
            <w:r>
              <w:rPr>
                <w:rFonts w:ascii="Calibri" w:cs="Calibri" w:eastAsia="Calibri" w:hAnsi="Calibri"/>
                <w:b/>
                <w:bCs/>
                <w:i w:val="false"/>
                <w:iCs w:val="false"/>
                <w:color w:val="000000"/>
                <w:sz w:val="20"/>
                <w:szCs w:val="20"/>
              </w:rPr>
              <w:t xml:space="preserve">[DEADLINE]</w:t>
            </w:r>
          </w:p>
        </w:tc>
        <w:tc>
          <w:tcPr>
            <w:tcW w:type="dxa" w:w="1500"/>
          </w:tcPr>
          <w:p>
            <w:pPr>
              <w:spacing w:after="30" w:before="30"/>
            </w:pPr>
            <w:r>
              <w:rPr>
                <w:rFonts w:ascii="Calibri" w:cs="Calibri" w:eastAsia="Calibri" w:hAnsi="Calibri"/>
                <w:b/>
                <w:bCs/>
                <w:i w:val="false"/>
                <w:iCs w:val="false"/>
                <w:color w:val="000000"/>
                <w:sz w:val="20"/>
                <w:szCs w:val="20"/>
              </w:rPr>
              <w:t xml:space="preserve">[CONTACT NAME AND INFO]</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600"/>
          </w:tcPr>
          <w:p>
            <w:pPr>
              <w:spacing w:after="30" w:before="30"/>
            </w:pPr>
            <w:r>
              <w:rPr>
                <w:rFonts w:ascii="Calibri" w:cs="Calibri" w:eastAsia="Calibri" w:hAnsi="Calibri"/>
                <w:b/>
                <w:bCs/>
                <w:i w:val="false"/>
                <w:iCs w:val="false"/>
                <w:color w:val="000000"/>
                <w:sz w:val="20"/>
                <w:szCs w:val="20"/>
              </w:rPr>
              <w:t xml:space="preserve">[DATE]</w:t>
            </w:r>
          </w:p>
        </w:tc>
      </w:tr>
      <w:tr>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[VENDOR NAME / DPA]</w:t>
            </w:r>
          </w:p>
        </w:tc>
        <w:tc>
          <w:tcPr>
            <w:tcW w:type="dxa" w:w="2160"/>
            <w:shd w:fill="F2F2F2" w:color="auto" w:val="clear"/>
          </w:tcPr>
          <w:p>
            <w:pPr>
              <w:spacing w:after="30" w:before="30"/>
            </w:pPr>
            <w:r>
              <w:rPr>
                <w:rFonts w:ascii="Calibri" w:cs="Calibri" w:eastAsia="Calibri" w:hAnsi="Calibri"/>
                <w:b/>
                <w:bCs/>
                <w:i w:val="false"/>
                <w:iCs w:val="false"/>
                <w:color w:val="000000"/>
                <w:sz w:val="20"/>
                <w:szCs w:val="20"/>
              </w:rPr>
              <w:t xml:space="preserve">[NOTIFICATION OBLIGATION PER CONTRACT]</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[DEADLINE]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[CONTACT NAME AND INFO]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6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r>
        <w:tc>
          <w:tcPr>
            <w:tcW w:type="dxa" w:w="1700"/>
          </w:tcPr>
          <w:p>
            <w:pPr>
              <w:spacing w:after="30" w:before="30"/>
            </w:pPr>
            <w:r>
              <w:rPr>
                <w:rFonts w:ascii="Calibri" w:cs="Calibri" w:eastAsia="Calibri" w:hAnsi="Calibri"/>
                <w:b/>
                <w:bCs/>
                <w:i w:val="false"/>
                <w:iCs w:val="false"/>
                <w:color w:val="000000"/>
                <w:sz w:val="20"/>
                <w:szCs w:val="20"/>
              </w:rPr>
              <w:t xml:space="preserve">[PARTNER NAME]</w:t>
            </w:r>
          </w:p>
        </w:tc>
        <w:tc>
          <w:tcPr>
            <w:tcW w:type="dxa" w:w="2160"/>
          </w:tcPr>
          <w:p>
            <w:pPr>
              <w:spacing w:after="30" w:before="30"/>
            </w:pPr>
            <w:r>
              <w:rPr>
                <w:rFonts w:ascii="Calibri" w:cs="Calibri" w:eastAsia="Calibri" w:hAnsi="Calibri"/>
                <w:b/>
                <w:bCs/>
                <w:i w:val="false"/>
                <w:iCs w:val="false"/>
                <w:color w:val="000000"/>
                <w:sz w:val="20"/>
                <w:szCs w:val="20"/>
              </w:rPr>
              <w:t xml:space="preserve">[NOTIFICATION OBLIGATION PER CONTRACT]</w:t>
            </w:r>
          </w:p>
        </w:tc>
        <w:tc>
          <w:tcPr>
            <w:tcW w:type="dxa" w:w="1200"/>
          </w:tcPr>
          <w:p>
            <w:pPr>
              <w:spacing w:after="30" w:before="30"/>
            </w:pPr>
            <w:r>
              <w:rPr>
                <w:rFonts w:ascii="Calibri" w:cs="Calibri" w:eastAsia="Calibri" w:hAnsi="Calibri"/>
                <w:b/>
                <w:bCs/>
                <w:i w:val="false"/>
                <w:iCs w:val="false"/>
                <w:color w:val="000000"/>
                <w:sz w:val="20"/>
                <w:szCs w:val="20"/>
              </w:rPr>
              <w:t xml:space="preserve">[DEADLINE]</w:t>
            </w:r>
          </w:p>
        </w:tc>
        <w:tc>
          <w:tcPr>
            <w:tcW w:type="dxa" w:w="1500"/>
          </w:tcPr>
          <w:p>
            <w:pPr>
              <w:spacing w:after="30" w:before="30"/>
            </w:pPr>
            <w:r>
              <w:rPr>
                <w:rFonts w:ascii="Calibri" w:cs="Calibri" w:eastAsia="Calibri" w:hAnsi="Calibri"/>
                <w:b/>
                <w:bCs/>
                <w:i w:val="false"/>
                <w:iCs w:val="false"/>
                <w:color w:val="000000"/>
                <w:sz w:val="20"/>
                <w:szCs w:val="20"/>
              </w:rPr>
              <w:t xml:space="preserve">[CONTACT NAME AND INFO]</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600"/>
          </w:tcPr>
          <w:p>
            <w:pPr>
              <w:spacing w:after="30" w:before="30"/>
            </w:pPr>
            <w:r>
              <w:rPr>
                <w:rFonts w:ascii="Calibri" w:cs="Calibri" w:eastAsia="Calibri" w:hAnsi="Calibri"/>
                <w:b/>
                <w:bCs/>
                <w:i w:val="false"/>
                <w:iCs w:val="false"/>
                <w:color w:val="000000"/>
                <w:sz w:val="20"/>
                <w:szCs w:val="20"/>
              </w:rPr>
              <w:t xml:space="preserve">[DATE]</w:t>
            </w:r>
          </w:p>
        </w:tc>
      </w:tr>
      <w:tr>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[OTHER]</w:t>
            </w:r>
          </w:p>
        </w:tc>
        <w:tc>
          <w:tcPr>
            <w:tcW w:type="dxa" w:w="2160"/>
            <w:shd w:fill="F2F2F2" w:color="auto" w:val="clear"/>
          </w:tcPr>
          <w:p>
            <w:pPr>
              <w:spacing w:after="30" w:before="30"/>
            </w:pPr>
            <w:r>
              <w:rPr>
                <w:rFonts w:ascii="Calibri" w:cs="Calibri" w:eastAsia="Calibri" w:hAnsi="Calibri"/>
                <w:b/>
                <w:bCs/>
                <w:i w:val="false"/>
                <w:iCs w:val="false"/>
                <w:color w:val="000000"/>
                <w:sz w:val="20"/>
                <w:szCs w:val="20"/>
              </w:rPr>
              <w:t xml:space="preserve">[OBLIGATION]</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[DEADLINE]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[CONTACT]</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6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3: Insurance Obligations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1500"/>
        <w:gridCol w:w="1200"/>
        <w:gridCol w:w="2660"/>
      </w:tblGrid>
      <w:tr>
        <w:trPr>
          <w:tblHeader/>
        </w:trPr>
        <w:tc>
          <w:tcPr>
            <w:tcW w:type="dxa" w:w="2000"/>
            <w:shd w:fill="1F3864" w:color="auto" w:val="clear"/>
          </w:tcPr>
          <w:p>
            <w:pPr>
              <w:spacing w:after="60" w:before="60"/>
            </w:pPr>
            <w:r>
              <w:rPr>
                <w:rFonts w:ascii="Calibri" w:cs="Calibri" w:eastAsia="Calibri" w:hAnsi="Calibri"/>
                <w:b/>
                <w:bCs/>
                <w:color w:val="FFFFFF"/>
                <w:sz w:val="20"/>
                <w:szCs w:val="20"/>
              </w:rPr>
              <w:t xml:space="preserve">Obligation</w:t>
            </w:r>
          </w:p>
        </w:tc>
        <w:tc>
          <w:tcPr>
            <w:tcW w:type="dxa" w:w="2000"/>
            <w:shd w:fill="1F3864" w:color="auto" w:val="clear"/>
          </w:tcPr>
          <w:p>
            <w:pPr>
              <w:spacing w:after="60" w:before="60"/>
            </w:pPr>
            <w:r>
              <w:rPr>
                <w:rFonts w:ascii="Calibri" w:cs="Calibri" w:eastAsia="Calibri" w:hAnsi="Calibri"/>
                <w:b/>
                <w:bCs/>
                <w:color w:val="FFFFFF"/>
                <w:sz w:val="20"/>
                <w:szCs w:val="20"/>
              </w:rPr>
              <w:t xml:space="preserve">Requirement</w:t>
            </w:r>
          </w:p>
        </w:tc>
        <w:tc>
          <w:tcPr>
            <w:tcW w:type="dxa" w:w="1500"/>
            <w:shd w:fill="1F3864" w:color="auto" w:val="clear"/>
          </w:tcPr>
          <w:p>
            <w:pPr>
              <w:spacing w:after="60" w:before="60"/>
            </w:pPr>
            <w:r>
              <w:rPr>
                <w:rFonts w:ascii="Calibri" w:cs="Calibri" w:eastAsia="Calibri" w:hAnsi="Calibri"/>
                <w:b/>
                <w:bCs/>
                <w:color w:val="FFFFFF"/>
                <w:sz w:val="20"/>
                <w:szCs w:val="20"/>
              </w:rPr>
              <w:t xml:space="preserve">Deadline</w:t>
            </w:r>
          </w:p>
        </w:tc>
        <w:tc>
          <w:tcPr>
            <w:tcW w:type="dxa" w:w="1200"/>
            <w:shd w:fill="1F3864" w:color="auto" w:val="clear"/>
          </w:tcPr>
          <w:p>
            <w:pPr>
              <w:spacing w:after="60" w:before="60"/>
            </w:pPr>
            <w:r>
              <w:rPr>
                <w:rFonts w:ascii="Calibri" w:cs="Calibri" w:eastAsia="Calibri" w:hAnsi="Calibri"/>
                <w:b/>
                <w:bCs/>
                <w:color w:val="FFFFFF"/>
                <w:sz w:val="20"/>
                <w:szCs w:val="20"/>
              </w:rPr>
              <w:t xml:space="preserve">Status</w:t>
            </w:r>
          </w:p>
        </w:tc>
        <w:tc>
          <w:tcPr>
            <w:tcW w:type="dxa" w:w="2660"/>
            <w:shd w:fill="1F3864" w:color="auto" w:val="clear"/>
          </w:tcPr>
          <w:p>
            <w:pPr>
              <w:spacing w:after="60" w:before="60"/>
            </w:pPr>
            <w:r>
              <w:rPr>
                <w:rFonts w:ascii="Calibri" w:cs="Calibri" w:eastAsia="Calibri" w:hAnsi="Calibri"/>
                <w:b/>
                <w:bCs/>
                <w:color w:val="FFFFFF"/>
                <w:sz w:val="20"/>
                <w:szCs w:val="20"/>
              </w:rPr>
              <w:t xml:space="preserve">Notes</w:t>
            </w:r>
          </w:p>
        </w:tc>
      </w:tr>
      <w:tr>
        <w:tc>
          <w:tcPr>
            <w:tcW w:type="dxa" w:w="2000"/>
          </w:tcPr>
          <w:p>
            <w:pPr>
              <w:spacing w:after="30" w:before="30"/>
            </w:pPr>
            <w:r>
              <w:rPr>
                <w:rFonts w:ascii="Calibri" w:cs="Calibri" w:eastAsia="Calibri" w:hAnsi="Calibri"/>
                <w:b w:val="false"/>
                <w:bCs w:val="false"/>
                <w:i w:val="false"/>
                <w:iCs w:val="false"/>
                <w:color w:val="000000"/>
                <w:sz w:val="20"/>
                <w:szCs w:val="20"/>
              </w:rPr>
              <w:t xml:space="preserve">Initial Notice to Carrier</w:t>
            </w:r>
          </w:p>
        </w:tc>
        <w:tc>
          <w:tcPr>
            <w:tcW w:type="dxa" w:w="2000"/>
          </w:tcPr>
          <w:p>
            <w:pPr>
              <w:spacing w:after="30" w:before="30"/>
            </w:pPr>
            <w:r>
              <w:rPr>
                <w:rFonts w:ascii="Calibri" w:cs="Calibri" w:eastAsia="Calibri" w:hAnsi="Calibri"/>
                <w:b/>
                <w:bCs/>
                <w:i w:val="false"/>
                <w:iCs w:val="false"/>
                <w:color w:val="000000"/>
                <w:sz w:val="20"/>
                <w:szCs w:val="20"/>
              </w:rPr>
              <w:t xml:space="preserve">[PER POLICY — DESCRIBE]</w:t>
            </w:r>
          </w:p>
        </w:tc>
        <w:tc>
          <w:tcPr>
            <w:tcW w:type="dxa" w:w="1500"/>
          </w:tcPr>
          <w:p>
            <w:pPr>
              <w:spacing w:after="30" w:before="30"/>
            </w:pPr>
            <w:r>
              <w:rPr>
                <w:rFonts w:ascii="Calibri" w:cs="Calibri" w:eastAsia="Calibri" w:hAnsi="Calibri"/>
                <w:b/>
                <w:bCs/>
                <w:i w:val="false"/>
                <w:iCs w:val="false"/>
                <w:color w:val="000000"/>
                <w:sz w:val="20"/>
                <w:szCs w:val="20"/>
              </w:rPr>
              <w:t xml:space="preserve">[DEADLINE]</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2660"/>
          </w:tcPr>
          <w:p>
            <w:pPr>
              <w:spacing w:after="30" w:before="30"/>
            </w:pPr>
            <w:r>
              <w:rPr>
                <w:rFonts w:ascii="Calibri" w:cs="Calibri" w:eastAsia="Calibri" w:hAnsi="Calibri"/>
                <w:b/>
                <w:bCs/>
                <w:i w:val="false"/>
                <w:iCs w:val="false"/>
                <w:color w:val="000000"/>
                <w:sz w:val="20"/>
                <w:szCs w:val="20"/>
              </w:rPr>
              <w:t xml:space="preserve">[NOTES]</w:t>
            </w:r>
          </w:p>
        </w:tc>
      </w:tr>
      <w:tr>
        <w:tc>
          <w:tcPr>
            <w:tcW w:type="dxa" w:w="2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Consent for Forensic Engagement</w:t>
            </w:r>
          </w:p>
        </w:tc>
        <w:tc>
          <w:tcPr>
            <w:tcW w:type="dxa" w:w="2000"/>
            <w:shd w:fill="F2F2F2" w:color="auto" w:val="clear"/>
          </w:tcPr>
          <w:p>
            <w:pPr>
              <w:spacing w:after="30" w:before="30"/>
            </w:pPr>
            <w:r>
              <w:rPr>
                <w:rFonts w:ascii="Calibri" w:cs="Calibri" w:eastAsia="Calibri" w:hAnsi="Calibri"/>
                <w:b/>
                <w:bCs/>
                <w:i w:val="false"/>
                <w:iCs w:val="false"/>
                <w:color w:val="000000"/>
                <w:sz w:val="20"/>
                <w:szCs w:val="20"/>
              </w:rPr>
              <w:t xml:space="preserve">[REQUIRED / NOT REQUIRED]</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[BEFORE ENGAGEMENT]</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2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000"/>
          </w:tcPr>
          <w:p>
            <w:pPr>
              <w:spacing w:after="30" w:before="30"/>
            </w:pPr>
            <w:r>
              <w:rPr>
                <w:rFonts w:ascii="Calibri" w:cs="Calibri" w:eastAsia="Calibri" w:hAnsi="Calibri"/>
                <w:b w:val="false"/>
                <w:bCs w:val="false"/>
                <w:i w:val="false"/>
                <w:iCs w:val="false"/>
                <w:color w:val="000000"/>
                <w:sz w:val="20"/>
                <w:szCs w:val="20"/>
              </w:rPr>
              <w:t xml:space="preserve">Consent for Outside Counsel</w:t>
            </w:r>
          </w:p>
        </w:tc>
        <w:tc>
          <w:tcPr>
            <w:tcW w:type="dxa" w:w="2000"/>
          </w:tcPr>
          <w:p>
            <w:pPr>
              <w:spacing w:after="30" w:before="30"/>
            </w:pPr>
            <w:r>
              <w:rPr>
                <w:rFonts w:ascii="Calibri" w:cs="Calibri" w:eastAsia="Calibri" w:hAnsi="Calibri"/>
                <w:b/>
                <w:bCs/>
                <w:i w:val="false"/>
                <w:iCs w:val="false"/>
                <w:color w:val="000000"/>
                <w:sz w:val="20"/>
                <w:szCs w:val="20"/>
              </w:rPr>
              <w:t xml:space="preserve">[REQUIRED / NOT REQUIRED]</w:t>
            </w:r>
          </w:p>
        </w:tc>
        <w:tc>
          <w:tcPr>
            <w:tcW w:type="dxa" w:w="1500"/>
          </w:tcPr>
          <w:p>
            <w:pPr>
              <w:spacing w:after="30" w:before="30"/>
            </w:pPr>
            <w:r>
              <w:rPr>
                <w:rFonts w:ascii="Calibri" w:cs="Calibri" w:eastAsia="Calibri" w:hAnsi="Calibri"/>
                <w:b/>
                <w:bCs/>
                <w:i w:val="false"/>
                <w:iCs w:val="false"/>
                <w:color w:val="000000"/>
                <w:sz w:val="20"/>
                <w:szCs w:val="20"/>
              </w:rPr>
              <w:t xml:space="preserve">[BEFORE ENGAGEMENT]</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2660"/>
          </w:tcPr>
          <w:p>
            <w:pPr>
              <w:spacing w:after="30" w:before="30"/>
            </w:pPr>
            <w:r>
              <w:rPr>
                <w:rFonts w:ascii="Calibri" w:cs="Calibri" w:eastAsia="Calibri" w:hAnsi="Calibri"/>
                <w:b/>
                <w:bCs/>
                <w:i w:val="false"/>
                <w:iCs w:val="false"/>
                <w:color w:val="000000"/>
                <w:sz w:val="20"/>
                <w:szCs w:val="20"/>
              </w:rPr>
              <w:t xml:space="preserve">[NOTES]</w:t>
            </w:r>
          </w:p>
        </w:tc>
      </w:tr>
      <w:tr>
        <w:tc>
          <w:tcPr>
            <w:tcW w:type="dxa" w:w="2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Consent for Notification Vendor</w:t>
            </w:r>
          </w:p>
        </w:tc>
        <w:tc>
          <w:tcPr>
            <w:tcW w:type="dxa" w:w="2000"/>
            <w:shd w:fill="F2F2F2" w:color="auto" w:val="clear"/>
          </w:tcPr>
          <w:p>
            <w:pPr>
              <w:spacing w:after="30" w:before="30"/>
            </w:pPr>
            <w:r>
              <w:rPr>
                <w:rFonts w:ascii="Calibri" w:cs="Calibri" w:eastAsia="Calibri" w:hAnsi="Calibri"/>
                <w:b/>
                <w:bCs/>
                <w:i w:val="false"/>
                <w:iCs w:val="false"/>
                <w:color w:val="000000"/>
                <w:sz w:val="20"/>
                <w:szCs w:val="20"/>
              </w:rPr>
              <w:t xml:space="preserve">[REQUIRED / NOT REQUIRED]</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[BEFORE ENGAGEMENT]</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2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000"/>
          </w:tcPr>
          <w:p>
            <w:pPr>
              <w:spacing w:after="30" w:before="30"/>
            </w:pPr>
            <w:r>
              <w:rPr>
                <w:rFonts w:ascii="Calibri" w:cs="Calibri" w:eastAsia="Calibri" w:hAnsi="Calibri"/>
                <w:b w:val="false"/>
                <w:bCs w:val="false"/>
                <w:i w:val="false"/>
                <w:iCs w:val="false"/>
                <w:color w:val="000000"/>
                <w:sz w:val="20"/>
                <w:szCs w:val="20"/>
              </w:rPr>
              <w:t xml:space="preserve">Consent for Extortion Payment</w:t>
            </w:r>
          </w:p>
        </w:tc>
        <w:tc>
          <w:tcPr>
            <w:tcW w:type="dxa" w:w="2000"/>
          </w:tcPr>
          <w:p>
            <w:pPr>
              <w:spacing w:after="30" w:before="30"/>
            </w:pPr>
            <w:r>
              <w:rPr>
                <w:rFonts w:ascii="Calibri" w:cs="Calibri" w:eastAsia="Calibri" w:hAnsi="Calibri"/>
                <w:b/>
                <w:bCs/>
                <w:i w:val="false"/>
                <w:iCs w:val="false"/>
                <w:color w:val="000000"/>
                <w:sz w:val="20"/>
                <w:szCs w:val="20"/>
              </w:rPr>
              <w:t xml:space="preserve">[REQUIRED / NOT REQUIRED]</w:t>
            </w:r>
          </w:p>
        </w:tc>
        <w:tc>
          <w:tcPr>
            <w:tcW w:type="dxa" w:w="1500"/>
          </w:tcPr>
          <w:p>
            <w:pPr>
              <w:spacing w:after="30" w:before="30"/>
            </w:pPr>
            <w:r>
              <w:rPr>
                <w:rFonts w:ascii="Calibri" w:cs="Calibri" w:eastAsia="Calibri" w:hAnsi="Calibri"/>
                <w:b/>
                <w:bCs/>
                <w:i w:val="false"/>
                <w:iCs w:val="false"/>
                <w:color w:val="000000"/>
                <w:sz w:val="20"/>
                <w:szCs w:val="20"/>
              </w:rPr>
              <w:t xml:space="preserve">[BEFORE PAYMENT]</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2660"/>
          </w:tcPr>
          <w:p>
            <w:pPr>
              <w:spacing w:after="30" w:before="30"/>
            </w:pPr>
            <w:r>
              <w:rPr>
                <w:rFonts w:ascii="Calibri" w:cs="Calibri" w:eastAsia="Calibri" w:hAnsi="Calibri"/>
                <w:b/>
                <w:bCs/>
                <w:i w:val="false"/>
                <w:iCs w:val="false"/>
                <w:color w:val="000000"/>
                <w:sz w:val="20"/>
                <w:szCs w:val="20"/>
              </w:rPr>
              <w:t xml:space="preserve">[NOTES]</w:t>
            </w:r>
          </w:p>
        </w:tc>
      </w:tr>
      <w:tr>
        <w:tc>
          <w:tcPr>
            <w:tcW w:type="dxa" w:w="2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Proof of Loss Submission</w:t>
            </w:r>
          </w:p>
        </w:tc>
        <w:tc>
          <w:tcPr>
            <w:tcW w:type="dxa" w:w="2000"/>
            <w:shd w:fill="F2F2F2" w:color="auto" w:val="clear"/>
          </w:tcPr>
          <w:p>
            <w:pPr>
              <w:spacing w:after="30" w:before="30"/>
            </w:pPr>
            <w:r>
              <w:rPr>
                <w:rFonts w:ascii="Calibri" w:cs="Calibri" w:eastAsia="Calibri" w:hAnsi="Calibri"/>
                <w:b/>
                <w:bCs/>
                <w:i w:val="false"/>
                <w:iCs w:val="false"/>
                <w:color w:val="000000"/>
                <w:sz w:val="20"/>
                <w:szCs w:val="20"/>
              </w:rPr>
              <w:t xml:space="preserve">[PER POLICY — DESCRIBE]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[DEADLINE]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2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bl>
    <w:p>
      <w:r>
        <w:br w:type="page"/>
      </w:r>
    </w:p>
    <w:p>
      <w:pPr>
        <w:pStyle w:val="Heading1"/>
        <w:spacing w:after="100" w:before="200"/>
        <w:jc w:val="center"/>
      </w:pPr>
      <w:r>
        <w:rPr>
          <w:rFonts w:ascii="Calibri" w:cs="Calibri" w:eastAsia="Calibri" w:hAnsi="Calibri"/>
          <w:b/>
          <w:bCs/>
          <w:color w:val="1F3864"/>
          <w:sz w:val="32"/>
          <w:szCs w:val="32"/>
        </w:rPr>
        <w:t xml:space="preserve">EXHIBIT E</w:t>
      </w:r>
    </w:p>
    <w:p>
      <w:pPr>
        <w:spacing w:after="300"/>
        <w:jc w:val="center"/>
      </w:pPr>
      <w:r>
        <w:rPr>
          <w:rFonts w:ascii="Calibri" w:cs="Calibri" w:eastAsia="Calibri" w:hAnsi="Calibri"/>
          <w:b/>
          <w:bCs/>
          <w:color w:val="1F3864"/>
          <w:sz w:val="28"/>
          <w:szCs w:val="28"/>
        </w:rPr>
        <w:t xml:space="preserve">DATA, SYSTEM, AND VENDOR FACT WORKSHEET</w:t>
      </w:r>
    </w:p>
    <w:p>
      <w:pPr>
        <w:spacing w:after="120" w:line="276"/>
      </w:pPr>
      <w:r>
        <w:rPr>
          <w:rFonts w:ascii="Calibri" w:cs="Calibri" w:eastAsia="Calibri" w:hAnsi="Calibri"/>
          <w:b w:val="false"/>
          <w:bCs w:val="false"/>
          <w:i w:val="false"/>
          <w:iCs w:val="false"/>
          <w:color w:val="000000"/>
          <w:sz w:val="22"/>
          <w:szCs w:val="22"/>
        </w:rPr>
        <w:t xml:space="preserve">Use this worksheet to compile and organize factual information about the data, systems, and vendors involved in the Incident. This information supports the forensic investigation, legal analysis, notification determinations, and insurance claims.</w:t>
      </w:r>
    </w:p>
    <w:p>
      <w:pPr>
        <w:spacing w:after="200"/>
      </w:pPr>
    </w:p>
    <w:p>
      <w:pPr>
        <w:pStyle w:val="Heading2"/>
        <w:keepNext/>
        <w:spacing w:after="120" w:before="240"/>
      </w:pPr>
      <w:r>
        <w:rPr>
          <w:rFonts w:ascii="Calibri" w:cs="Calibri" w:eastAsia="Calibri" w:hAnsi="Calibri"/>
          <w:b/>
          <w:bCs/>
          <w:color w:val="1F3864"/>
          <w:sz w:val="26"/>
          <w:szCs w:val="26"/>
        </w:rPr>
        <w:t xml:space="preserve">Part 1: Data Fact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1F3864" w:color="auto" w:val="clear"/>
          </w:tcPr>
          <w:p>
            <w:pPr>
              <w:spacing w:after="60" w:before="60"/>
            </w:pPr>
            <w:r>
              <w:rPr>
                <w:rFonts w:ascii="Calibri" w:cs="Calibri" w:eastAsia="Calibri" w:hAnsi="Calibri"/>
                <w:b/>
                <w:bCs/>
                <w:color w:val="FFFFFF"/>
                <w:sz w:val="20"/>
                <w:szCs w:val="20"/>
              </w:rPr>
              <w:t xml:space="preserve">Data Element</w:t>
            </w:r>
          </w:p>
        </w:tc>
        <w:tc>
          <w:tcPr>
            <w:tcW w:type="dxa" w:w="6360"/>
            <w:shd w:fill="1F3864" w:color="auto" w:val="clear"/>
          </w:tcPr>
          <w:p>
            <w:pPr>
              <w:spacing w:after="60" w:before="60"/>
            </w:pPr>
            <w:r>
              <w:rPr>
                <w:rFonts w:ascii="Calibri" w:cs="Calibri" w:eastAsia="Calibri" w:hAnsi="Calibri"/>
                <w:b/>
                <w:bCs/>
                <w:color w:val="FFFFFF"/>
                <w:sz w:val="20"/>
                <w:szCs w:val="20"/>
              </w:rPr>
              <w:t xml:space="preserve">Details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Data Types Confirmed Affected</w:t>
            </w:r>
          </w:p>
        </w:tc>
        <w:tc>
          <w:tcPr>
            <w:tcW w:type="dxa" w:w="6360"/>
          </w:tcPr>
          <w:p>
            <w:pPr>
              <w:spacing w:after="30" w:before="30"/>
            </w:pPr>
            <w:r>
              <w:rPr>
                <w:rFonts w:ascii="Calibri" w:cs="Calibri" w:eastAsia="Calibri" w:hAnsi="Calibri"/>
                <w:b/>
                <w:bCs/>
                <w:i w:val="false"/>
                <w:iCs w:val="false"/>
                <w:color w:val="000000"/>
                <w:sz w:val="20"/>
                <w:szCs w:val="20"/>
              </w:rPr>
              <w:t xml:space="preserve">[LIST ALL CONFIRMED DATA TYPES: NAMES, SSN, DOB, FINANCIAL ACCOUNTS, HEALTH INFO, CREDENTIALS, IP, SOURCE CODE, ETC.]</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Data Types Potentially Affected</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[LIST DATA TYPES THAT MAY BE AFFECTED BUT ARE NOT YET CONFIRMED]</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Total Records/Individuals Confirmed</w:t>
            </w:r>
          </w:p>
        </w:tc>
        <w:tc>
          <w:tcPr>
            <w:tcW w:type="dxa" w:w="6360"/>
          </w:tcPr>
          <w:p>
            <w:pPr>
              <w:spacing w:after="30" w:before="30"/>
            </w:pPr>
            <w:r>
              <w:rPr>
                <w:rFonts w:ascii="Calibri" w:cs="Calibri" w:eastAsia="Calibri" w:hAnsi="Calibri"/>
                <w:b/>
                <w:bCs/>
                <w:i w:val="false"/>
                <w:iCs w:val="false"/>
                <w:color w:val="000000"/>
                <w:sz w:val="20"/>
                <w:szCs w:val="20"/>
              </w:rPr>
              <w:t xml:space="preserve">[NUMBER]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Total Records/Individuals Estimated</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[NUMBER OR RANGE]</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Jurisdictions of Affected Individuals</w:t>
            </w:r>
          </w:p>
        </w:tc>
        <w:tc>
          <w:tcPr>
            <w:tcW w:type="dxa" w:w="6360"/>
          </w:tcPr>
          <w:p>
            <w:pPr>
              <w:spacing w:after="30" w:before="30"/>
            </w:pPr>
            <w:r>
              <w:rPr>
                <w:rFonts w:ascii="Calibri" w:cs="Calibri" w:eastAsia="Calibri" w:hAnsi="Calibri"/>
                <w:b/>
                <w:bCs/>
                <w:i w:val="false"/>
                <w:iCs w:val="false"/>
                <w:color w:val="000000"/>
                <w:sz w:val="20"/>
                <w:szCs w:val="20"/>
              </w:rPr>
              <w:t xml:space="preserve">[LIST ALL JURISDICTIONS WHERE AFFECTED INDIVIDUALS RESIDE]</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Data Classification</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[PUBLIC / INTERNAL / CONFIDENTIAL / RESTRICTED — PER COMPANY DATA CLASSIFICATION POLICY]</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Data Encrypted at Rest?</w:t>
            </w:r>
          </w:p>
        </w:tc>
        <w:tc>
          <w:tcPr>
            <w:tcW w:type="dxa" w:w="6360"/>
          </w:tcPr>
          <w:p>
            <w:pPr>
              <w:spacing w:after="30" w:before="30"/>
            </w:pPr>
            <w:r>
              <w:rPr>
                <w:rFonts w:ascii="Calibri" w:cs="Calibri" w:eastAsia="Calibri" w:hAnsi="Calibri"/>
                <w:b/>
                <w:bCs/>
                <w:i w:val="false"/>
                <w:iCs w:val="false"/>
                <w:color w:val="000000"/>
                <w:sz w:val="20"/>
                <w:szCs w:val="20"/>
              </w:rPr>
              <w:t xml:space="preserve">[YES — DESCRIBE ENCRYPTION / NO / PARTIALLY / UNKNOWN]</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Data Encrypted in Transit?</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[YES — DESCRIBE ENCRYPTION / NO / PARTIALLY / UNKNOWN]</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Exfiltration Confirmed?</w:t>
            </w:r>
          </w:p>
        </w:tc>
        <w:tc>
          <w:tcPr>
            <w:tcW w:type="dxa" w:w="6360"/>
          </w:tcPr>
          <w:p>
            <w:pPr>
              <w:spacing w:after="30" w:before="30"/>
            </w:pPr>
            <w:r>
              <w:rPr>
                <w:rFonts w:ascii="Calibri" w:cs="Calibri" w:eastAsia="Calibri" w:hAnsi="Calibri"/>
                <w:b/>
                <w:bCs/>
                <w:i w:val="false"/>
                <w:iCs w:val="false"/>
                <w:color w:val="000000"/>
                <w:sz w:val="20"/>
                <w:szCs w:val="20"/>
              </w:rPr>
              <w:t xml:space="preserve">[YES — DESCRIBE VOLUME, DESTINATION, METHOD / NO / UNDER INVESTIGATION]</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Data Posted Publicly?</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[YES — DESCRIBE LOCATION / NO / MONITORING IN PROGRESS]</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2: System Fact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1F3864" w:color="auto" w:val="clear"/>
          </w:tcPr>
          <w:p>
            <w:pPr>
              <w:spacing w:after="60" w:before="60"/>
            </w:pPr>
            <w:r>
              <w:rPr>
                <w:rFonts w:ascii="Calibri" w:cs="Calibri" w:eastAsia="Calibri" w:hAnsi="Calibri"/>
                <w:b/>
                <w:bCs/>
                <w:color w:val="FFFFFF"/>
                <w:sz w:val="20"/>
                <w:szCs w:val="20"/>
              </w:rPr>
              <w:t xml:space="preserve">System Element</w:t>
            </w:r>
          </w:p>
        </w:tc>
        <w:tc>
          <w:tcPr>
            <w:tcW w:type="dxa" w:w="6360"/>
            <w:shd w:fill="1F3864" w:color="auto" w:val="clear"/>
          </w:tcPr>
          <w:p>
            <w:pPr>
              <w:spacing w:after="60" w:before="60"/>
            </w:pPr>
            <w:r>
              <w:rPr>
                <w:rFonts w:ascii="Calibri" w:cs="Calibri" w:eastAsia="Calibri" w:hAnsi="Calibri"/>
                <w:b/>
                <w:bCs/>
                <w:color w:val="FFFFFF"/>
                <w:sz w:val="20"/>
                <w:szCs w:val="20"/>
              </w:rPr>
              <w:t xml:space="preserve">Details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Affected Systems (Production)</w:t>
            </w:r>
          </w:p>
        </w:tc>
        <w:tc>
          <w:tcPr>
            <w:tcW w:type="dxa" w:w="6360"/>
          </w:tcPr>
          <w:p>
            <w:pPr>
              <w:spacing w:after="30" w:before="30"/>
            </w:pPr>
            <w:r>
              <w:rPr>
                <w:rFonts w:ascii="Calibri" w:cs="Calibri" w:eastAsia="Calibri" w:hAnsi="Calibri"/>
                <w:b/>
                <w:bCs/>
                <w:i w:val="false"/>
                <w:iCs w:val="false"/>
                <w:color w:val="000000"/>
                <w:sz w:val="20"/>
                <w:szCs w:val="20"/>
              </w:rPr>
              <w:t xml:space="preserve">[LIST ALL PRODUCTION SYSTEMS: HOSTNAME, IP, FUNCTION, OWNER]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Affected Systems (Non-Production)</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[LIST ALL NON-PRODUCTION SYSTEMS: DEV, TEST, STAGING]</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Affected Cloud Resources</w:t>
            </w:r>
          </w:p>
        </w:tc>
        <w:tc>
          <w:tcPr>
            <w:tcW w:type="dxa" w:w="6360"/>
          </w:tcPr>
          <w:p>
            <w:pPr>
              <w:spacing w:after="30" w:before="30"/>
            </w:pPr>
            <w:r>
              <w:rPr>
                <w:rFonts w:ascii="Calibri" w:cs="Calibri" w:eastAsia="Calibri" w:hAnsi="Calibri"/>
                <w:b/>
                <w:bCs/>
                <w:i w:val="false"/>
                <w:iCs w:val="false"/>
                <w:color w:val="000000"/>
                <w:sz w:val="20"/>
                <w:szCs w:val="20"/>
              </w:rPr>
              <w:t xml:space="preserve">[LIST CLOUD INSTANCES, STORAGE BUCKETS, DATABASES, FUNCTIONS, CONTAINERS]</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Affected Network Segments</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[LIST VLANS, SUBNETS, SECURITY ZONES]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Entry Vector</w:t>
            </w:r>
          </w:p>
        </w:tc>
        <w:tc>
          <w:tcPr>
            <w:tcW w:type="dxa" w:w="6360"/>
          </w:tcPr>
          <w:p>
            <w:pPr>
              <w:spacing w:after="30" w:before="30"/>
            </w:pPr>
            <w:r>
              <w:rPr>
                <w:rFonts w:ascii="Calibri" w:cs="Calibri" w:eastAsia="Calibri" w:hAnsi="Calibri"/>
                <w:b/>
                <w:bCs/>
                <w:i w:val="false"/>
                <w:iCs w:val="false"/>
                <w:color w:val="000000"/>
                <w:sz w:val="20"/>
                <w:szCs w:val="20"/>
              </w:rPr>
              <w:t xml:space="preserve">[DESCRIBE CONFIRMED OR SUSPECTED ENTRY VECTOR]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Lateral Movement Path</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[DESCRIBE CONFIRMED OR SUSPECTED LATERAL MOVEMENT]</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Persistence Mechanisms Found</w:t>
            </w:r>
          </w:p>
        </w:tc>
        <w:tc>
          <w:tcPr>
            <w:tcW w:type="dxa" w:w="6360"/>
          </w:tcPr>
          <w:p>
            <w:pPr>
              <w:spacing w:after="30" w:before="30"/>
            </w:pPr>
            <w:r>
              <w:rPr>
                <w:rFonts w:ascii="Calibri" w:cs="Calibri" w:eastAsia="Calibri" w:hAnsi="Calibri"/>
                <w:b/>
                <w:bCs/>
                <w:i w:val="false"/>
                <w:iCs w:val="false"/>
                <w:color w:val="000000"/>
                <w:sz w:val="20"/>
                <w:szCs w:val="20"/>
              </w:rPr>
              <w:t xml:space="preserve">[LIST ALL IDENTIFIED PERSISTENCE: BACKDOORS, WEB SHELLS, ROGUE ACCOUNTS, ETC.]</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Malware Identified</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[LIST MALWARE NAMES, HASHES, FAMILIES, VARIANTS]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Indicators of Compromise (IOCs)</w:t>
            </w:r>
          </w:p>
        </w:tc>
        <w:tc>
          <w:tcPr>
            <w:tcW w:type="dxa" w:w="6360"/>
          </w:tcPr>
          <w:p>
            <w:pPr>
              <w:spacing w:after="30" w:before="30"/>
            </w:pPr>
            <w:r>
              <w:rPr>
                <w:rFonts w:ascii="Calibri" w:cs="Calibri" w:eastAsia="Calibri" w:hAnsi="Calibri"/>
                <w:b/>
                <w:bCs/>
                <w:i w:val="false"/>
                <w:iCs w:val="false"/>
                <w:color w:val="000000"/>
                <w:sz w:val="20"/>
                <w:szCs w:val="20"/>
              </w:rPr>
              <w:t xml:space="preserve">[LIST IPS, DOMAINS, FILE HASHES, EMAIL ADDRESSES, USER-AGENT STRINGS]</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Timeline of Threat-Actor Activity</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[SUMMARIZE OR REFERENCE AUTHORITATIVE TIMELINE]</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3: Vendor and Third-Party Fact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1F3864" w:color="auto" w:val="clear"/>
          </w:tcPr>
          <w:p>
            <w:pPr>
              <w:spacing w:after="60" w:before="60"/>
            </w:pPr>
            <w:r>
              <w:rPr>
                <w:rFonts w:ascii="Calibri" w:cs="Calibri" w:eastAsia="Calibri" w:hAnsi="Calibri"/>
                <w:b/>
                <w:bCs/>
                <w:color w:val="FFFFFF"/>
                <w:sz w:val="20"/>
                <w:szCs w:val="20"/>
              </w:rPr>
              <w:t xml:space="preserve">Vendor Element</w:t>
            </w:r>
          </w:p>
        </w:tc>
        <w:tc>
          <w:tcPr>
            <w:tcW w:type="dxa" w:w="6360"/>
            <w:shd w:fill="1F3864" w:color="auto" w:val="clear"/>
          </w:tcPr>
          <w:p>
            <w:pPr>
              <w:spacing w:after="60" w:before="60"/>
            </w:pPr>
            <w:r>
              <w:rPr>
                <w:rFonts w:ascii="Calibri" w:cs="Calibri" w:eastAsia="Calibri" w:hAnsi="Calibri"/>
                <w:b/>
                <w:bCs/>
                <w:color w:val="FFFFFF"/>
                <w:sz w:val="20"/>
                <w:szCs w:val="20"/>
              </w:rPr>
              <w:t xml:space="preserve">Details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Vendors Involved in Incident</w:t>
            </w:r>
          </w:p>
        </w:tc>
        <w:tc>
          <w:tcPr>
            <w:tcW w:type="dxa" w:w="6360"/>
          </w:tcPr>
          <w:p>
            <w:pPr>
              <w:spacing w:after="30" w:before="30"/>
            </w:pPr>
            <w:r>
              <w:rPr>
                <w:rFonts w:ascii="Calibri" w:cs="Calibri" w:eastAsia="Calibri" w:hAnsi="Calibri"/>
                <w:b/>
                <w:bCs/>
                <w:i w:val="false"/>
                <w:iCs w:val="false"/>
                <w:color w:val="000000"/>
                <w:sz w:val="20"/>
                <w:szCs w:val="20"/>
              </w:rPr>
              <w:t xml:space="preserve">[LIST ALL THIRD-PARTY VENDORS WHOSE SYSTEMS OR DATA WERE AFFECTED]</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Vendor Role in Incident</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[DESCRIBE EACH VENDOR'S ROLE: SOURCE OF COMPROMISE, SHARED DATA, PROCESSING SERVICES]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Vendor Notification Status</w:t>
            </w:r>
          </w:p>
        </w:tc>
        <w:tc>
          <w:tcPr>
            <w:tcW w:type="dxa" w:w="6360"/>
          </w:tcPr>
          <w:p>
            <w:pPr>
              <w:spacing w:after="30" w:before="30"/>
            </w:pPr>
            <w:r>
              <w:rPr>
                <w:rFonts w:ascii="Calibri" w:cs="Calibri" w:eastAsia="Calibri" w:hAnsi="Calibri"/>
                <w:b/>
                <w:bCs/>
                <w:i w:val="false"/>
                <w:iCs w:val="false"/>
                <w:color w:val="000000"/>
                <w:sz w:val="20"/>
                <w:szCs w:val="20"/>
              </w:rPr>
              <w:t xml:space="preserve">[NOTIFIED / NOT YET NOTIFIED / N-A — FOR EACH VENDOR]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Vendor Contractual Obligations</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[SUMMARIZE RELEVANT DPA, SLA, AND SECURITY REQUIREMENTS FOR EACH VENDOR]</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Vendor Cooperation Status</w:t>
            </w:r>
          </w:p>
        </w:tc>
        <w:tc>
          <w:tcPr>
            <w:tcW w:type="dxa" w:w="6360"/>
          </w:tcPr>
          <w:p>
            <w:pPr>
              <w:spacing w:after="30" w:before="30"/>
            </w:pPr>
            <w:r>
              <w:rPr>
                <w:rFonts w:ascii="Calibri" w:cs="Calibri" w:eastAsia="Calibri" w:hAnsi="Calibri"/>
                <w:b/>
                <w:bCs/>
                <w:i w:val="false"/>
                <w:iCs w:val="false"/>
                <w:color w:val="000000"/>
                <w:sz w:val="20"/>
                <w:szCs w:val="20"/>
              </w:rPr>
              <w:t xml:space="preserve">[COOPERATING / NON-RESPONSIVE / DISPUTED — FOR EACH VENDOR]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Vendor Indemnification</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[DESCRIBE INDEMNIFICATION RIGHTS AND STATUS FOR EACH VENDOR]</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Subprocessors Affected</w:t>
            </w:r>
          </w:p>
        </w:tc>
        <w:tc>
          <w:tcPr>
            <w:tcW w:type="dxa" w:w="6360"/>
          </w:tcPr>
          <w:p>
            <w:pPr>
              <w:spacing w:after="30" w:before="30"/>
            </w:pPr>
            <w:r>
              <w:rPr>
                <w:rFonts w:ascii="Calibri" w:cs="Calibri" w:eastAsia="Calibri" w:hAnsi="Calibri"/>
                <w:b/>
                <w:bCs/>
                <w:i w:val="false"/>
                <w:iCs w:val="false"/>
                <w:color w:val="000000"/>
                <w:sz w:val="20"/>
                <w:szCs w:val="20"/>
              </w:rPr>
              <w:t xml:space="preserve">[LIST ANY VENDOR SUBPROCESSORS WHOSE SYSTEMS OR DATA WERE AFFECTED]</w:t>
            </w:r>
          </w:p>
        </w:tc>
      </w:tr>
    </w:tbl>
    <w:p>
      <w:pPr>
        <w:spacing w:after="200"/>
      </w:pPr>
    </w:p>
    <w:p>
      <w:pPr>
        <w:pStyle w:val="Heading2"/>
        <w:keepNext/>
        <w:spacing w:after="120" w:before="240"/>
      </w:pPr>
      <w:r>
        <w:rPr>
          <w:rFonts w:ascii="Calibri" w:cs="Calibri" w:eastAsia="Calibri" w:hAnsi="Calibri"/>
          <w:b/>
          <w:bCs/>
          <w:color w:val="1F3864"/>
          <w:sz w:val="26"/>
          <w:szCs w:val="26"/>
        </w:rPr>
        <w:t xml:space="preserve">Part 4: Evidence and Chain of Custody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400"/>
        <w:gridCol w:w="1100"/>
        <w:gridCol w:w="1000"/>
        <w:gridCol w:w="1060"/>
        <w:gridCol w:w="1400"/>
        <w:gridCol w:w="1300"/>
        <w:gridCol w:w="1400"/>
      </w:tblGrid>
      <w:tr>
        <w:trPr>
          <w:tblHeader/>
        </w:trPr>
        <w:tc>
          <w:tcPr>
            <w:tcW w:type="dxa" w:w="700"/>
            <w:shd w:fill="1F3864" w:color="auto" w:val="clear"/>
          </w:tcPr>
          <w:p>
            <w:pPr>
              <w:spacing w:after="60" w:before="60"/>
            </w:pPr>
            <w:r>
              <w:rPr>
                <w:rFonts w:ascii="Calibri" w:cs="Calibri" w:eastAsia="Calibri" w:hAnsi="Calibri"/>
                <w:b/>
                <w:bCs/>
                <w:color w:val="FFFFFF"/>
                <w:sz w:val="20"/>
                <w:szCs w:val="20"/>
              </w:rPr>
              <w:t xml:space="preserve">Evidence ID</w:t>
            </w:r>
          </w:p>
        </w:tc>
        <w:tc>
          <w:tcPr>
            <w:tcW w:type="dxa" w:w="1400"/>
            <w:shd w:fill="1F3864" w:color="auto" w:val="clear"/>
          </w:tcPr>
          <w:p>
            <w:pPr>
              <w:spacing w:after="60" w:before="60"/>
            </w:pPr>
            <w:r>
              <w:rPr>
                <w:rFonts w:ascii="Calibri" w:cs="Calibri" w:eastAsia="Calibri" w:hAnsi="Calibri"/>
                <w:b/>
                <w:bCs/>
                <w:color w:val="FFFFFF"/>
                <w:sz w:val="20"/>
                <w:szCs w:val="20"/>
              </w:rPr>
              <w:t xml:space="preserve">Description</w:t>
            </w:r>
          </w:p>
        </w:tc>
        <w:tc>
          <w:tcPr>
            <w:tcW w:type="dxa" w:w="1100"/>
            <w:shd w:fill="1F3864" w:color="auto" w:val="clear"/>
          </w:tcPr>
          <w:p>
            <w:pPr>
              <w:spacing w:after="60" w:before="60"/>
            </w:pPr>
            <w:r>
              <w:rPr>
                <w:rFonts w:ascii="Calibri" w:cs="Calibri" w:eastAsia="Calibri" w:hAnsi="Calibri"/>
                <w:b/>
                <w:bCs/>
                <w:color w:val="FFFFFF"/>
                <w:sz w:val="20"/>
                <w:szCs w:val="20"/>
              </w:rPr>
              <w:t xml:space="preserve">Source System</w:t>
            </w:r>
          </w:p>
        </w:tc>
        <w:tc>
          <w:tcPr>
            <w:tcW w:type="dxa" w:w="1000"/>
            <w:shd w:fill="1F3864" w:color="auto" w:val="clear"/>
          </w:tcPr>
          <w:p>
            <w:pPr>
              <w:spacing w:after="60" w:before="60"/>
            </w:pPr>
            <w:r>
              <w:rPr>
                <w:rFonts w:ascii="Calibri" w:cs="Calibri" w:eastAsia="Calibri" w:hAnsi="Calibri"/>
                <w:b/>
                <w:bCs/>
                <w:color w:val="FFFFFF"/>
                <w:sz w:val="20"/>
                <w:szCs w:val="20"/>
              </w:rPr>
              <w:t xml:space="preserve">Collected By</w:t>
            </w:r>
          </w:p>
        </w:tc>
        <w:tc>
          <w:tcPr>
            <w:tcW w:type="dxa" w:w="1060"/>
            <w:shd w:fill="1F3864" w:color="auto" w:val="clear"/>
          </w:tcPr>
          <w:p>
            <w:pPr>
              <w:spacing w:after="60" w:before="60"/>
            </w:pPr>
            <w:r>
              <w:rPr>
                <w:rFonts w:ascii="Calibri" w:cs="Calibri" w:eastAsia="Calibri" w:hAnsi="Calibri"/>
                <w:b/>
                <w:bCs/>
                <w:color w:val="FFFFFF"/>
                <w:sz w:val="20"/>
                <w:szCs w:val="20"/>
              </w:rPr>
              <w:t xml:space="preserve">Date/Time</w:t>
            </w:r>
          </w:p>
        </w:tc>
        <w:tc>
          <w:tcPr>
            <w:tcW w:type="dxa" w:w="1400"/>
            <w:shd w:fill="1F3864" w:color="auto" w:val="clear"/>
          </w:tcPr>
          <w:p>
            <w:pPr>
              <w:spacing w:after="60" w:before="60"/>
            </w:pPr>
            <w:r>
              <w:rPr>
                <w:rFonts w:ascii="Calibri" w:cs="Calibri" w:eastAsia="Calibri" w:hAnsi="Calibri"/>
                <w:b/>
                <w:bCs/>
                <w:color w:val="FFFFFF"/>
                <w:sz w:val="20"/>
                <w:szCs w:val="20"/>
              </w:rPr>
              <w:t xml:space="preserve">Hash (SHA-256)</w:t>
            </w:r>
          </w:p>
        </w:tc>
        <w:tc>
          <w:tcPr>
            <w:tcW w:type="dxa" w:w="1300"/>
            <w:shd w:fill="1F3864" w:color="auto" w:val="clear"/>
          </w:tcPr>
          <w:p>
            <w:pPr>
              <w:spacing w:after="60" w:before="60"/>
            </w:pPr>
            <w:r>
              <w:rPr>
                <w:rFonts w:ascii="Calibri" w:cs="Calibri" w:eastAsia="Calibri" w:hAnsi="Calibri"/>
                <w:b/>
                <w:bCs/>
                <w:color w:val="FFFFFF"/>
                <w:sz w:val="20"/>
                <w:szCs w:val="20"/>
              </w:rPr>
              <w:t xml:space="preserve">Storage Location</w:t>
            </w:r>
          </w:p>
        </w:tc>
        <w:tc>
          <w:tcPr>
            <w:tcW w:type="dxa" w:w="1400"/>
            <w:shd w:fill="1F3864" w:color="auto" w:val="clear"/>
          </w:tcPr>
          <w:p>
            <w:pPr>
              <w:spacing w:after="60" w:before="60"/>
            </w:pPr>
            <w:r>
              <w:rPr>
                <w:rFonts w:ascii="Calibri" w:cs="Calibri" w:eastAsia="Calibri" w:hAnsi="Calibri"/>
                <w:b/>
                <w:bCs/>
                <w:color w:val="FFFFFF"/>
                <w:sz w:val="20"/>
                <w:szCs w:val="20"/>
              </w:rPr>
              <w:t xml:space="preserve">Current Custodian</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E-001</w:t>
            </w:r>
          </w:p>
        </w:tc>
        <w:tc>
          <w:tcPr>
            <w:tcW w:type="dxa" w:w="1400"/>
          </w:tcPr>
          <w:p>
            <w:pPr>
              <w:spacing w:after="30" w:before="30"/>
            </w:pPr>
            <w:r>
              <w:rPr>
                <w:rFonts w:ascii="Calibri" w:cs="Calibri" w:eastAsia="Calibri" w:hAnsi="Calibri"/>
                <w:b/>
                <w:bCs/>
                <w:i w:val="false"/>
                <w:iCs w:val="false"/>
                <w:color w:val="000000"/>
                <w:sz w:val="20"/>
                <w:szCs w:val="20"/>
              </w:rPr>
              <w:t xml:space="preserve">[DESCRIPTION]</w:t>
            </w:r>
          </w:p>
        </w:tc>
        <w:tc>
          <w:tcPr>
            <w:tcW w:type="dxa" w:w="1100"/>
          </w:tcPr>
          <w:p>
            <w:pPr>
              <w:spacing w:after="30" w:before="30"/>
            </w:pPr>
            <w:r>
              <w:rPr>
                <w:rFonts w:ascii="Calibri" w:cs="Calibri" w:eastAsia="Calibri" w:hAnsi="Calibri"/>
                <w:b/>
                <w:bCs/>
                <w:i w:val="false"/>
                <w:iCs w:val="false"/>
                <w:color w:val="000000"/>
                <w:sz w:val="20"/>
                <w:szCs w:val="20"/>
              </w:rPr>
              <w:t xml:space="preserve">[SOURCE]</w:t>
            </w:r>
          </w:p>
        </w:tc>
        <w:tc>
          <w:tcPr>
            <w:tcW w:type="dxa" w:w="1000"/>
          </w:tcPr>
          <w:p>
            <w:pPr>
              <w:spacing w:after="30" w:before="30"/>
            </w:pPr>
            <w:r>
              <w:rPr>
                <w:rFonts w:ascii="Calibri" w:cs="Calibri" w:eastAsia="Calibri" w:hAnsi="Calibri"/>
                <w:b/>
                <w:bCs/>
                <w:i w:val="false"/>
                <w:iCs w:val="false"/>
                <w:color w:val="000000"/>
                <w:sz w:val="20"/>
                <w:szCs w:val="20"/>
              </w:rPr>
              <w:t xml:space="preserve">[NAME]</w:t>
            </w:r>
          </w:p>
        </w:tc>
        <w:tc>
          <w:tcPr>
            <w:tcW w:type="dxa" w:w="1060"/>
          </w:tcPr>
          <w:p>
            <w:pPr>
              <w:spacing w:after="30" w:before="30"/>
            </w:pPr>
            <w:r>
              <w:rPr>
                <w:rFonts w:ascii="Calibri" w:cs="Calibri" w:eastAsia="Calibri" w:hAnsi="Calibri"/>
                <w:b/>
                <w:bCs/>
                <w:i w:val="false"/>
                <w:iCs w:val="false"/>
                <w:color w:val="000000"/>
                <w:sz w:val="20"/>
                <w:szCs w:val="20"/>
              </w:rPr>
              <w:t xml:space="preserve">[DATE/TIME]</w:t>
            </w:r>
          </w:p>
        </w:tc>
        <w:tc>
          <w:tcPr>
            <w:tcW w:type="dxa" w:w="1400"/>
          </w:tcPr>
          <w:p>
            <w:pPr>
              <w:spacing w:after="30" w:before="30"/>
            </w:pPr>
            <w:r>
              <w:rPr>
                <w:rFonts w:ascii="Calibri" w:cs="Calibri" w:eastAsia="Calibri" w:hAnsi="Calibri"/>
                <w:b/>
                <w:bCs/>
                <w:i w:val="false"/>
                <w:iCs w:val="false"/>
                <w:color w:val="000000"/>
                <w:sz w:val="20"/>
                <w:szCs w:val="20"/>
              </w:rPr>
              <w:t xml:space="preserve">[HASH]</w:t>
            </w:r>
          </w:p>
        </w:tc>
        <w:tc>
          <w:tcPr>
            <w:tcW w:type="dxa" w:w="1300"/>
          </w:tcPr>
          <w:p>
            <w:pPr>
              <w:spacing w:after="30" w:before="30"/>
            </w:pPr>
            <w:r>
              <w:rPr>
                <w:rFonts w:ascii="Calibri" w:cs="Calibri" w:eastAsia="Calibri" w:hAnsi="Calibri"/>
                <w:b/>
                <w:bCs/>
                <w:i w:val="false"/>
                <w:iCs w:val="false"/>
                <w:color w:val="000000"/>
                <w:sz w:val="20"/>
                <w:szCs w:val="20"/>
              </w:rPr>
              <w:t xml:space="preserve">[LOCATION]</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r>
      <w:tr>
        <w:tc>
          <w:tcPr>
            <w:tcW w:type="dxa" w:w="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E-002</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[DESCRIPTION]</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[SOURCE]</w:t>
            </w:r>
          </w:p>
        </w:tc>
        <w:tc>
          <w:tcPr>
            <w:tcW w:type="dxa" w:w="10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060"/>
            <w:shd w:fill="F2F2F2" w:color="auto" w:val="clear"/>
          </w:tcPr>
          <w:p>
            <w:pPr>
              <w:spacing w:after="30" w:before="30"/>
            </w:pPr>
            <w:r>
              <w:rPr>
                <w:rFonts w:ascii="Calibri" w:cs="Calibri" w:eastAsia="Calibri" w:hAnsi="Calibri"/>
                <w:b/>
                <w:bCs/>
                <w:i w:val="false"/>
                <w:iCs w:val="false"/>
                <w:color w:val="000000"/>
                <w:sz w:val="20"/>
                <w:szCs w:val="20"/>
              </w:rPr>
              <w:t xml:space="preserve">[DATE/TIME]</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[HASH]</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[LOCATION]</w:t>
            </w:r>
          </w:p>
        </w:tc>
        <w:tc>
          <w:tcPr>
            <w:tcW w:type="dxa" w:w="14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r>
      <w:tr>
        <w:tc>
          <w:tcPr>
            <w:tcW w:type="dxa" w:w="700"/>
          </w:tcPr>
          <w:p>
            <w:pPr>
              <w:spacing w:after="30" w:before="30"/>
            </w:pPr>
            <w:r>
              <w:rPr>
                <w:rFonts w:ascii="Calibri" w:cs="Calibri" w:eastAsia="Calibri" w:hAnsi="Calibri"/>
                <w:b w:val="false"/>
                <w:bCs w:val="false"/>
                <w:i w:val="false"/>
                <w:iCs w:val="false"/>
                <w:color w:val="000000"/>
                <w:sz w:val="20"/>
                <w:szCs w:val="20"/>
              </w:rPr>
              <w:t xml:space="preserve">E-003</w:t>
            </w:r>
          </w:p>
        </w:tc>
        <w:tc>
          <w:tcPr>
            <w:tcW w:type="dxa" w:w="1400"/>
          </w:tcPr>
          <w:p>
            <w:pPr>
              <w:spacing w:after="30" w:before="30"/>
            </w:pPr>
            <w:r>
              <w:rPr>
                <w:rFonts w:ascii="Calibri" w:cs="Calibri" w:eastAsia="Calibri" w:hAnsi="Calibri"/>
                <w:b/>
                <w:bCs/>
                <w:i w:val="false"/>
                <w:iCs w:val="false"/>
                <w:color w:val="000000"/>
                <w:sz w:val="20"/>
                <w:szCs w:val="20"/>
              </w:rPr>
              <w:t xml:space="preserve">[DESCRIPTION]</w:t>
            </w:r>
          </w:p>
        </w:tc>
        <w:tc>
          <w:tcPr>
            <w:tcW w:type="dxa" w:w="1100"/>
          </w:tcPr>
          <w:p>
            <w:pPr>
              <w:spacing w:after="30" w:before="30"/>
            </w:pPr>
            <w:r>
              <w:rPr>
                <w:rFonts w:ascii="Calibri" w:cs="Calibri" w:eastAsia="Calibri" w:hAnsi="Calibri"/>
                <w:b/>
                <w:bCs/>
                <w:i w:val="false"/>
                <w:iCs w:val="false"/>
                <w:color w:val="000000"/>
                <w:sz w:val="20"/>
                <w:szCs w:val="20"/>
              </w:rPr>
              <w:t xml:space="preserve">[SOURCE]</w:t>
            </w:r>
          </w:p>
        </w:tc>
        <w:tc>
          <w:tcPr>
            <w:tcW w:type="dxa" w:w="1000"/>
          </w:tcPr>
          <w:p>
            <w:pPr>
              <w:spacing w:after="30" w:before="30"/>
            </w:pPr>
            <w:r>
              <w:rPr>
                <w:rFonts w:ascii="Calibri" w:cs="Calibri" w:eastAsia="Calibri" w:hAnsi="Calibri"/>
                <w:b/>
                <w:bCs/>
                <w:i w:val="false"/>
                <w:iCs w:val="false"/>
                <w:color w:val="000000"/>
                <w:sz w:val="20"/>
                <w:szCs w:val="20"/>
              </w:rPr>
              <w:t xml:space="preserve">[NAME]</w:t>
            </w:r>
          </w:p>
        </w:tc>
        <w:tc>
          <w:tcPr>
            <w:tcW w:type="dxa" w:w="1060"/>
          </w:tcPr>
          <w:p>
            <w:pPr>
              <w:spacing w:after="30" w:before="30"/>
            </w:pPr>
            <w:r>
              <w:rPr>
                <w:rFonts w:ascii="Calibri" w:cs="Calibri" w:eastAsia="Calibri" w:hAnsi="Calibri"/>
                <w:b/>
                <w:bCs/>
                <w:i w:val="false"/>
                <w:iCs w:val="false"/>
                <w:color w:val="000000"/>
                <w:sz w:val="20"/>
                <w:szCs w:val="20"/>
              </w:rPr>
              <w:t xml:space="preserve">[DATE/TIME]</w:t>
            </w:r>
          </w:p>
        </w:tc>
        <w:tc>
          <w:tcPr>
            <w:tcW w:type="dxa" w:w="1400"/>
          </w:tcPr>
          <w:p>
            <w:pPr>
              <w:spacing w:after="30" w:before="30"/>
            </w:pPr>
            <w:r>
              <w:rPr>
                <w:rFonts w:ascii="Calibri" w:cs="Calibri" w:eastAsia="Calibri" w:hAnsi="Calibri"/>
                <w:b/>
                <w:bCs/>
                <w:i w:val="false"/>
                <w:iCs w:val="false"/>
                <w:color w:val="000000"/>
                <w:sz w:val="20"/>
                <w:szCs w:val="20"/>
              </w:rPr>
              <w:t xml:space="preserve">[HASH]</w:t>
            </w:r>
          </w:p>
        </w:tc>
        <w:tc>
          <w:tcPr>
            <w:tcW w:type="dxa" w:w="1300"/>
          </w:tcPr>
          <w:p>
            <w:pPr>
              <w:spacing w:after="30" w:before="30"/>
            </w:pPr>
            <w:r>
              <w:rPr>
                <w:rFonts w:ascii="Calibri" w:cs="Calibri" w:eastAsia="Calibri" w:hAnsi="Calibri"/>
                <w:b/>
                <w:bCs/>
                <w:i w:val="false"/>
                <w:iCs w:val="false"/>
                <w:color w:val="000000"/>
                <w:sz w:val="20"/>
                <w:szCs w:val="20"/>
              </w:rPr>
              <w:t xml:space="preserve">[LOCATION]</w:t>
            </w:r>
          </w:p>
        </w:tc>
        <w:tc>
          <w:tcPr>
            <w:tcW w:type="dxa" w:w="1400"/>
          </w:tcPr>
          <w:p>
            <w:pPr>
              <w:spacing w:after="30" w:before="30"/>
            </w:pPr>
            <w:r>
              <w:rPr>
                <w:rFonts w:ascii="Calibri" w:cs="Calibri" w:eastAsia="Calibri" w:hAnsi="Calibri"/>
                <w:b/>
                <w:bCs/>
                <w:i w:val="false"/>
                <w:iCs w:val="false"/>
                <w:color w:val="000000"/>
                <w:sz w:val="20"/>
                <w:szCs w:val="20"/>
              </w:rPr>
              <w:t xml:space="preserve">[NAME]</w:t>
            </w:r>
          </w:p>
        </w:tc>
      </w:tr>
      <w:tr>
        <w:tc>
          <w:tcPr>
            <w:tcW w:type="dxa" w:w="7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1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06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3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c>
          <w:tcPr>
            <w:tcW w:type="dxa" w:w="14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t>
            </w:r>
          </w:p>
        </w:tc>
      </w:tr>
    </w:tbl>
    <w:p>
      <w:r>
        <w:br w:type="page"/>
      </w:r>
    </w:p>
    <w:p>
      <w:pPr>
        <w:pStyle w:val="Heading1"/>
        <w:spacing w:after="100" w:before="200"/>
        <w:jc w:val="center"/>
      </w:pPr>
      <w:r>
        <w:rPr>
          <w:rFonts w:ascii="Calibri" w:cs="Calibri" w:eastAsia="Calibri" w:hAnsi="Calibri"/>
          <w:b/>
          <w:bCs/>
          <w:color w:val="1F3864"/>
          <w:sz w:val="32"/>
          <w:szCs w:val="32"/>
        </w:rPr>
        <w:t xml:space="preserve">EXHIBIT F</w:t>
      </w:r>
    </w:p>
    <w:p>
      <w:pPr>
        <w:spacing w:after="300"/>
        <w:jc w:val="center"/>
      </w:pPr>
      <w:r>
        <w:rPr>
          <w:rFonts w:ascii="Calibri" w:cs="Calibri" w:eastAsia="Calibri" w:hAnsi="Calibri"/>
          <w:b/>
          <w:bCs/>
          <w:color w:val="1F3864"/>
          <w:sz w:val="28"/>
          <w:szCs w:val="28"/>
        </w:rPr>
        <w:t xml:space="preserve">COMMUNICATION TEMPLATES</w:t>
      </w:r>
    </w:p>
    <w:p>
      <w:pPr>
        <w:spacing w:after="120" w:line="276"/>
      </w:pPr>
      <w:r>
        <w:rPr>
          <w:rFonts w:ascii="Calibri" w:cs="Calibri" w:eastAsia="Calibri" w:hAnsi="Calibri"/>
          <w:b w:val="false"/>
          <w:bCs w:val="false"/>
          <w:i w:val="false"/>
          <w:iCs w:val="false"/>
          <w:color w:val="000000"/>
          <w:sz w:val="22"/>
          <w:szCs w:val="22"/>
        </w:rPr>
        <w:t xml:space="preserve">The following templates provide starting points for Incident-related communications. All communications must be customized to the specific Incident, reviewed by Legal Counsel, and approved pursuant to the approval process in Section 10.1.</w:t>
      </w:r>
    </w:p>
    <w:p>
      <w:pPr>
        <w:spacing w:after="200"/>
      </w:pPr>
    </w:p>
    <w:p>
      <w:pPr>
        <w:pStyle w:val="Heading2"/>
        <w:keepNext/>
        <w:spacing w:after="120" w:before="240"/>
      </w:pPr>
      <w:r>
        <w:rPr>
          <w:rFonts w:ascii="Calibri" w:cs="Calibri" w:eastAsia="Calibri" w:hAnsi="Calibri"/>
          <w:b/>
          <w:bCs/>
          <w:color w:val="1F3864"/>
          <w:sz w:val="26"/>
          <w:szCs w:val="26"/>
        </w:rPr>
        <w:t xml:space="preserve">Template 1: Internal Workforce Notification — Initial</w:t>
      </w:r>
    </w:p>
    <w:p>
      <w:pPr>
        <w:spacing w:after="120" w:line="276"/>
      </w:pPr>
      <w:r>
        <w:rPr>
          <w:rFonts w:ascii="Calibri" w:cs="Calibri" w:eastAsia="Calibri" w:hAnsi="Calibri"/>
          <w:b w:val="false"/>
          <w:bCs w:val="false"/>
          <w:i w:val="false"/>
          <w:iCs w:val="false"/>
          <w:color w:val="000000"/>
          <w:sz w:val="22"/>
          <w:szCs w:val="22"/>
        </w:rPr>
        <w:t xml:space="preserve">Subject: Security Incident — Action Required</w:t>
      </w:r>
    </w:p>
    <w:p>
      <w:pPr>
        <w:spacing w:after="200"/>
      </w:pPr>
    </w:p>
    <w:p>
      <w:pPr>
        <w:spacing w:after="120" w:line="276"/>
      </w:pP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has identified a security incident that </w:t>
      </w:r>
      <w:r>
        <w:rPr>
          <w:rFonts w:ascii="Calibri" w:cs="Calibri" w:eastAsia="Calibri" w:hAnsi="Calibri"/>
          <w:b/>
          <w:bCs/>
          <w:i w:val="false"/>
          <w:iCs w:val="false"/>
          <w:color w:val="000000"/>
          <w:sz w:val="22"/>
          <w:szCs w:val="22"/>
        </w:rPr>
        <w:t xml:space="preserve">[BRIEF DESCRIPTION OF IMPACT TO EMPLOYEES, E.G., "MAY AFFECT CERTAIN COMPANY SYSTEMS" OR "REQUIRES IMMEDIATE ACTION BY ALL EMPLOYEES"]</w:t>
      </w:r>
      <w:r>
        <w:rPr>
          <w:rFonts w:ascii="Calibri" w:cs="Calibri" w:eastAsia="Calibri" w:hAnsi="Calibri"/>
          <w:b w:val="false"/>
          <w:bCs w:val="false"/>
          <w:i w:val="false"/>
          <w:iCs w:val="false"/>
          <w:color w:val="000000"/>
          <w:sz w:val="22"/>
          <w:szCs w:val="22"/>
        </w:rPr>
        <w:t xml:space="preserve">. Our Incident Response Team has been activated and is working to contain and resolve the situation.</w:t>
      </w:r>
    </w:p>
    <w:p>
      <w:pPr>
        <w:spacing w:after="120" w:line="276"/>
      </w:pPr>
      <w:r>
        <w:rPr>
          <w:rFonts w:ascii="Calibri" w:cs="Calibri" w:eastAsia="Calibri" w:hAnsi="Calibri"/>
          <w:b w:val="false"/>
          <w:bCs w:val="false"/>
          <w:i w:val="false"/>
          <w:iCs w:val="false"/>
          <w:color w:val="000000"/>
          <w:sz w:val="22"/>
          <w:szCs w:val="22"/>
        </w:rPr>
        <w:t xml:space="preserve">Effective immediately, all employees are required to:</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[ACTION ITEM 1, E.G., RESET YOUR NETWORK PASSWORD USING THE FOLLOWING INSTRUCTIONS: ...]</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[ACTION ITEM 2, E.G., REPORT ANY SUSPICIOUS EMAILS, MESSAGES, OR SYSTEM BEHAVIOR TO SECURITY@COMPANY.COM]</w:t>
      </w:r>
    </w:p>
    <w:p>
      <w:pPr>
        <w:pStyle w:val="ListParagraph"/>
        <w:numPr>
          <w:ilvl w:val="0"/>
          <w:numId w:val="2"/>
        </w:numPr>
        <w:spacing w:after="60" w:line="276"/>
      </w:pPr>
      <w:r>
        <w:rPr>
          <w:rFonts w:ascii="Calibri" w:cs="Calibri" w:eastAsia="Calibri" w:hAnsi="Calibri"/>
          <w:b/>
          <w:bCs/>
          <w:i w:val="false"/>
          <w:iCs w:val="false"/>
          <w:color w:val="000000"/>
          <w:sz w:val="22"/>
          <w:szCs w:val="22"/>
        </w:rPr>
        <w:t xml:space="preserve">[ACTION ITEM 3, E.G., DO NOT DISCUSS THIS INCIDENT WITH EXTERNAL PARTIES, INCLUDING MEDIA, CUSTOMERS, OR ON SOCIAL MEDIA]</w:t>
      </w:r>
    </w:p>
    <w:p>
      <w:pPr>
        <w:spacing w:after="120" w:line="276"/>
      </w:pPr>
      <w:r>
        <w:rPr>
          <w:rFonts w:ascii="Calibri" w:cs="Calibri" w:eastAsia="Calibri" w:hAnsi="Calibri"/>
          <w:b w:val="false"/>
          <w:bCs w:val="false"/>
          <w:i w:val="false"/>
          <w:iCs w:val="false"/>
          <w:color w:val="000000"/>
          <w:sz w:val="22"/>
          <w:szCs w:val="22"/>
        </w:rPr>
        <w:t xml:space="preserve">If you receive any media inquiries, customer questions, or external requests for information about this incident, please forward them immediately to </w:t>
      </w:r>
      <w:r>
        <w:rPr>
          <w:rFonts w:ascii="Calibri" w:cs="Calibri" w:eastAsia="Calibri" w:hAnsi="Calibri"/>
          <w:b/>
          <w:bCs/>
          <w:i w:val="false"/>
          <w:iCs w:val="false"/>
          <w:color w:val="000000"/>
          <w:sz w:val="22"/>
          <w:szCs w:val="22"/>
        </w:rPr>
        <w:t xml:space="preserve">[MEDIA CONTACT/COMMUNICATIONS TEAM]</w:t>
      </w:r>
      <w:r>
        <w:rPr>
          <w:rFonts w:ascii="Calibri" w:cs="Calibri" w:eastAsia="Calibri" w:hAnsi="Calibri"/>
          <w:b w:val="false"/>
          <w:bCs w:val="false"/>
          <w:i w:val="false"/>
          <w:iCs w:val="false"/>
          <w:color w:val="000000"/>
          <w:sz w:val="22"/>
          <w:szCs w:val="22"/>
        </w:rPr>
        <w:t xml:space="preserve"> at </w:t>
      </w:r>
      <w:r>
        <w:rPr>
          <w:rFonts w:ascii="Calibri" w:cs="Calibri" w:eastAsia="Calibri" w:hAnsi="Calibri"/>
          <w:b/>
          <w:bCs/>
          <w:i w:val="false"/>
          <w:iCs w:val="false"/>
          <w:color w:val="000000"/>
          <w:sz w:val="22"/>
          <w:szCs w:val="22"/>
        </w:rPr>
        <w:t xml:space="preserve">[EMAIL/PHONE]</w:t>
      </w:r>
      <w:r>
        <w:rPr>
          <w:rFonts w:ascii="Calibri" w:cs="Calibri" w:eastAsia="Calibri" w:hAnsi="Calibri"/>
          <w:b w:val="false"/>
          <w:bCs w:val="false"/>
          <w:i w:val="false"/>
          <w:iCs w:val="false"/>
          <w:color w:val="000000"/>
          <w:sz w:val="22"/>
          <w:szCs w:val="22"/>
        </w:rPr>
        <w:t xml:space="preserve">. Do not respond independently.</w:t>
      </w:r>
    </w:p>
    <w:p>
      <w:pPr>
        <w:spacing w:after="120" w:line="276"/>
      </w:pPr>
      <w:r>
        <w:rPr>
          <w:rFonts w:ascii="Calibri" w:cs="Calibri" w:eastAsia="Calibri" w:hAnsi="Calibri"/>
          <w:b w:val="false"/>
          <w:bCs w:val="false"/>
          <w:i w:val="false"/>
          <w:iCs w:val="false"/>
          <w:color w:val="000000"/>
          <w:sz w:val="22"/>
          <w:szCs w:val="22"/>
        </w:rPr>
        <w:t xml:space="preserve">We will provide updates as more information becomes available. If you have questions, contact </w:t>
      </w:r>
      <w:r>
        <w:rPr>
          <w:rFonts w:ascii="Calibri" w:cs="Calibri" w:eastAsia="Calibri" w:hAnsi="Calibri"/>
          <w:b/>
          <w:bCs/>
          <w:i w:val="false"/>
          <w:iCs w:val="false"/>
          <w:color w:val="000000"/>
          <w:sz w:val="22"/>
          <w:szCs w:val="22"/>
        </w:rPr>
        <w:t xml:space="preserve">[INTERNAL CONTACT]</w:t>
      </w:r>
      <w:r>
        <w:rPr>
          <w:rFonts w:ascii="Calibri" w:cs="Calibri" w:eastAsia="Calibri" w:hAnsi="Calibri"/>
          <w:b w:val="false"/>
          <w:bCs w:val="false"/>
          <w:i w:val="false"/>
          <w:iCs w:val="false"/>
          <w:color w:val="000000"/>
          <w:sz w:val="22"/>
          <w:szCs w:val="22"/>
        </w:rPr>
        <w:t xml:space="preserve"> at </w:t>
      </w:r>
      <w:r>
        <w:rPr>
          <w:rFonts w:ascii="Calibri" w:cs="Calibri" w:eastAsia="Calibri" w:hAnsi="Calibri"/>
          <w:b/>
          <w:bCs/>
          <w:i w:val="false"/>
          <w:iCs w:val="false"/>
          <w:color w:val="000000"/>
          <w:sz w:val="22"/>
          <w:szCs w:val="22"/>
        </w:rPr>
        <w:t xml:space="preserve">[EMAIL/PHONE]</w:t>
      </w:r>
      <w:r>
        <w:rPr>
          <w:rFonts w:ascii="Calibri" w:cs="Calibri" w:eastAsia="Calibri" w:hAnsi="Calibri"/>
          <w:b w:val="false"/>
          <w:bCs w:val="false"/>
          <w:i w:val="false"/>
          <w:iCs w:val="false"/>
          <w:color w:val="000000"/>
          <w:sz w:val="22"/>
          <w:szCs w:val="22"/>
        </w:rPr>
        <w:t xml:space="preserve">.</w:t>
      </w:r>
    </w:p>
    <w:p>
      <w:pPr>
        <w:spacing w:after="200"/>
      </w:pPr>
    </w:p>
    <w:p>
      <w:pPr>
        <w:pStyle w:val="Heading2"/>
        <w:keepNext/>
        <w:spacing w:after="120" w:before="240"/>
      </w:pPr>
      <w:r>
        <w:rPr>
          <w:rFonts w:ascii="Calibri" w:cs="Calibri" w:eastAsia="Calibri" w:hAnsi="Calibri"/>
          <w:b/>
          <w:bCs/>
          <w:color w:val="1F3864"/>
          <w:sz w:val="26"/>
          <w:szCs w:val="26"/>
        </w:rPr>
        <w:t xml:space="preserve">Template 2: Customer Breach Notification Letter</w:t>
      </w:r>
    </w:p>
    <w:p>
      <w:pPr>
        <w:spacing w:after="120" w:line="276"/>
      </w:pPr>
      <w:r>
        <w:rPr>
          <w:rFonts w:ascii="Calibri" w:cs="Calibri" w:eastAsia="Calibri" w:hAnsi="Calibri"/>
          <w:b w:val="false"/>
          <w:bCs w:val="false"/>
          <w:i w:val="false"/>
          <w:iCs w:val="false"/>
          <w:color w:val="000000"/>
          <w:sz w:val="22"/>
          <w:szCs w:val="22"/>
        </w:rPr>
        <w:t xml:space="preserve">Dear </w:t>
      </w:r>
      <w:r>
        <w:rPr>
          <w:rFonts w:ascii="Calibri" w:cs="Calibri" w:eastAsia="Calibri" w:hAnsi="Calibri"/>
          <w:b/>
          <w:bCs/>
          <w:i w:val="false"/>
          <w:iCs w:val="false"/>
          <w:color w:val="000000"/>
          <w:sz w:val="22"/>
          <w:szCs w:val="22"/>
        </w:rPr>
        <w:t xml:space="preserve">[CUSTOMER NAME]</w:t>
      </w:r>
      <w:r>
        <w:rPr>
          <w:rFonts w:ascii="Calibri" w:cs="Calibri" w:eastAsia="Calibri" w:hAnsi="Calibri"/>
          <w:b w:val="false"/>
          <w:bCs w:val="false"/>
          <w:i w:val="false"/>
          <w:iCs w:val="false"/>
          <w:color w:val="000000"/>
          <w:sz w:val="22"/>
          <w:szCs w:val="22"/>
        </w:rPr>
        <w:t xml:space="preserve">,</w:t>
      </w:r>
    </w:p>
    <w:p>
      <w:pPr>
        <w:spacing w:after="200"/>
      </w:pPr>
    </w:p>
    <w:p>
      <w:pPr>
        <w:spacing w:after="120" w:line="276"/>
      </w:pPr>
      <w:r>
        <w:rPr>
          <w:rFonts w:ascii="Calibri" w:cs="Calibri" w:eastAsia="Calibri" w:hAnsi="Calibri"/>
          <w:b w:val="false"/>
          <w:bCs w:val="false"/>
          <w:i w:val="false"/>
          <w:iCs w:val="false"/>
          <w:color w:val="000000"/>
          <w:sz w:val="22"/>
          <w:szCs w:val="22"/>
        </w:rPr>
        <w:t xml:space="preserve">We are writing to inform you of a data security incident that may have involved your personal information. We take the protection of your information very seriously, and we want to provide you with information about what happened, what information was involved, what we are doing, and steps you can take to protect yourself.</w:t>
      </w:r>
    </w:p>
    <w:p>
      <w:pPr>
        <w:spacing w:after="120" w:line="276"/>
      </w:pPr>
      <w:r>
        <w:rPr>
          <w:rFonts w:ascii="Calibri" w:cs="Calibri" w:eastAsia="Calibri" w:hAnsi="Calibri"/>
          <w:b w:val="false"/>
          <w:bCs w:val="false"/>
          <w:i w:val="false"/>
          <w:iCs w:val="false"/>
          <w:color w:val="000000"/>
          <w:sz w:val="22"/>
          <w:szCs w:val="22"/>
        </w:rPr>
        <w:t xml:space="preserve">What Happened. </w:t>
      </w:r>
      <w:r>
        <w:rPr>
          <w:rFonts w:ascii="Calibri" w:cs="Calibri" w:eastAsia="Calibri" w:hAnsi="Calibri"/>
          <w:b/>
          <w:bCs/>
          <w:i w:val="false"/>
          <w:iCs w:val="false"/>
          <w:color w:val="000000"/>
          <w:sz w:val="22"/>
          <w:szCs w:val="22"/>
        </w:rPr>
        <w:t xml:space="preserve">[DESCRIBE THE INCIDENT IN PLAIN LANGUAGE: WHAT OCCURRED, HOW IT WAS DISCOVERED, AND THE APPROXIMATE DATES OF THE INCIDENT AND DISCOVERY.]</w:t>
      </w:r>
    </w:p>
    <w:p>
      <w:pPr>
        <w:spacing w:after="120" w:line="276"/>
      </w:pPr>
      <w:r>
        <w:rPr>
          <w:rFonts w:ascii="Calibri" w:cs="Calibri" w:eastAsia="Calibri" w:hAnsi="Calibri"/>
          <w:b w:val="false"/>
          <w:bCs w:val="false"/>
          <w:i w:val="false"/>
          <w:iCs w:val="false"/>
          <w:color w:val="000000"/>
          <w:sz w:val="22"/>
          <w:szCs w:val="22"/>
        </w:rPr>
        <w:t xml:space="preserve">What Information Was Involved. </w:t>
      </w:r>
      <w:r>
        <w:rPr>
          <w:rFonts w:ascii="Calibri" w:cs="Calibri" w:eastAsia="Calibri" w:hAnsi="Calibri"/>
          <w:b/>
          <w:bCs/>
          <w:i w:val="false"/>
          <w:iCs w:val="false"/>
          <w:color w:val="000000"/>
          <w:sz w:val="22"/>
          <w:szCs w:val="22"/>
        </w:rPr>
        <w:t xml:space="preserve">[DESCRIBE THE CATEGORIES OF PERSONAL INFORMATION INVOLVED, E.G., "THE INFORMATION THAT MAY HAVE BEEN ACCESSED INCLUDES YOUR NAME, EMAIL ADDRESS, AND [OTHER DATA ELEMENTS]</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What We Are Doing. Upon discovering the incident, we immediately </w:t>
      </w:r>
      <w:r>
        <w:rPr>
          <w:rFonts w:ascii="Calibri" w:cs="Calibri" w:eastAsia="Calibri" w:hAnsi="Calibri"/>
          <w:b/>
          <w:bCs/>
          <w:i w:val="false"/>
          <w:iCs w:val="false"/>
          <w:color w:val="000000"/>
          <w:sz w:val="22"/>
          <w:szCs w:val="22"/>
        </w:rPr>
        <w:t xml:space="preserve">[DESCRIBE ACTIONS TAKEN: LAUNCHED AN INVESTIGATION, ENGAGED A LEADING CYBERSECURITY FIRM, NOTIFIED LAW ENFORCEMENT, IMPLEMENTED ADDITIONAL SECURITY MEASURES, ETC.]</w:t>
      </w:r>
      <w:r>
        <w:rPr>
          <w:rFonts w:ascii="Calibri" w:cs="Calibri" w:eastAsia="Calibri" w:hAnsi="Calibri"/>
          <w:b w:val="false"/>
          <w:bCs w:val="false"/>
          <w:i w:val="false"/>
          <w:iCs w:val="false"/>
          <w:color w:val="000000"/>
          <w:sz w:val="22"/>
          <w:szCs w:val="22"/>
        </w:rPr>
        <w:t xml:space="preserve">. We have also </w:t>
      </w:r>
      <w:r>
        <w:rPr>
          <w:rFonts w:ascii="Calibri" w:cs="Calibri" w:eastAsia="Calibri" w:hAnsi="Calibri"/>
          <w:b/>
          <w:bCs/>
          <w:i w:val="false"/>
          <w:iCs w:val="false"/>
          <w:color w:val="000000"/>
          <w:sz w:val="22"/>
          <w:szCs w:val="22"/>
        </w:rPr>
        <w:t xml:space="preserve">[DESCRIBE REMEDIATION MEASURES: RESET AFFECTED PASSWORDS, ENHANCED MONITORING, PATCHED THE VULNERABILITY, ETC.]</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What You Can Do. We recommend that you take the following steps to protect yourself: </w:t>
      </w:r>
      <w:r>
        <w:rPr>
          <w:rFonts w:ascii="Calibri" w:cs="Calibri" w:eastAsia="Calibri" w:hAnsi="Calibri"/>
          <w:b/>
          <w:bCs/>
          <w:i w:val="false"/>
          <w:iCs w:val="false"/>
          <w:color w:val="000000"/>
          <w:sz w:val="22"/>
          <w:szCs w:val="22"/>
        </w:rPr>
        <w:t xml:space="preserve">[DESCRIBE RECOMMENDED ACTIONS, E.G., CHANGE YOUR PASSWORD, MONITOR YOUR ACCOUNTS, REVIEW YOUR CREDIT REPORTS, PLACE A FRAUD ALERT OR CREDIT FREEZE]</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Complimentary Credit Monitoring. We are offering you </w:t>
      </w:r>
      <w:r>
        <w:rPr>
          <w:rFonts w:ascii="Calibri" w:cs="Calibri" w:eastAsia="Calibri" w:hAnsi="Calibri"/>
          <w:b/>
          <w:bCs/>
          <w:i w:val="false"/>
          <w:iCs w:val="false"/>
          <w:color w:val="000000"/>
          <w:sz w:val="22"/>
          <w:szCs w:val="22"/>
        </w:rPr>
        <w:t xml:space="preserve">[DURATION, E.G., 24 MONTHS]</w:t>
      </w:r>
      <w:r>
        <w:rPr>
          <w:rFonts w:ascii="Calibri" w:cs="Calibri" w:eastAsia="Calibri" w:hAnsi="Calibri"/>
          <w:b w:val="false"/>
          <w:bCs w:val="false"/>
          <w:i w:val="false"/>
          <w:iCs w:val="false"/>
          <w:color w:val="000000"/>
          <w:sz w:val="22"/>
          <w:szCs w:val="22"/>
        </w:rPr>
        <w:t xml:space="preserve"> of complimentary credit monitoring and identity-theft protection services through </w:t>
      </w:r>
      <w:r>
        <w:rPr>
          <w:rFonts w:ascii="Calibri" w:cs="Calibri" w:eastAsia="Calibri" w:hAnsi="Calibri"/>
          <w:b/>
          <w:bCs/>
          <w:i w:val="false"/>
          <w:iCs w:val="false"/>
          <w:color w:val="000000"/>
          <w:sz w:val="22"/>
          <w:szCs w:val="22"/>
        </w:rPr>
        <w:t xml:space="preserve">[VENDOR NAME]</w:t>
      </w:r>
      <w:r>
        <w:rPr>
          <w:rFonts w:ascii="Calibri" w:cs="Calibri" w:eastAsia="Calibri" w:hAnsi="Calibri"/>
          <w:b w:val="false"/>
          <w:bCs w:val="false"/>
          <w:i w:val="false"/>
          <w:iCs w:val="false"/>
          <w:color w:val="000000"/>
          <w:sz w:val="22"/>
          <w:szCs w:val="22"/>
        </w:rPr>
        <w:t xml:space="preserve">. To enroll, please </w:t>
      </w:r>
      <w:r>
        <w:rPr>
          <w:rFonts w:ascii="Calibri" w:cs="Calibri" w:eastAsia="Calibri" w:hAnsi="Calibri"/>
          <w:b/>
          <w:bCs/>
          <w:i w:val="false"/>
          <w:iCs w:val="false"/>
          <w:color w:val="000000"/>
          <w:sz w:val="22"/>
          <w:szCs w:val="22"/>
        </w:rPr>
        <w:t xml:space="preserve">[DESCRIBE ENROLLMENT PROCESS AND PROVIDE ENROLLMENT CODE/LINK]</w:t>
      </w:r>
      <w:r>
        <w:rPr>
          <w:rFonts w:ascii="Calibri" w:cs="Calibri" w:eastAsia="Calibri" w:hAnsi="Calibri"/>
          <w:b w:val="false"/>
          <w:bCs w:val="false"/>
          <w:i w:val="false"/>
          <w:iCs w:val="false"/>
          <w:color w:val="000000"/>
          <w:sz w:val="22"/>
          <w:szCs w:val="22"/>
        </w:rPr>
        <w:t xml:space="preserve">.</w:t>
      </w:r>
    </w:p>
    <w:p>
      <w:pPr>
        <w:spacing w:after="120" w:line="276"/>
      </w:pPr>
      <w:r>
        <w:rPr>
          <w:rFonts w:ascii="Calibri" w:cs="Calibri" w:eastAsia="Calibri" w:hAnsi="Calibri"/>
          <w:b w:val="false"/>
          <w:bCs w:val="false"/>
          <w:i w:val="false"/>
          <w:iCs w:val="false"/>
          <w:color w:val="000000"/>
          <w:sz w:val="22"/>
          <w:szCs w:val="22"/>
        </w:rPr>
        <w:t xml:space="preserve">For More Information. If you have questions about this incident or need additional assistance, please contact our dedicated response line at </w:t>
      </w:r>
      <w:r>
        <w:rPr>
          <w:rFonts w:ascii="Calibri" w:cs="Calibri" w:eastAsia="Calibri" w:hAnsi="Calibri"/>
          <w:b/>
          <w:bCs/>
          <w:i w:val="false"/>
          <w:iCs w:val="false"/>
          <w:color w:val="000000"/>
          <w:sz w:val="22"/>
          <w:szCs w:val="22"/>
        </w:rPr>
        <w:t xml:space="preserve">[PHONE NUMBER]</w:t>
      </w:r>
      <w:r>
        <w:rPr>
          <w:rFonts w:ascii="Calibri" w:cs="Calibri" w:eastAsia="Calibri" w:hAnsi="Calibri"/>
          <w:b w:val="false"/>
          <w:bCs w:val="false"/>
          <w:i w:val="false"/>
          <w:iCs w:val="false"/>
          <w:color w:val="000000"/>
          <w:sz w:val="22"/>
          <w:szCs w:val="22"/>
        </w:rPr>
        <w:t xml:space="preserve">, available </w:t>
      </w:r>
      <w:r>
        <w:rPr>
          <w:rFonts w:ascii="Calibri" w:cs="Calibri" w:eastAsia="Calibri" w:hAnsi="Calibri"/>
          <w:b/>
          <w:bCs/>
          <w:i w:val="false"/>
          <w:iCs w:val="false"/>
          <w:color w:val="000000"/>
          <w:sz w:val="22"/>
          <w:szCs w:val="22"/>
        </w:rPr>
        <w:t xml:space="preserve">[HOURS OF OPERATION]</w:t>
      </w:r>
      <w:r>
        <w:rPr>
          <w:rFonts w:ascii="Calibri" w:cs="Calibri" w:eastAsia="Calibri" w:hAnsi="Calibri"/>
          <w:b w:val="false"/>
          <w:bCs w:val="false"/>
          <w:i w:val="false"/>
          <w:iCs w:val="false"/>
          <w:color w:val="000000"/>
          <w:sz w:val="22"/>
          <w:szCs w:val="22"/>
        </w:rPr>
        <w:t xml:space="preserve">, or email us at </w:t>
      </w:r>
      <w:r>
        <w:rPr>
          <w:rFonts w:ascii="Calibri" w:cs="Calibri" w:eastAsia="Calibri" w:hAnsi="Calibri"/>
          <w:b/>
          <w:bCs/>
          <w:i w:val="false"/>
          <w:iCs w:val="false"/>
          <w:color w:val="000000"/>
          <w:sz w:val="22"/>
          <w:szCs w:val="22"/>
        </w:rPr>
        <w:t xml:space="preserve">[EMAIL ADDRESS]</w:t>
      </w:r>
      <w:r>
        <w:rPr>
          <w:rFonts w:ascii="Calibri" w:cs="Calibri" w:eastAsia="Calibri" w:hAnsi="Calibri"/>
          <w:b w:val="false"/>
          <w:bCs w:val="false"/>
          <w:i w:val="false"/>
          <w:iCs w:val="false"/>
          <w:color w:val="000000"/>
          <w:sz w:val="22"/>
          <w:szCs w:val="22"/>
        </w:rPr>
        <w:t xml:space="preserve">. You may also visit </w:t>
      </w:r>
      <w:r>
        <w:rPr>
          <w:rFonts w:ascii="Calibri" w:cs="Calibri" w:eastAsia="Calibri" w:hAnsi="Calibri"/>
          <w:b/>
          <w:bCs/>
          <w:i w:val="false"/>
          <w:iCs w:val="false"/>
          <w:color w:val="000000"/>
          <w:sz w:val="22"/>
          <w:szCs w:val="22"/>
        </w:rPr>
        <w:t xml:space="preserve">[WEBSITE URL]</w:t>
      </w:r>
      <w:r>
        <w:rPr>
          <w:rFonts w:ascii="Calibri" w:cs="Calibri" w:eastAsia="Calibri" w:hAnsi="Calibri"/>
          <w:b w:val="false"/>
          <w:bCs w:val="false"/>
          <w:i w:val="false"/>
          <w:iCs w:val="false"/>
          <w:color w:val="000000"/>
          <w:sz w:val="22"/>
          <w:szCs w:val="22"/>
        </w:rPr>
        <w:t xml:space="preserve"> for additional information and frequently asked questions.</w:t>
      </w:r>
    </w:p>
    <w:p>
      <w:pPr>
        <w:spacing w:after="120" w:line="276"/>
      </w:pPr>
      <w:r>
        <w:rPr>
          <w:rFonts w:ascii="Calibri" w:cs="Calibri" w:eastAsia="Calibri" w:hAnsi="Calibri"/>
          <w:b w:val="false"/>
          <w:bCs w:val="false"/>
          <w:i w:val="false"/>
          <w:iCs w:val="false"/>
          <w:color w:val="000000"/>
          <w:sz w:val="22"/>
          <w:szCs w:val="22"/>
        </w:rPr>
        <w:t xml:space="preserve">We sincerely regret any inconvenience or concern this incident may cause and remain committed to protecting the security and privacy of your information.</w:t>
      </w:r>
    </w:p>
    <w:p>
      <w:pPr>
        <w:spacing w:after="200"/>
      </w:pPr>
    </w:p>
    <w:p>
      <w:pPr>
        <w:spacing w:after="120" w:line="276"/>
      </w:pPr>
      <w:r>
        <w:rPr>
          <w:rFonts w:ascii="Calibri" w:cs="Calibri" w:eastAsia="Calibri" w:hAnsi="Calibri"/>
          <w:b w:val="false"/>
          <w:bCs w:val="false"/>
          <w:i w:val="false"/>
          <w:iCs w:val="false"/>
          <w:color w:val="000000"/>
          <w:sz w:val="22"/>
          <w:szCs w:val="22"/>
        </w:rPr>
        <w:t xml:space="preserve">Sincerely,</w:t>
      </w:r>
    </w:p>
    <w:p>
      <w:pPr>
        <w:spacing w:after="120" w:line="276"/>
      </w:pPr>
      <w:r>
        <w:rPr>
          <w:rFonts w:ascii="Calibri" w:cs="Calibri" w:eastAsia="Calibri" w:hAnsi="Calibri"/>
          <w:b/>
          <w:bCs/>
          <w:i w:val="false"/>
          <w:iCs w:val="false"/>
          <w:color w:val="000000"/>
          <w:sz w:val="22"/>
          <w:szCs w:val="22"/>
        </w:rPr>
        <w:t xml:space="preserve">[NAME]</w:t>
      </w:r>
    </w:p>
    <w:p>
      <w:pPr>
        <w:spacing w:after="120" w:line="276"/>
      </w:pPr>
      <w:r>
        <w:rPr>
          <w:rFonts w:ascii="Calibri" w:cs="Calibri" w:eastAsia="Calibri" w:hAnsi="Calibri"/>
          <w:b/>
          <w:bCs/>
          <w:i w:val="false"/>
          <w:iCs w:val="false"/>
          <w:color w:val="000000"/>
          <w:sz w:val="22"/>
          <w:szCs w:val="22"/>
        </w:rPr>
        <w:t xml:space="preserve">[TITLE]</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[COMPANY NAME]</w:t>
      </w:r>
    </w:p>
    <w:p>
      <w:pPr>
        <w:spacing w:after="200"/>
      </w:pPr>
    </w:p>
    <w:p>
      <w:pPr>
        <w:pStyle w:val="Heading2"/>
        <w:keepNext/>
        <w:spacing w:after="120" w:before="240"/>
      </w:pPr>
      <w:r>
        <w:rPr>
          <w:rFonts w:ascii="Calibri" w:cs="Calibri" w:eastAsia="Calibri" w:hAnsi="Calibri"/>
          <w:b/>
          <w:bCs/>
          <w:color w:val="1F3864"/>
          <w:sz w:val="26"/>
          <w:szCs w:val="26"/>
        </w:rPr>
        <w:t xml:space="preserve">Template 3: Regulatory Notification — State Attorney General</w:t>
      </w:r>
    </w:p>
    <w:p>
      <w:pPr>
        <w:spacing w:after="120" w:line="276"/>
      </w:pPr>
      <w:r>
        <w:rPr>
          <w:rFonts w:ascii="Calibri" w:cs="Calibri" w:eastAsia="Calibri" w:hAnsi="Calibri"/>
          <w:b w:val="false"/>
          <w:bCs w:val="false"/>
          <w:i w:val="false"/>
          <w:iCs w:val="false"/>
          <w:color w:val="000000"/>
          <w:sz w:val="22"/>
          <w:szCs w:val="22"/>
        </w:rPr>
        <w:t xml:space="preserve">This template must be customized to comply with the specific statutory requirements of each applicable jurisdiction. Legal Counsel will identify the required content elements for each state notification.</w:t>
      </w:r>
    </w:p>
    <w:p>
      <w:pPr>
        <w:spacing w:after="200"/>
      </w:pPr>
    </w:p>
    <w:p>
      <w:pPr>
        <w:spacing w:after="120" w:line="276"/>
      </w:pPr>
      <w:r>
        <w:rPr>
          <w:rFonts w:ascii="Calibri" w:cs="Calibri" w:eastAsia="Calibri" w:hAnsi="Calibri"/>
          <w:b/>
          <w:bCs/>
          <w:i w:val="false"/>
          <w:iCs w:val="false"/>
          <w:color w:val="000000"/>
          <w:sz w:val="22"/>
          <w:szCs w:val="22"/>
        </w:rPr>
        <w:t xml:space="preserve">[DATE]</w:t>
      </w:r>
    </w:p>
    <w:p>
      <w:pPr>
        <w:spacing w:after="200"/>
      </w:pPr>
    </w:p>
    <w:p>
      <w:pPr>
        <w:spacing w:after="120" w:line="276"/>
      </w:pPr>
      <w:r>
        <w:rPr>
          <w:rFonts w:ascii="Calibri" w:cs="Calibri" w:eastAsia="Calibri" w:hAnsi="Calibri"/>
          <w:b/>
          <w:bCs/>
          <w:i w:val="false"/>
          <w:iCs w:val="false"/>
          <w:color w:val="000000"/>
          <w:sz w:val="22"/>
          <w:szCs w:val="22"/>
        </w:rPr>
        <w:t xml:space="preserve">[STATE]</w:t>
      </w:r>
      <w:r>
        <w:rPr>
          <w:rFonts w:ascii="Calibri" w:cs="Calibri" w:eastAsia="Calibri" w:hAnsi="Calibri"/>
          <w:b w:val="false"/>
          <w:bCs w:val="false"/>
          <w:i w:val="false"/>
          <w:iCs w:val="false"/>
          <w:color w:val="000000"/>
          <w:sz w:val="22"/>
          <w:szCs w:val="22"/>
        </w:rPr>
        <w:t xml:space="preserve"> Attorney General</w:t>
      </w:r>
    </w:p>
    <w:p>
      <w:pPr>
        <w:spacing w:after="120" w:line="276"/>
      </w:pPr>
      <w:r>
        <w:rPr>
          <w:rFonts w:ascii="Calibri" w:cs="Calibri" w:eastAsia="Calibri" w:hAnsi="Calibri"/>
          <w:b/>
          <w:bCs/>
          <w:i w:val="false"/>
          <w:iCs w:val="false"/>
          <w:color w:val="000000"/>
          <w:sz w:val="22"/>
          <w:szCs w:val="22"/>
        </w:rPr>
        <w:t xml:space="preserve">[ADDRESS]</w:t>
      </w:r>
    </w:p>
    <w:p>
      <w:pPr>
        <w:spacing w:after="200"/>
      </w:pPr>
    </w:p>
    <w:p>
      <w:pPr>
        <w:spacing w:after="120" w:line="276"/>
      </w:pPr>
      <w:r>
        <w:rPr>
          <w:rFonts w:ascii="Calibri" w:cs="Calibri" w:eastAsia="Calibri" w:hAnsi="Calibri"/>
          <w:b w:val="false"/>
          <w:bCs w:val="false"/>
          <w:i w:val="false"/>
          <w:iCs w:val="false"/>
          <w:color w:val="000000"/>
          <w:sz w:val="22"/>
          <w:szCs w:val="22"/>
        </w:rPr>
        <w:t xml:space="preserve">Re: Data Breach Notification Pursuant to </w:t>
      </w:r>
      <w:r>
        <w:rPr>
          <w:rFonts w:ascii="Calibri" w:cs="Calibri" w:eastAsia="Calibri" w:hAnsi="Calibri"/>
          <w:b/>
          <w:bCs/>
          <w:i w:val="false"/>
          <w:iCs w:val="false"/>
          <w:color w:val="000000"/>
          <w:sz w:val="22"/>
          <w:szCs w:val="22"/>
        </w:rPr>
        <w:t xml:space="preserve">[STATE STATUTE CITATION]</w:t>
      </w:r>
    </w:p>
    <w:p>
      <w:pPr>
        <w:spacing w:after="200"/>
      </w:pPr>
    </w:p>
    <w:p>
      <w:pPr>
        <w:spacing w:after="120" w:line="276"/>
      </w:pPr>
      <w:r>
        <w:rPr>
          <w:rFonts w:ascii="Calibri" w:cs="Calibri" w:eastAsia="Calibri" w:hAnsi="Calibri"/>
          <w:b w:val="false"/>
          <w:bCs w:val="false"/>
          <w:i w:val="false"/>
          <w:iCs w:val="false"/>
          <w:color w:val="000000"/>
          <w:sz w:val="22"/>
          <w:szCs w:val="22"/>
        </w:rPr>
        <w:t xml:space="preserve">Dear </w:t>
      </w:r>
      <w:r>
        <w:rPr>
          <w:rFonts w:ascii="Calibri" w:cs="Calibri" w:eastAsia="Calibri" w:hAnsi="Calibri"/>
          <w:b/>
          <w:bCs/>
          <w:i w:val="false"/>
          <w:iCs w:val="false"/>
          <w:color w:val="000000"/>
          <w:sz w:val="22"/>
          <w:szCs w:val="22"/>
        </w:rPr>
        <w:t xml:space="preserve">[TITLE]</w:t>
      </w:r>
      <w:r>
        <w:rPr>
          <w:rFonts w:ascii="Calibri" w:cs="Calibri" w:eastAsia="Calibri" w:hAnsi="Calibri"/>
          <w:b w:val="false"/>
          <w:bCs w:val="false"/>
          <w:i w:val="false"/>
          <w:iCs w:val="false"/>
          <w:color w:val="000000"/>
          <w:sz w:val="22"/>
          <w:szCs w:val="22"/>
        </w:rPr>
        <w:t xml:space="preserve">:</w:t>
      </w:r>
    </w:p>
    <w:p>
      <w:pPr>
        <w:spacing w:after="200"/>
      </w:pPr>
    </w:p>
    <w:p>
      <w:pPr>
        <w:spacing w:after="120" w:line="276"/>
      </w:pP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writes to notify your office of a data security incident pursuant to </w:t>
      </w:r>
      <w:r>
        <w:rPr>
          <w:rFonts w:ascii="Calibri" w:cs="Calibri" w:eastAsia="Calibri" w:hAnsi="Calibri"/>
          <w:b/>
          <w:bCs/>
          <w:i w:val="false"/>
          <w:iCs w:val="false"/>
          <w:color w:val="000000"/>
          <w:sz w:val="22"/>
          <w:szCs w:val="22"/>
        </w:rPr>
        <w:t xml:space="preserve">[STATE STATUTE CITATION]</w:t>
      </w:r>
      <w:r>
        <w:rPr>
          <w:rFonts w:ascii="Calibri" w:cs="Calibri" w:eastAsia="Calibri" w:hAnsi="Calibri"/>
          <w:b w:val="false"/>
          <w:bCs w:val="false"/>
          <w:i w:val="false"/>
          <w:iCs w:val="false"/>
          <w:color w:val="000000"/>
          <w:sz w:val="22"/>
          <w:szCs w:val="22"/>
        </w:rPr>
        <w:t xml:space="preserve">. The following information is provided in accordance with the requirements of that statute: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Nature of the Incident: </w:t>
      </w:r>
      <w:r>
        <w:rPr>
          <w:rFonts w:ascii="Calibri" w:cs="Calibri" w:eastAsia="Calibri" w:hAnsi="Calibri"/>
          <w:b/>
          <w:bCs/>
          <w:i w:val="false"/>
          <w:iCs w:val="false"/>
          <w:color w:val="000000"/>
          <w:sz w:val="22"/>
          <w:szCs w:val="22"/>
        </w:rPr>
        <w:t xml:space="preserve">[DESCRIPTION]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of the Incident: </w:t>
      </w:r>
      <w:r>
        <w:rPr>
          <w:rFonts w:ascii="Calibri" w:cs="Calibri" w:eastAsia="Calibri" w:hAnsi="Calibri"/>
          <w:b/>
          <w:bCs/>
          <w:i w:val="false"/>
          <w:iCs w:val="false"/>
          <w:color w:val="000000"/>
          <w:sz w:val="22"/>
          <w:szCs w:val="22"/>
        </w:rPr>
        <w:t xml:space="preserve">[DATE RANGE]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Date of Discovery: </w:t>
      </w:r>
      <w:r>
        <w:rPr>
          <w:rFonts w:ascii="Calibri" w:cs="Calibri" w:eastAsia="Calibri" w:hAnsi="Calibri"/>
          <w:b/>
          <w:bCs/>
          <w:i w:val="false"/>
          <w:iCs w:val="false"/>
          <w:color w:val="000000"/>
          <w:sz w:val="22"/>
          <w:szCs w:val="22"/>
        </w:rPr>
        <w:t xml:space="preserve">[DATE]</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Number of </w:t>
      </w:r>
      <w:r>
        <w:rPr>
          <w:rFonts w:ascii="Calibri" w:cs="Calibri" w:eastAsia="Calibri" w:hAnsi="Calibri"/>
          <w:b/>
          <w:bCs/>
          <w:i w:val="false"/>
          <w:iCs w:val="false"/>
          <w:color w:val="000000"/>
          <w:sz w:val="22"/>
          <w:szCs w:val="22"/>
        </w:rPr>
        <w:t xml:space="preserve">[STATE]</w:t>
      </w:r>
      <w:r>
        <w:rPr>
          <w:rFonts w:ascii="Calibri" w:cs="Calibri" w:eastAsia="Calibri" w:hAnsi="Calibri"/>
          <w:b w:val="false"/>
          <w:bCs w:val="false"/>
          <w:i w:val="false"/>
          <w:iCs w:val="false"/>
          <w:color w:val="000000"/>
          <w:sz w:val="22"/>
          <w:szCs w:val="22"/>
        </w:rPr>
        <w:t xml:space="preserve"> Residents Affected: </w:t>
      </w:r>
      <w:r>
        <w:rPr>
          <w:rFonts w:ascii="Calibri" w:cs="Calibri" w:eastAsia="Calibri" w:hAnsi="Calibri"/>
          <w:b/>
          <w:bCs/>
          <w:i w:val="false"/>
          <w:iCs w:val="false"/>
          <w:color w:val="000000"/>
          <w:sz w:val="22"/>
          <w:szCs w:val="22"/>
        </w:rPr>
        <w:t xml:space="preserve">[NUMBER]</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Categories of Personal Information Involved: </w:t>
      </w:r>
      <w:r>
        <w:rPr>
          <w:rFonts w:ascii="Calibri" w:cs="Calibri" w:eastAsia="Calibri" w:hAnsi="Calibri"/>
          <w:b/>
          <w:bCs/>
          <w:i w:val="false"/>
          <w:iCs w:val="false"/>
          <w:color w:val="000000"/>
          <w:sz w:val="22"/>
          <w:szCs w:val="22"/>
        </w:rPr>
        <w:t xml:space="preserve">[LIST]</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Actions Taken in Response: </w:t>
      </w:r>
      <w:r>
        <w:rPr>
          <w:rFonts w:ascii="Calibri" w:cs="Calibri" w:eastAsia="Calibri" w:hAnsi="Calibri"/>
          <w:b/>
          <w:bCs/>
          <w:i w:val="false"/>
          <w:iCs w:val="false"/>
          <w:color w:val="000000"/>
          <w:sz w:val="22"/>
          <w:szCs w:val="22"/>
        </w:rPr>
        <w:t xml:space="preserve">[DESCRIPTION]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Consumer Notification: </w:t>
      </w:r>
      <w:r>
        <w:rPr>
          <w:rFonts w:ascii="Calibri" w:cs="Calibri" w:eastAsia="Calibri" w:hAnsi="Calibri"/>
          <w:b/>
          <w:bCs/>
          <w:i w:val="false"/>
          <w:iCs w:val="false"/>
          <w:color w:val="000000"/>
          <w:sz w:val="22"/>
          <w:szCs w:val="22"/>
        </w:rPr>
        <w:t xml:space="preserve">[DESCRIBE TIMING AND METHOD OF CONSUMER NOTIFICATION]</w:t>
      </w:r>
    </w:p>
    <w:p>
      <w:pPr>
        <w:pStyle w:val="ListParagraph"/>
        <w:numPr>
          <w:ilvl w:val="0"/>
          <w:numId w:val="2"/>
        </w:numPr>
        <w:spacing w:after="60" w:line="276"/>
      </w:pPr>
      <w:r>
        <w:rPr>
          <w:rFonts w:ascii="Calibri" w:cs="Calibri" w:eastAsia="Calibri" w:hAnsi="Calibri"/>
          <w:b w:val="false"/>
          <w:bCs w:val="false"/>
          <w:i w:val="false"/>
          <w:iCs w:val="false"/>
          <w:color w:val="000000"/>
          <w:sz w:val="22"/>
          <w:szCs w:val="22"/>
        </w:rPr>
        <w:t xml:space="preserve">Contact Information: </w:t>
      </w:r>
      <w:r>
        <w:rPr>
          <w:rFonts w:ascii="Calibri" w:cs="Calibri" w:eastAsia="Calibri" w:hAnsi="Calibri"/>
          <w:b/>
          <w:bCs/>
          <w:i w:val="false"/>
          <w:iCs w:val="false"/>
          <w:color w:val="000000"/>
          <w:sz w:val="22"/>
          <w:szCs w:val="22"/>
        </w:rPr>
        <w:t xml:space="preserve">[COMPANY CONTACT FOR AG INQUIRIES]</w:t>
      </w:r>
    </w:p>
    <w:p>
      <w:pPr>
        <w:spacing w:after="120" w:line="276"/>
      </w:pPr>
      <w:r>
        <w:rPr>
          <w:rFonts w:ascii="Calibri" w:cs="Calibri" w:eastAsia="Calibri" w:hAnsi="Calibri"/>
          <w:b w:val="false"/>
          <w:bCs w:val="false"/>
          <w:i w:val="false"/>
          <w:iCs w:val="false"/>
          <w:color w:val="000000"/>
          <w:sz w:val="22"/>
          <w:szCs w:val="22"/>
        </w:rPr>
        <w:t xml:space="preserve">A copy of the notification sent to affected individuals is enclosed. If you have any questions or require additional information, please contact </w:t>
      </w:r>
      <w:r>
        <w:rPr>
          <w:rFonts w:ascii="Calibri" w:cs="Calibri" w:eastAsia="Calibri" w:hAnsi="Calibri"/>
          <w:b/>
          <w:bCs/>
          <w:i w:val="false"/>
          <w:iCs w:val="false"/>
          <w:color w:val="000000"/>
          <w:sz w:val="22"/>
          <w:szCs w:val="22"/>
        </w:rPr>
        <w:t xml:space="preserve">[NAME, TITLE]</w:t>
      </w:r>
      <w:r>
        <w:rPr>
          <w:rFonts w:ascii="Calibri" w:cs="Calibri" w:eastAsia="Calibri" w:hAnsi="Calibri"/>
          <w:b w:val="false"/>
          <w:bCs w:val="false"/>
          <w:i w:val="false"/>
          <w:iCs w:val="false"/>
          <w:color w:val="000000"/>
          <w:sz w:val="22"/>
          <w:szCs w:val="22"/>
        </w:rPr>
        <w:t xml:space="preserve"> at </w:t>
      </w:r>
      <w:r>
        <w:rPr>
          <w:rFonts w:ascii="Calibri" w:cs="Calibri" w:eastAsia="Calibri" w:hAnsi="Calibri"/>
          <w:b/>
          <w:bCs/>
          <w:i w:val="false"/>
          <w:iCs w:val="false"/>
          <w:color w:val="000000"/>
          <w:sz w:val="22"/>
          <w:szCs w:val="22"/>
        </w:rPr>
        <w:t xml:space="preserve">[PHONE/EMAIL]</w:t>
      </w:r>
      <w:r>
        <w:rPr>
          <w:rFonts w:ascii="Calibri" w:cs="Calibri" w:eastAsia="Calibri" w:hAnsi="Calibri"/>
          <w:b w:val="false"/>
          <w:bCs w:val="false"/>
          <w:i w:val="false"/>
          <w:iCs w:val="false"/>
          <w:color w:val="000000"/>
          <w:sz w:val="22"/>
          <w:szCs w:val="22"/>
        </w:rPr>
        <w:t xml:space="preserve">.</w:t>
      </w:r>
    </w:p>
    <w:p>
      <w:pPr>
        <w:spacing w:after="200"/>
      </w:pPr>
    </w:p>
    <w:p>
      <w:pPr>
        <w:spacing w:after="120" w:line="276"/>
      </w:pPr>
      <w:r>
        <w:rPr>
          <w:rFonts w:ascii="Calibri" w:cs="Calibri" w:eastAsia="Calibri" w:hAnsi="Calibri"/>
          <w:b w:val="false"/>
          <w:bCs w:val="false"/>
          <w:i w:val="false"/>
          <w:iCs w:val="false"/>
          <w:color w:val="000000"/>
          <w:sz w:val="22"/>
          <w:szCs w:val="22"/>
        </w:rPr>
        <w:t xml:space="preserve">Respectfully,</w:t>
      </w:r>
    </w:p>
    <w:p>
      <w:pPr>
        <w:spacing w:after="120" w:line="276"/>
      </w:pPr>
      <w:r>
        <w:rPr>
          <w:rFonts w:ascii="Calibri" w:cs="Calibri" w:eastAsia="Calibri" w:hAnsi="Calibri"/>
          <w:b/>
          <w:bCs/>
          <w:i w:val="false"/>
          <w:iCs w:val="false"/>
          <w:color w:val="000000"/>
          <w:sz w:val="22"/>
          <w:szCs w:val="22"/>
        </w:rPr>
        <w:t xml:space="preserve">[NAME]</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[TITLE]</w:t>
      </w:r>
    </w:p>
    <w:p>
      <w:pPr>
        <w:spacing w:after="120" w:line="276"/>
      </w:pPr>
      <w:r>
        <w:rPr>
          <w:rFonts w:ascii="Calibri" w:cs="Calibri" w:eastAsia="Calibri" w:hAnsi="Calibri"/>
          <w:b/>
          <w:bCs/>
          <w:i w:val="false"/>
          <w:iCs w:val="false"/>
          <w:color w:val="000000"/>
          <w:sz w:val="22"/>
          <w:szCs w:val="22"/>
        </w:rPr>
        <w:t xml:space="preserve">[COMPANY NAME]</w:t>
      </w:r>
    </w:p>
    <w:p>
      <w:pPr>
        <w:spacing w:after="200"/>
      </w:pPr>
    </w:p>
    <w:p>
      <w:pPr>
        <w:pStyle w:val="Heading2"/>
        <w:keepNext/>
        <w:spacing w:after="120" w:before="240"/>
      </w:pPr>
      <w:r>
        <w:rPr>
          <w:rFonts w:ascii="Calibri" w:cs="Calibri" w:eastAsia="Calibri" w:hAnsi="Calibri"/>
          <w:b/>
          <w:bCs/>
          <w:color w:val="1F3864"/>
          <w:sz w:val="26"/>
          <w:szCs w:val="26"/>
        </w:rPr>
        <w:t xml:space="preserve">Template 4: Media Holding Statement</w:t>
      </w:r>
    </w:p>
    <w:p>
      <w:pPr>
        <w:spacing w:after="120" w:line="276"/>
      </w:pP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is aware of a security incident affecting </w:t>
      </w:r>
      <w:r>
        <w:rPr>
          <w:rFonts w:ascii="Calibri" w:cs="Calibri" w:eastAsia="Calibri" w:hAnsi="Calibri"/>
          <w:b/>
          <w:bCs/>
          <w:i w:val="false"/>
          <w:iCs w:val="false"/>
          <w:color w:val="000000"/>
          <w:sz w:val="22"/>
          <w:szCs w:val="22"/>
        </w:rPr>
        <w:t xml:space="preserve">[GENERAL DESCRIPTION]</w:t>
      </w:r>
      <w:r>
        <w:rPr>
          <w:rFonts w:ascii="Calibri" w:cs="Calibri" w:eastAsia="Calibri" w:hAnsi="Calibri"/>
          <w:b w:val="false"/>
          <w:bCs w:val="false"/>
          <w:i w:val="false"/>
          <w:iCs w:val="false"/>
          <w:color w:val="000000"/>
          <w:sz w:val="22"/>
          <w:szCs w:val="22"/>
        </w:rPr>
        <w:t xml:space="preserve">. We have activated our incident response plan and are working with </w:t>
      </w:r>
      <w:r>
        <w:rPr>
          <w:rFonts w:ascii="Calibri" w:cs="Calibri" w:eastAsia="Calibri" w:hAnsi="Calibri"/>
          <w:b/>
          <w:bCs/>
          <w:i w:val="false"/>
          <w:iCs w:val="false"/>
          <w:color w:val="000000"/>
          <w:sz w:val="22"/>
          <w:szCs w:val="22"/>
        </w:rPr>
        <w:t xml:space="preserve">[LEADING CYBERSECURITY EXPERTS / LAW ENFORCEMENT / RELEVANT PARTIES]</w:t>
      </w:r>
      <w:r>
        <w:rPr>
          <w:rFonts w:ascii="Calibri" w:cs="Calibri" w:eastAsia="Calibri" w:hAnsi="Calibri"/>
          <w:b w:val="false"/>
          <w:bCs w:val="false"/>
          <w:i w:val="false"/>
          <w:iCs w:val="false"/>
          <w:color w:val="000000"/>
          <w:sz w:val="22"/>
          <w:szCs w:val="22"/>
        </w:rPr>
        <w:t xml:space="preserve"> to investigate and resolve the matter. The security of our </w:t>
      </w:r>
      <w:r>
        <w:rPr>
          <w:rFonts w:ascii="Calibri" w:cs="Calibri" w:eastAsia="Calibri" w:hAnsi="Calibri"/>
          <w:b/>
          <w:bCs/>
          <w:i w:val="false"/>
          <w:iCs w:val="false"/>
          <w:color w:val="000000"/>
          <w:sz w:val="22"/>
          <w:szCs w:val="22"/>
        </w:rPr>
        <w:t xml:space="preserve">[CUSTOMERS'/EMPLOYEES'/USERS']</w:t>
      </w:r>
      <w:r>
        <w:rPr>
          <w:rFonts w:ascii="Calibri" w:cs="Calibri" w:eastAsia="Calibri" w:hAnsi="Calibri"/>
          <w:b w:val="false"/>
          <w:bCs w:val="false"/>
          <w:i w:val="false"/>
          <w:iCs w:val="false"/>
          <w:color w:val="000000"/>
          <w:sz w:val="22"/>
          <w:szCs w:val="22"/>
        </w:rPr>
        <w:t xml:space="preserve"> information is a top priority, and we are committed to transparency as we learn more. We will provide updates as additional information becomes available. We have no further comment at this time.</w:t>
      </w:r>
    </w:p>
    <w:p>
      <w:pPr>
        <w:spacing w:after="200"/>
      </w:pPr>
    </w:p>
    <w:p>
      <w:pPr>
        <w:spacing w:after="120" w:line="276"/>
      </w:pPr>
      <w:r>
        <w:rPr>
          <w:rFonts w:ascii="Calibri" w:cs="Calibri" w:eastAsia="Calibri" w:hAnsi="Calibri"/>
          <w:b w:val="false"/>
          <w:bCs w:val="false"/>
          <w:i w:val="false"/>
          <w:iCs w:val="false"/>
          <w:color w:val="000000"/>
          <w:sz w:val="22"/>
          <w:szCs w:val="22"/>
        </w:rPr>
        <w:t xml:space="preserve">Media Contact: </w:t>
      </w:r>
      <w:r>
        <w:rPr>
          <w:rFonts w:ascii="Calibri" w:cs="Calibri" w:eastAsia="Calibri" w:hAnsi="Calibri"/>
          <w:b/>
          <w:bCs/>
          <w:i w:val="false"/>
          <w:iCs w:val="false"/>
          <w:color w:val="000000"/>
          <w:sz w:val="22"/>
          <w:szCs w:val="22"/>
        </w:rPr>
        <w:t xml:space="preserve">[NAME]</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[TITLE]</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[EMAIL]</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[PHONE]</w:t>
      </w:r>
    </w:p>
    <w:p>
      <w:pPr>
        <w:spacing w:after="200"/>
      </w:pPr>
    </w:p>
    <w:p>
      <w:pPr>
        <w:pStyle w:val="Heading2"/>
        <w:keepNext/>
        <w:spacing w:after="120" w:before="240"/>
      </w:pPr>
      <w:r>
        <w:rPr>
          <w:rFonts w:ascii="Calibri" w:cs="Calibri" w:eastAsia="Calibri" w:hAnsi="Calibri"/>
          <w:b/>
          <w:bCs/>
          <w:color w:val="1F3864"/>
          <w:sz w:val="26"/>
          <w:szCs w:val="26"/>
        </w:rPr>
        <w:t xml:space="preserve">Template 5: Insurance Carrier Initial Notification</w:t>
      </w:r>
    </w:p>
    <w:p>
      <w:pPr>
        <w:spacing w:after="120" w:line="276"/>
      </w:pPr>
      <w:r>
        <w:rPr>
          <w:rFonts w:ascii="Calibri" w:cs="Calibri" w:eastAsia="Calibri" w:hAnsi="Calibri"/>
          <w:b/>
          <w:bCs/>
          <w:i w:val="false"/>
          <w:iCs w:val="false"/>
          <w:color w:val="000000"/>
          <w:sz w:val="22"/>
          <w:szCs w:val="22"/>
        </w:rPr>
        <w:t xml:space="preserve">[DATE]</w:t>
      </w:r>
    </w:p>
    <w:p>
      <w:pPr>
        <w:spacing w:after="200"/>
      </w:pPr>
    </w:p>
    <w:p>
      <w:pPr>
        <w:spacing w:after="120" w:line="276"/>
      </w:pPr>
      <w:r>
        <w:rPr>
          <w:rFonts w:ascii="Calibri" w:cs="Calibri" w:eastAsia="Calibri" w:hAnsi="Calibri"/>
          <w:b/>
          <w:bCs/>
          <w:i w:val="false"/>
          <w:iCs w:val="false"/>
          <w:color w:val="000000"/>
          <w:sz w:val="22"/>
          <w:szCs w:val="22"/>
        </w:rPr>
        <w:t xml:space="preserve">[INSURANCE CARRIER CLAIMS DEPARTMENT]</w:t>
      </w:r>
    </w:p>
    <w:p>
      <w:pPr>
        <w:spacing w:after="120" w:line="276"/>
      </w:pPr>
      <w:r>
        <w:rPr>
          <w:rFonts w:ascii="Calibri" w:cs="Calibri" w:eastAsia="Calibri" w:hAnsi="Calibri"/>
          <w:b/>
          <w:bCs/>
          <w:i w:val="false"/>
          <w:iCs w:val="false"/>
          <w:color w:val="000000"/>
          <w:sz w:val="22"/>
          <w:szCs w:val="22"/>
        </w:rPr>
        <w:t xml:space="preserve">[ADDRESS]</w:t>
      </w:r>
    </w:p>
    <w:p>
      <w:pPr>
        <w:spacing w:after="200"/>
      </w:pPr>
    </w:p>
    <w:p>
      <w:pPr>
        <w:spacing w:after="120" w:line="276"/>
      </w:pPr>
      <w:r>
        <w:rPr>
          <w:rFonts w:ascii="Calibri" w:cs="Calibri" w:eastAsia="Calibri" w:hAnsi="Calibri"/>
          <w:b w:val="false"/>
          <w:bCs w:val="false"/>
          <w:i w:val="false"/>
          <w:iCs w:val="false"/>
          <w:color w:val="000000"/>
          <w:sz w:val="22"/>
          <w:szCs w:val="22"/>
        </w:rPr>
        <w:t xml:space="preserve">Re: Notice of Potential Claim Under Cyber Insurance Policy No. </w:t>
      </w:r>
      <w:r>
        <w:rPr>
          <w:rFonts w:ascii="Calibri" w:cs="Calibri" w:eastAsia="Calibri" w:hAnsi="Calibri"/>
          <w:b/>
          <w:bCs/>
          <w:i w:val="false"/>
          <w:iCs w:val="false"/>
          <w:color w:val="000000"/>
          <w:sz w:val="22"/>
          <w:szCs w:val="22"/>
        </w:rPr>
        <w:t xml:space="preserve">[POLICY NUMBER]</w:t>
      </w:r>
    </w:p>
    <w:p>
      <w:pPr>
        <w:spacing w:after="200"/>
      </w:pPr>
    </w:p>
    <w:p>
      <w:pPr>
        <w:spacing w:after="120" w:line="276"/>
      </w:pPr>
      <w:r>
        <w:rPr>
          <w:rFonts w:ascii="Calibri" w:cs="Calibri" w:eastAsia="Calibri" w:hAnsi="Calibri"/>
          <w:b/>
          <w:bCs/>
          <w:i w:val="false"/>
          <w:iCs w:val="false"/>
          <w:color w:val="000000"/>
          <w:sz w:val="22"/>
          <w:szCs w:val="22"/>
        </w:rPr>
        <w:t xml:space="preserve">[COMPANY NAME]</w:t>
      </w:r>
      <w:r>
        <w:rPr>
          <w:rFonts w:ascii="Calibri" w:cs="Calibri" w:eastAsia="Calibri" w:hAnsi="Calibri"/>
          <w:b w:val="false"/>
          <w:bCs w:val="false"/>
          <w:i w:val="false"/>
          <w:iCs w:val="false"/>
          <w:color w:val="000000"/>
          <w:sz w:val="22"/>
          <w:szCs w:val="22"/>
        </w:rPr>
        <w:t xml:space="preserve"> (the "Insured") hereby provides notice of a potential claim under the above-referenced policy. On </w:t>
      </w:r>
      <w:r>
        <w:rPr>
          <w:rFonts w:ascii="Calibri" w:cs="Calibri" w:eastAsia="Calibri" w:hAnsi="Calibri"/>
          <w:b/>
          <w:bCs/>
          <w:i w:val="false"/>
          <w:iCs w:val="false"/>
          <w:color w:val="000000"/>
          <w:sz w:val="22"/>
          <w:szCs w:val="22"/>
        </w:rPr>
        <w:t xml:space="preserve">[DATE OF DISCOVERY]</w:t>
      </w:r>
      <w:r>
        <w:rPr>
          <w:rFonts w:ascii="Calibri" w:cs="Calibri" w:eastAsia="Calibri" w:hAnsi="Calibri"/>
          <w:b w:val="false"/>
          <w:bCs w:val="false"/>
          <w:i w:val="false"/>
          <w:iCs w:val="false"/>
          <w:color w:val="000000"/>
          <w:sz w:val="22"/>
          <w:szCs w:val="22"/>
        </w:rPr>
        <w:t xml:space="preserve">, the Insured identified a </w:t>
      </w:r>
      <w:r>
        <w:rPr>
          <w:rFonts w:ascii="Calibri" w:cs="Calibri" w:eastAsia="Calibri" w:hAnsi="Calibri"/>
          <w:b/>
          <w:bCs/>
          <w:i w:val="false"/>
          <w:iCs w:val="false"/>
          <w:color w:val="000000"/>
          <w:sz w:val="22"/>
          <w:szCs w:val="22"/>
        </w:rPr>
        <w:t xml:space="preserve">[GENERAL DESCRIPTION OF INCIDENT]</w:t>
      </w:r>
      <w:r>
        <w:rPr>
          <w:rFonts w:ascii="Calibri" w:cs="Calibri" w:eastAsia="Calibri" w:hAnsi="Calibri"/>
          <w:b w:val="false"/>
          <w:bCs w:val="false"/>
          <w:i w:val="false"/>
          <w:iCs w:val="false"/>
          <w:color w:val="000000"/>
          <w:sz w:val="22"/>
          <w:szCs w:val="22"/>
        </w:rPr>
        <w:t xml:space="preserve"> that may give rise to a claim under the policy. The Insured is providing this notice in accordance with the policy's notice provisions.</w:t>
      </w:r>
    </w:p>
    <w:p>
      <w:pPr>
        <w:spacing w:after="120" w:line="276"/>
      </w:pPr>
      <w:r>
        <w:rPr>
          <w:rFonts w:ascii="Calibri" w:cs="Calibri" w:eastAsia="Calibri" w:hAnsi="Calibri"/>
          <w:b w:val="false"/>
          <w:bCs w:val="false"/>
          <w:i w:val="false"/>
          <w:iCs w:val="false"/>
          <w:color w:val="000000"/>
          <w:sz w:val="22"/>
          <w:szCs w:val="22"/>
        </w:rPr>
        <w:t xml:space="preserve">Initial details: </w:t>
      </w:r>
      <w:r>
        <w:rPr>
          <w:rFonts w:ascii="Calibri" w:cs="Calibri" w:eastAsia="Calibri" w:hAnsi="Calibri"/>
          <w:b/>
          <w:bCs/>
          <w:i w:val="false"/>
          <w:iCs w:val="false"/>
          <w:color w:val="000000"/>
          <w:sz w:val="22"/>
          <w:szCs w:val="22"/>
        </w:rPr>
        <w:t xml:space="preserve">[PROVIDE HIGH-LEVEL FACTUAL SUMMARY — AVOID LEGAL CONCLUSIONS, PRIVILEGE ISSUES, AND SPECULATION. FOCUS ON: WHAT HAPPENED, WHEN IT WAS DISCOVERED, ESTIMATED SCOPE, ACTIONS TAKEN.]</w:t>
      </w:r>
    </w:p>
    <w:p>
      <w:pPr>
        <w:spacing w:after="120" w:line="276"/>
      </w:pPr>
      <w:r>
        <w:rPr>
          <w:rFonts w:ascii="Calibri" w:cs="Calibri" w:eastAsia="Calibri" w:hAnsi="Calibri"/>
          <w:b w:val="false"/>
          <w:bCs w:val="false"/>
          <w:i w:val="false"/>
          <w:iCs w:val="false"/>
          <w:color w:val="000000"/>
          <w:sz w:val="22"/>
          <w:szCs w:val="22"/>
        </w:rPr>
        <w:t xml:space="preserve">The Insured requests guidance regarding: (a) assignment of a claims adjuster; (b) panel-vendor requirements for forensic investigation, legal counsel, and notification services; (c) any required pre-approvals before incurring costs; and (d) any documentation the carrier requires at this stage.</w:t>
      </w:r>
    </w:p>
    <w:p>
      <w:pPr>
        <w:spacing w:after="120" w:line="276"/>
      </w:pPr>
      <w:r>
        <w:rPr>
          <w:rFonts w:ascii="Calibri" w:cs="Calibri" w:eastAsia="Calibri" w:hAnsi="Calibri"/>
          <w:b w:val="false"/>
          <w:bCs w:val="false"/>
          <w:i w:val="false"/>
          <w:iCs w:val="false"/>
          <w:color w:val="000000"/>
          <w:sz w:val="22"/>
          <w:szCs w:val="22"/>
        </w:rPr>
        <w:t xml:space="preserve">Please direct all communications to: </w:t>
      </w:r>
      <w:r>
        <w:rPr>
          <w:rFonts w:ascii="Calibri" w:cs="Calibri" w:eastAsia="Calibri" w:hAnsi="Calibri"/>
          <w:b/>
          <w:bCs/>
          <w:i w:val="false"/>
          <w:iCs w:val="false"/>
          <w:color w:val="000000"/>
          <w:sz w:val="22"/>
          <w:szCs w:val="22"/>
        </w:rPr>
        <w:t xml:space="preserve">[INSURANCE LIAISON NAME, TITLE, PHONE, EMAIL]</w:t>
      </w:r>
      <w:r>
        <w:rPr>
          <w:rFonts w:ascii="Calibri" w:cs="Calibri" w:eastAsia="Calibri" w:hAnsi="Calibri"/>
          <w:b w:val="false"/>
          <w:bCs w:val="false"/>
          <w:i w:val="false"/>
          <w:iCs w:val="false"/>
          <w:color w:val="000000"/>
          <w:sz w:val="22"/>
          <w:szCs w:val="22"/>
        </w:rPr>
        <w:t xml:space="preserve"> and </w:t>
      </w:r>
      <w:r>
        <w:rPr>
          <w:rFonts w:ascii="Calibri" w:cs="Calibri" w:eastAsia="Calibri" w:hAnsi="Calibri"/>
          <w:b/>
          <w:bCs/>
          <w:i w:val="false"/>
          <w:iCs w:val="false"/>
          <w:color w:val="000000"/>
          <w:sz w:val="22"/>
          <w:szCs w:val="22"/>
        </w:rPr>
        <w:t xml:space="preserve">[OUTSIDE COUNSEL NAME, FIRM, PHONE, EMAIL]</w:t>
      </w:r>
      <w:r>
        <w:rPr>
          <w:rFonts w:ascii="Calibri" w:cs="Calibri" w:eastAsia="Calibri" w:hAnsi="Calibri"/>
          <w:b w:val="false"/>
          <w:bCs w:val="false"/>
          <w:i w:val="false"/>
          <w:iCs w:val="false"/>
          <w:color w:val="000000"/>
          <w:sz w:val="22"/>
          <w:szCs w:val="22"/>
        </w:rPr>
        <w:t xml:space="preserve">.</w:t>
      </w:r>
    </w:p>
    <w:p>
      <w:pPr>
        <w:spacing w:after="200"/>
      </w:pPr>
    </w:p>
    <w:p>
      <w:pPr>
        <w:spacing w:after="120" w:line="276"/>
      </w:pPr>
      <w:r>
        <w:rPr>
          <w:rFonts w:ascii="Calibri" w:cs="Calibri" w:eastAsia="Calibri" w:hAnsi="Calibri"/>
          <w:b/>
          <w:bCs/>
          <w:i w:val="false"/>
          <w:iCs w:val="false"/>
          <w:color w:val="000000"/>
          <w:sz w:val="22"/>
          <w:szCs w:val="22"/>
        </w:rPr>
        <w:t xml:space="preserve">[NAME]</w:t>
      </w:r>
      <w:r>
        <w:rPr>
          <w:rFonts w:ascii="Calibri" w:cs="Calibri" w:eastAsia="Calibri" w:hAnsi="Calibri"/>
          <w:b w:val="false"/>
          <w:bCs w:val="false"/>
          <w:i w:val="false"/>
          <w:iCs w:val="false"/>
          <w:color w:val="000000"/>
          <w:sz w:val="22"/>
          <w:szCs w:val="22"/>
        </w:rPr>
        <w:t xml:space="preserve">, </w:t>
      </w:r>
      <w:r>
        <w:rPr>
          <w:rFonts w:ascii="Calibri" w:cs="Calibri" w:eastAsia="Calibri" w:hAnsi="Calibri"/>
          <w:b/>
          <w:bCs/>
          <w:i w:val="false"/>
          <w:iCs w:val="false"/>
          <w:color w:val="000000"/>
          <w:sz w:val="22"/>
          <w:szCs w:val="22"/>
        </w:rPr>
        <w:t xml:space="preserve">[TITLE]</w:t>
      </w:r>
    </w:p>
    <w:p>
      <w:pPr>
        <w:spacing w:after="120" w:line="276"/>
      </w:pPr>
      <w:r>
        <w:rPr>
          <w:rFonts w:ascii="Calibri" w:cs="Calibri" w:eastAsia="Calibri" w:hAnsi="Calibri"/>
          <w:b/>
          <w:bCs/>
          <w:i w:val="false"/>
          <w:iCs w:val="false"/>
          <w:color w:val="000000"/>
          <w:sz w:val="22"/>
          <w:szCs w:val="22"/>
        </w:rPr>
        <w:t xml:space="preserve">[COMPANY NAME]</w:t>
      </w:r>
    </w:p>
    <w:p>
      <w:r>
        <w:br w:type="page"/>
      </w:r>
    </w:p>
    <w:p>
      <w:pPr>
        <w:pStyle w:val="Heading1"/>
        <w:spacing w:after="100" w:before="200"/>
        <w:jc w:val="center"/>
      </w:pPr>
      <w:r>
        <w:rPr>
          <w:rFonts w:ascii="Calibri" w:cs="Calibri" w:eastAsia="Calibri" w:hAnsi="Calibri"/>
          <w:b/>
          <w:bCs/>
          <w:color w:val="1F3864"/>
          <w:sz w:val="32"/>
          <w:szCs w:val="32"/>
        </w:rPr>
        <w:t xml:space="preserve">EXHIBIT G</w:t>
      </w:r>
    </w:p>
    <w:p>
      <w:pPr>
        <w:spacing w:after="300"/>
        <w:jc w:val="center"/>
      </w:pPr>
      <w:r>
        <w:rPr>
          <w:rFonts w:ascii="Calibri" w:cs="Calibri" w:eastAsia="Calibri" w:hAnsi="Calibri"/>
          <w:b/>
          <w:bCs/>
          <w:color w:val="1F3864"/>
          <w:sz w:val="28"/>
          <w:szCs w:val="28"/>
        </w:rPr>
        <w:t xml:space="preserve">RECOVERY CHECKLIST</w:t>
      </w:r>
    </w:p>
    <w:p>
      <w:pPr>
        <w:spacing w:after="120" w:line="276"/>
      </w:pPr>
      <w:r>
        <w:rPr>
          <w:rFonts w:ascii="Calibri" w:cs="Calibri" w:eastAsia="Calibri" w:hAnsi="Calibri"/>
          <w:b w:val="false"/>
          <w:bCs w:val="false"/>
          <w:i w:val="false"/>
          <w:iCs w:val="false"/>
          <w:color w:val="000000"/>
          <w:sz w:val="22"/>
          <w:szCs w:val="22"/>
        </w:rPr>
        <w:t xml:space="preserve">Use this checklist to track and verify all eradication and recovery tasks. Each task must be completed, verified, and approved before proceeding to the next recovery stage. See Section 11 for detailed procedures.</w:t>
      </w:r>
    </w:p>
    <w:p>
      <w:pPr>
        <w:spacing w:after="200"/>
      </w:pPr>
    </w:p>
    <w:p>
      <w:pPr>
        <w:pStyle w:val="Heading2"/>
        <w:keepNext/>
        <w:spacing w:after="120" w:before="240"/>
      </w:pPr>
      <w:r>
        <w:rPr>
          <w:rFonts w:ascii="Calibri" w:cs="Calibri" w:eastAsia="Calibri" w:hAnsi="Calibri"/>
          <w:b/>
          <w:bCs/>
          <w:color w:val="1F3864"/>
          <w:sz w:val="26"/>
          <w:szCs w:val="26"/>
        </w:rPr>
        <w:t xml:space="preserve">Eradication Tasks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1300"/>
        <w:gridCol w:w="1100"/>
        <w:gridCol w:w="1100"/>
        <w:gridCol w:w="900"/>
        <w:gridCol w:w="2460"/>
      </w:tblGrid>
      <w:tr>
        <w:trPr>
          <w:tblHeader/>
        </w:trPr>
        <w:tc>
          <w:tcPr>
            <w:tcW w:type="dxa" w:w="2500"/>
            <w:shd w:fill="1F3864" w:color="auto" w:val="clear"/>
          </w:tcPr>
          <w:p>
            <w:pPr>
              <w:spacing w:after="60" w:before="60"/>
            </w:pPr>
            <w:r>
              <w:rPr>
                <w:rFonts w:ascii="Calibri" w:cs="Calibri" w:eastAsia="Calibri" w:hAnsi="Calibri"/>
                <w:b/>
                <w:bCs/>
                <w:color w:val="FFFFFF"/>
                <w:sz w:val="20"/>
                <w:szCs w:val="20"/>
              </w:rPr>
              <w:t xml:space="preserve">Task</w:t>
            </w:r>
          </w:p>
        </w:tc>
        <w:tc>
          <w:tcPr>
            <w:tcW w:type="dxa" w:w="1300"/>
            <w:shd w:fill="1F3864" w:color="auto" w:val="clear"/>
          </w:tcPr>
          <w:p>
            <w:pPr>
              <w:spacing w:after="60" w:before="60"/>
            </w:pPr>
            <w:r>
              <w:rPr>
                <w:rFonts w:ascii="Calibri" w:cs="Calibri" w:eastAsia="Calibri" w:hAnsi="Calibri"/>
                <w:b/>
                <w:bCs/>
                <w:color w:val="FFFFFF"/>
                <w:sz w:val="20"/>
                <w:szCs w:val="20"/>
              </w:rPr>
              <w:t xml:space="preserve">Status</w:t>
            </w:r>
          </w:p>
        </w:tc>
        <w:tc>
          <w:tcPr>
            <w:tcW w:type="dxa" w:w="1100"/>
            <w:shd w:fill="1F3864" w:color="auto" w:val="clear"/>
          </w:tcPr>
          <w:p>
            <w:pPr>
              <w:spacing w:after="60" w:before="60"/>
            </w:pPr>
            <w:r>
              <w:rPr>
                <w:rFonts w:ascii="Calibri" w:cs="Calibri" w:eastAsia="Calibri" w:hAnsi="Calibri"/>
                <w:b/>
                <w:bCs/>
                <w:color w:val="FFFFFF"/>
                <w:sz w:val="20"/>
                <w:szCs w:val="20"/>
              </w:rPr>
              <w:t xml:space="preserve">Responsible</w:t>
            </w:r>
          </w:p>
        </w:tc>
        <w:tc>
          <w:tcPr>
            <w:tcW w:type="dxa" w:w="1100"/>
            <w:shd w:fill="1F3864" w:color="auto" w:val="clear"/>
          </w:tcPr>
          <w:p>
            <w:pPr>
              <w:spacing w:after="60" w:before="60"/>
            </w:pPr>
            <w:r>
              <w:rPr>
                <w:rFonts w:ascii="Calibri" w:cs="Calibri" w:eastAsia="Calibri" w:hAnsi="Calibri"/>
                <w:b/>
                <w:bCs/>
                <w:color w:val="FFFFFF"/>
                <w:sz w:val="20"/>
                <w:szCs w:val="20"/>
              </w:rPr>
              <w:t xml:space="preserve">Verified By</w:t>
            </w:r>
          </w:p>
        </w:tc>
        <w:tc>
          <w:tcPr>
            <w:tcW w:type="dxa" w:w="900"/>
            <w:shd w:fill="1F3864" w:color="auto" w:val="clear"/>
          </w:tcPr>
          <w:p>
            <w:pPr>
              <w:spacing w:after="60" w:before="60"/>
            </w:pPr>
            <w:r>
              <w:rPr>
                <w:rFonts w:ascii="Calibri" w:cs="Calibri" w:eastAsia="Calibri" w:hAnsi="Calibri"/>
                <w:b/>
                <w:bCs/>
                <w:color w:val="FFFFFF"/>
                <w:sz w:val="20"/>
                <w:szCs w:val="20"/>
              </w:rPr>
              <w:t xml:space="preserve">Date</w:t>
            </w:r>
          </w:p>
        </w:tc>
        <w:tc>
          <w:tcPr>
            <w:tcW w:type="dxa" w:w="2460"/>
            <w:shd w:fill="1F3864" w:color="auto" w:val="clear"/>
          </w:tcPr>
          <w:p>
            <w:pPr>
              <w:spacing w:after="60" w:before="60"/>
            </w:pPr>
            <w:r>
              <w:rPr>
                <w:rFonts w:ascii="Calibri" w:cs="Calibri" w:eastAsia="Calibri" w:hAnsi="Calibri"/>
                <w:b/>
                <w:bCs/>
                <w:color w:val="FFFFFF"/>
                <w:sz w:val="20"/>
                <w:szCs w:val="20"/>
              </w:rPr>
              <w:t xml:space="preserve">Notes</w:t>
            </w:r>
          </w:p>
        </w:tc>
      </w:tr>
      <w:tr>
        <w:tc>
          <w:tcPr>
            <w:tcW w:type="dxa" w:w="2500"/>
          </w:tcPr>
          <w:p>
            <w:pPr>
              <w:spacing w:after="30" w:before="30"/>
            </w:pPr>
            <w:r>
              <w:rPr>
                <w:rFonts w:ascii="Calibri" w:cs="Calibri" w:eastAsia="Calibri" w:hAnsi="Calibri"/>
                <w:b w:val="false"/>
                <w:bCs w:val="false"/>
                <w:i w:val="false"/>
                <w:iCs w:val="false"/>
                <w:color w:val="000000"/>
                <w:sz w:val="20"/>
                <w:szCs w:val="20"/>
              </w:rPr>
              <w:t xml:space="preserve">Remove all identified malware and malicious artifacts</w:t>
            </w:r>
          </w:p>
        </w:tc>
        <w:tc>
          <w:tcPr>
            <w:tcW w:type="dxa" w:w="1300"/>
          </w:tcPr>
          <w:p>
            <w:pPr>
              <w:spacing w:after="30" w:before="30"/>
            </w:pPr>
            <w:r>
              <w:rPr>
                <w:rFonts w:ascii="Calibri" w:cs="Calibri" w:eastAsia="Calibri" w:hAnsi="Calibri"/>
                <w:b/>
                <w:bCs/>
                <w:i w:val="false"/>
                <w:iCs w:val="false"/>
                <w:color w:val="000000"/>
                <w:sz w:val="20"/>
                <w:szCs w:val="20"/>
              </w:rPr>
              <w:t xml:space="preserve">[PENDING / IN PROGRESS / COMPLETE]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2460"/>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Delete rogue accounts and unauthorized credentials</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24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tcPr>
          <w:p>
            <w:pPr>
              <w:spacing w:after="30" w:before="30"/>
            </w:pPr>
            <w:r>
              <w:rPr>
                <w:rFonts w:ascii="Calibri" w:cs="Calibri" w:eastAsia="Calibri" w:hAnsi="Calibri"/>
                <w:b w:val="false"/>
                <w:bCs w:val="false"/>
                <w:i w:val="false"/>
                <w:iCs w:val="false"/>
                <w:color w:val="000000"/>
                <w:sz w:val="20"/>
                <w:szCs w:val="20"/>
              </w:rPr>
              <w:t xml:space="preserve">Remove unauthorized scheduled tasks and startup items</w:t>
            </w:r>
          </w:p>
        </w:tc>
        <w:tc>
          <w:tcPr>
            <w:tcW w:type="dxa" w:w="13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2460"/>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Restore modified system configurations</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24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tcPr>
          <w:p>
            <w:pPr>
              <w:spacing w:after="30" w:before="30"/>
            </w:pPr>
            <w:r>
              <w:rPr>
                <w:rFonts w:ascii="Calibri" w:cs="Calibri" w:eastAsia="Calibri" w:hAnsi="Calibri"/>
                <w:b w:val="false"/>
                <w:bCs w:val="false"/>
                <w:i w:val="false"/>
                <w:iCs w:val="false"/>
                <w:color w:val="000000"/>
                <w:sz w:val="20"/>
                <w:szCs w:val="20"/>
              </w:rPr>
              <w:t xml:space="preserve">Verify no active C2 channels remain</w:t>
            </w:r>
          </w:p>
        </w:tc>
        <w:tc>
          <w:tcPr>
            <w:tcW w:type="dxa" w:w="13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2460"/>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Apply patches for exploited vulnerabilities</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24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tcPr>
          <w:p>
            <w:pPr>
              <w:spacing w:after="30" w:before="30"/>
            </w:pPr>
            <w:r>
              <w:rPr>
                <w:rFonts w:ascii="Calibri" w:cs="Calibri" w:eastAsia="Calibri" w:hAnsi="Calibri"/>
                <w:b w:val="false"/>
                <w:bCs w:val="false"/>
                <w:i w:val="false"/>
                <w:iCs w:val="false"/>
                <w:color w:val="000000"/>
                <w:sz w:val="20"/>
                <w:szCs w:val="20"/>
              </w:rPr>
              <w:t xml:space="preserve">Update firewall/IPS/WAF rules</w:t>
            </w:r>
          </w:p>
        </w:tc>
        <w:tc>
          <w:tcPr>
            <w:tcW w:type="dxa" w:w="13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2460"/>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Conduct vulnerability scan of affected systems</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24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2500"/>
          </w:tcPr>
          <w:p>
            <w:pPr>
              <w:spacing w:after="30" w:before="30"/>
            </w:pPr>
            <w:r>
              <w:rPr>
                <w:rFonts w:ascii="Calibri" w:cs="Calibri" w:eastAsia="Calibri" w:hAnsi="Calibri"/>
                <w:b w:val="false"/>
                <w:bCs w:val="false"/>
                <w:i w:val="false"/>
                <w:iCs w:val="false"/>
                <w:color w:val="000000"/>
                <w:sz w:val="20"/>
                <w:szCs w:val="20"/>
              </w:rPr>
              <w:t xml:space="preserve">Harden configurations per benchmarks</w:t>
            </w:r>
          </w:p>
        </w:tc>
        <w:tc>
          <w:tcPr>
            <w:tcW w:type="dxa" w:w="13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2460"/>
          </w:tcPr>
          <w:p>
            <w:pPr>
              <w:spacing w:after="30" w:before="30"/>
            </w:pPr>
            <w:r>
              <w:rPr>
                <w:rFonts w:ascii="Calibri" w:cs="Calibri" w:eastAsia="Calibri" w:hAnsi="Calibri"/>
                <w:b/>
                <w:bCs/>
                <w:i w:val="false"/>
                <w:iCs w:val="false"/>
                <w:color w:val="000000"/>
                <w:sz w:val="20"/>
                <w:szCs w:val="20"/>
              </w:rPr>
              <w:t xml:space="preserve">[NOTES]</w:t>
            </w:r>
          </w:p>
        </w:tc>
      </w:tr>
    </w:tbl>
    <w:p>
      <w:pPr>
        <w:spacing w:after="200"/>
      </w:pPr>
    </w:p>
    <w:p>
      <w:pPr>
        <w:pStyle w:val="Heading2"/>
        <w:keepNext/>
        <w:spacing w:after="120" w:before="240"/>
      </w:pPr>
      <w:r>
        <w:rPr>
          <w:rFonts w:ascii="Calibri" w:cs="Calibri" w:eastAsia="Calibri" w:hAnsi="Calibri"/>
          <w:b/>
          <w:bCs/>
          <w:color w:val="1F3864"/>
          <w:sz w:val="26"/>
          <w:szCs w:val="26"/>
        </w:rPr>
        <w:t xml:space="preserve">Credential Rotation Tasks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1500"/>
        <w:gridCol w:w="1200"/>
        <w:gridCol w:w="1100"/>
        <w:gridCol w:w="900"/>
        <w:gridCol w:w="3060"/>
      </w:tblGrid>
      <w:tr>
        <w:trPr>
          <w:tblHeader/>
        </w:trPr>
        <w:tc>
          <w:tcPr>
            <w:tcW w:type="dxa" w:w="1600"/>
            <w:shd w:fill="1F3864" w:color="auto" w:val="clear"/>
          </w:tcPr>
          <w:p>
            <w:pPr>
              <w:spacing w:after="60" w:before="60"/>
            </w:pPr>
            <w:r>
              <w:rPr>
                <w:rFonts w:ascii="Calibri" w:cs="Calibri" w:eastAsia="Calibri" w:hAnsi="Calibri"/>
                <w:b/>
                <w:bCs/>
                <w:color w:val="FFFFFF"/>
                <w:sz w:val="20"/>
                <w:szCs w:val="20"/>
              </w:rPr>
              <w:t xml:space="preserve">Credential Type</w:t>
            </w:r>
          </w:p>
        </w:tc>
        <w:tc>
          <w:tcPr>
            <w:tcW w:type="dxa" w:w="1500"/>
            <w:shd w:fill="1F3864" w:color="auto" w:val="clear"/>
          </w:tcPr>
          <w:p>
            <w:pPr>
              <w:spacing w:after="60" w:before="60"/>
            </w:pPr>
            <w:r>
              <w:rPr>
                <w:rFonts w:ascii="Calibri" w:cs="Calibri" w:eastAsia="Calibri" w:hAnsi="Calibri"/>
                <w:b/>
                <w:bCs/>
                <w:color w:val="FFFFFF"/>
                <w:sz w:val="20"/>
                <w:szCs w:val="20"/>
              </w:rPr>
              <w:t xml:space="preserve">Scope</w:t>
            </w:r>
          </w:p>
        </w:tc>
        <w:tc>
          <w:tcPr>
            <w:tcW w:type="dxa" w:w="1200"/>
            <w:shd w:fill="1F3864" w:color="auto" w:val="clear"/>
          </w:tcPr>
          <w:p>
            <w:pPr>
              <w:spacing w:after="60" w:before="60"/>
            </w:pPr>
            <w:r>
              <w:rPr>
                <w:rFonts w:ascii="Calibri" w:cs="Calibri" w:eastAsia="Calibri" w:hAnsi="Calibri"/>
                <w:b/>
                <w:bCs/>
                <w:color w:val="FFFFFF"/>
                <w:sz w:val="20"/>
                <w:szCs w:val="20"/>
              </w:rPr>
              <w:t xml:space="preserve">Status</w:t>
            </w:r>
          </w:p>
        </w:tc>
        <w:tc>
          <w:tcPr>
            <w:tcW w:type="dxa" w:w="1100"/>
            <w:shd w:fill="1F3864" w:color="auto" w:val="clear"/>
          </w:tcPr>
          <w:p>
            <w:pPr>
              <w:spacing w:after="60" w:before="60"/>
            </w:pPr>
            <w:r>
              <w:rPr>
                <w:rFonts w:ascii="Calibri" w:cs="Calibri" w:eastAsia="Calibri" w:hAnsi="Calibri"/>
                <w:b/>
                <w:bCs/>
                <w:color w:val="FFFFFF"/>
                <w:sz w:val="20"/>
                <w:szCs w:val="20"/>
              </w:rPr>
              <w:t xml:space="preserve">Responsible</w:t>
            </w:r>
          </w:p>
        </w:tc>
        <w:tc>
          <w:tcPr>
            <w:tcW w:type="dxa" w:w="900"/>
            <w:shd w:fill="1F3864" w:color="auto" w:val="clear"/>
          </w:tcPr>
          <w:p>
            <w:pPr>
              <w:spacing w:after="60" w:before="60"/>
            </w:pPr>
            <w:r>
              <w:rPr>
                <w:rFonts w:ascii="Calibri" w:cs="Calibri" w:eastAsia="Calibri" w:hAnsi="Calibri"/>
                <w:b/>
                <w:bCs/>
                <w:color w:val="FFFFFF"/>
                <w:sz w:val="20"/>
                <w:szCs w:val="20"/>
              </w:rPr>
              <w:t xml:space="preserve">Date</w:t>
            </w:r>
          </w:p>
        </w:tc>
        <w:tc>
          <w:tcPr>
            <w:tcW w:type="dxa" w:w="3060"/>
            <w:shd w:fill="1F3864" w:color="auto" w:val="clear"/>
          </w:tcPr>
          <w:p>
            <w:pPr>
              <w:spacing w:after="60" w:before="60"/>
            </w:pPr>
            <w:r>
              <w:rPr>
                <w:rFonts w:ascii="Calibri" w:cs="Calibri" w:eastAsia="Calibri" w:hAnsi="Calibri"/>
                <w:b/>
                <w:bCs/>
                <w:color w:val="FFFFFF"/>
                <w:sz w:val="20"/>
                <w:szCs w:val="20"/>
              </w:rPr>
              <w:t xml:space="preserve">Notes</w:t>
            </w:r>
          </w:p>
        </w:tc>
      </w:tr>
      <w:tr>
        <w:tc>
          <w:tcPr>
            <w:tcW w:type="dxa" w:w="1600"/>
          </w:tcPr>
          <w:p>
            <w:pPr>
              <w:spacing w:after="30" w:before="30"/>
            </w:pPr>
            <w:r>
              <w:rPr>
                <w:rFonts w:ascii="Calibri" w:cs="Calibri" w:eastAsia="Calibri" w:hAnsi="Calibri"/>
                <w:b w:val="false"/>
                <w:bCs w:val="false"/>
                <w:i w:val="false"/>
                <w:iCs w:val="false"/>
                <w:color w:val="000000"/>
                <w:sz w:val="20"/>
                <w:szCs w:val="20"/>
              </w:rPr>
              <w:t xml:space="preserve">User account passwords</w:t>
            </w:r>
          </w:p>
        </w:tc>
        <w:tc>
          <w:tcPr>
            <w:tcW w:type="dxa" w:w="1500"/>
          </w:tcPr>
          <w:p>
            <w:pPr>
              <w:spacing w:after="30" w:before="30"/>
            </w:pPr>
            <w:r>
              <w:rPr>
                <w:rFonts w:ascii="Calibri" w:cs="Calibri" w:eastAsia="Calibri" w:hAnsi="Calibri"/>
                <w:b/>
                <w:bCs/>
                <w:i w:val="false"/>
                <w:iCs w:val="false"/>
                <w:color w:val="000000"/>
                <w:sz w:val="20"/>
                <w:szCs w:val="20"/>
              </w:rPr>
              <w:t xml:space="preserve">[ALL / AFFECTED ACCOUNTS ONLY]</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3060"/>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Service account credentials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[LIST SERVICE ACCOUNTS]</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0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tcPr>
          <w:p>
            <w:pPr>
              <w:spacing w:after="30" w:before="30"/>
            </w:pPr>
            <w:r>
              <w:rPr>
                <w:rFonts w:ascii="Calibri" w:cs="Calibri" w:eastAsia="Calibri" w:hAnsi="Calibri"/>
                <w:b w:val="false"/>
                <w:bCs w:val="false"/>
                <w:i w:val="false"/>
                <w:iCs w:val="false"/>
                <w:color w:val="000000"/>
                <w:sz w:val="20"/>
                <w:szCs w:val="20"/>
              </w:rPr>
              <w:t xml:space="preserve">API keys and tokens</w:t>
            </w:r>
          </w:p>
        </w:tc>
        <w:tc>
          <w:tcPr>
            <w:tcW w:type="dxa" w:w="1500"/>
          </w:tcPr>
          <w:p>
            <w:pPr>
              <w:spacing w:after="30" w:before="30"/>
            </w:pPr>
            <w:r>
              <w:rPr>
                <w:rFonts w:ascii="Calibri" w:cs="Calibri" w:eastAsia="Calibri" w:hAnsi="Calibri"/>
                <w:b/>
                <w:bCs/>
                <w:i w:val="false"/>
                <w:iCs w:val="false"/>
                <w:color w:val="000000"/>
                <w:sz w:val="20"/>
                <w:szCs w:val="20"/>
              </w:rPr>
              <w:t xml:space="preserve">[LIST AFFECTED SERVICES]</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3060"/>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TLS/SSL certificates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[LIST DOMAINS/SERVICES]</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0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tcPr>
          <w:p>
            <w:pPr>
              <w:spacing w:after="30" w:before="30"/>
            </w:pPr>
            <w:r>
              <w:rPr>
                <w:rFonts w:ascii="Calibri" w:cs="Calibri" w:eastAsia="Calibri" w:hAnsi="Calibri"/>
                <w:b w:val="false"/>
                <w:bCs w:val="false"/>
                <w:i w:val="false"/>
                <w:iCs w:val="false"/>
                <w:color w:val="000000"/>
                <w:sz w:val="20"/>
                <w:szCs w:val="20"/>
              </w:rPr>
              <w:t xml:space="preserve">Encryption keys (at-rest)</w:t>
            </w:r>
          </w:p>
        </w:tc>
        <w:tc>
          <w:tcPr>
            <w:tcW w:type="dxa" w:w="1500"/>
          </w:tcPr>
          <w:p>
            <w:pPr>
              <w:spacing w:after="30" w:before="30"/>
            </w:pPr>
            <w:r>
              <w:rPr>
                <w:rFonts w:ascii="Calibri" w:cs="Calibri" w:eastAsia="Calibri" w:hAnsi="Calibri"/>
                <w:b/>
                <w:bCs/>
                <w:i w:val="false"/>
                <w:iCs w:val="false"/>
                <w:color w:val="000000"/>
                <w:sz w:val="20"/>
                <w:szCs w:val="20"/>
              </w:rPr>
              <w:t xml:space="preserve">[LIST KEY STORES]</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3060"/>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SSH keys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[ALL / AFFECTED HOSTS]</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[STATUS]</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9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0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1600"/>
          </w:tcPr>
          <w:p>
            <w:pPr>
              <w:spacing w:after="30" w:before="30"/>
            </w:pPr>
            <w:r>
              <w:rPr>
                <w:rFonts w:ascii="Calibri" w:cs="Calibri" w:eastAsia="Calibri" w:hAnsi="Calibri"/>
                <w:b w:val="false"/>
                <w:bCs w:val="false"/>
                <w:i w:val="false"/>
                <w:iCs w:val="false"/>
                <w:color w:val="000000"/>
                <w:sz w:val="20"/>
                <w:szCs w:val="20"/>
              </w:rPr>
              <w:t xml:space="preserve">MFA re-enrollment</w:t>
            </w:r>
          </w:p>
        </w:tc>
        <w:tc>
          <w:tcPr>
            <w:tcW w:type="dxa" w:w="1500"/>
          </w:tcPr>
          <w:p>
            <w:pPr>
              <w:spacing w:after="30" w:before="30"/>
            </w:pPr>
            <w:r>
              <w:rPr>
                <w:rFonts w:ascii="Calibri" w:cs="Calibri" w:eastAsia="Calibri" w:hAnsi="Calibri"/>
                <w:b/>
                <w:bCs/>
                <w:i w:val="false"/>
                <w:iCs w:val="false"/>
                <w:color w:val="000000"/>
                <w:sz w:val="20"/>
                <w:szCs w:val="20"/>
              </w:rPr>
              <w:t xml:space="preserve">[SCOPE]</w:t>
            </w:r>
          </w:p>
        </w:tc>
        <w:tc>
          <w:tcPr>
            <w:tcW w:type="dxa" w:w="1200"/>
          </w:tcPr>
          <w:p>
            <w:pPr>
              <w:spacing w:after="30" w:before="30"/>
            </w:pPr>
            <w:r>
              <w:rPr>
                <w:rFonts w:ascii="Calibri" w:cs="Calibri" w:eastAsia="Calibri" w:hAnsi="Calibri"/>
                <w:b/>
                <w:bCs/>
                <w:i w:val="false"/>
                <w:iCs w:val="false"/>
                <w:color w:val="000000"/>
                <w:sz w:val="20"/>
                <w:szCs w:val="20"/>
              </w:rPr>
              <w:t xml:space="preserve">[STATUS]</w:t>
            </w:r>
          </w:p>
        </w:tc>
        <w:tc>
          <w:tcPr>
            <w:tcW w:type="dxa" w:w="1100"/>
          </w:tcPr>
          <w:p>
            <w:pPr>
              <w:spacing w:after="30" w:before="30"/>
            </w:pPr>
            <w:r>
              <w:rPr>
                <w:rFonts w:ascii="Calibri" w:cs="Calibri" w:eastAsia="Calibri" w:hAnsi="Calibri"/>
                <w:b/>
                <w:bCs/>
                <w:i w:val="false"/>
                <w:iCs w:val="false"/>
                <w:color w:val="000000"/>
                <w:sz w:val="20"/>
                <w:szCs w:val="20"/>
              </w:rPr>
              <w:t xml:space="preserve">[NAME]</w:t>
            </w:r>
          </w:p>
        </w:tc>
        <w:tc>
          <w:tcPr>
            <w:tcW w:type="dxa" w:w="900"/>
          </w:tcPr>
          <w:p>
            <w:pPr>
              <w:spacing w:after="30" w:before="30"/>
            </w:pPr>
            <w:r>
              <w:rPr>
                <w:rFonts w:ascii="Calibri" w:cs="Calibri" w:eastAsia="Calibri" w:hAnsi="Calibri"/>
                <w:b/>
                <w:bCs/>
                <w:i w:val="false"/>
                <w:iCs w:val="false"/>
                <w:color w:val="000000"/>
                <w:sz w:val="20"/>
                <w:szCs w:val="20"/>
              </w:rPr>
              <w:t xml:space="preserve">[DATE]</w:t>
            </w:r>
          </w:p>
        </w:tc>
        <w:tc>
          <w:tcPr>
            <w:tcW w:type="dxa" w:w="3060"/>
          </w:tcPr>
          <w:p>
            <w:pPr>
              <w:spacing w:after="30" w:before="30"/>
            </w:pPr>
            <w:r>
              <w:rPr>
                <w:rFonts w:ascii="Calibri" w:cs="Calibri" w:eastAsia="Calibri" w:hAnsi="Calibri"/>
                <w:b/>
                <w:bCs/>
                <w:i w:val="false"/>
                <w:iCs w:val="false"/>
                <w:color w:val="000000"/>
                <w:sz w:val="20"/>
                <w:szCs w:val="20"/>
              </w:rPr>
              <w:t xml:space="preserve">[NOTES]</w:t>
            </w:r>
          </w:p>
        </w:tc>
      </w:tr>
    </w:tbl>
    <w:p>
      <w:pPr>
        <w:spacing w:after="200"/>
      </w:pPr>
    </w:p>
    <w:p>
      <w:pPr>
        <w:pStyle w:val="Heading2"/>
        <w:keepNext/>
        <w:spacing w:after="120" w:before="240"/>
      </w:pPr>
      <w:r>
        <w:rPr>
          <w:rFonts w:ascii="Calibri" w:cs="Calibri" w:eastAsia="Calibri" w:hAnsi="Calibri"/>
          <w:b/>
          <w:bCs/>
          <w:color w:val="1F3864"/>
          <w:sz w:val="26"/>
          <w:szCs w:val="26"/>
        </w:rPr>
        <w:t xml:space="preserve">Staged Restoration Tasks</w:t>
      </w: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1100"/>
        <w:gridCol w:w="1200"/>
        <w:gridCol w:w="1060"/>
        <w:gridCol w:w="1100"/>
        <w:gridCol w:w="1700"/>
      </w:tblGrid>
      <w:tr>
        <w:trPr>
          <w:tblHeader/>
        </w:trPr>
        <w:tc>
          <w:tcPr>
            <w:tcW w:type="dxa" w:w="1300"/>
            <w:shd w:fill="1F3864" w:color="auto" w:val="clear"/>
          </w:tcPr>
          <w:p>
            <w:pPr>
              <w:spacing w:after="60" w:before="60"/>
            </w:pPr>
            <w:r>
              <w:rPr>
                <w:rFonts w:ascii="Calibri" w:cs="Calibri" w:eastAsia="Calibri" w:hAnsi="Calibri"/>
                <w:b/>
                <w:bCs/>
                <w:color w:val="FFFFFF"/>
                <w:sz w:val="20"/>
                <w:szCs w:val="20"/>
              </w:rPr>
              <w:t xml:space="preserve">Stage</w:t>
            </w:r>
          </w:p>
        </w:tc>
        <w:tc>
          <w:tcPr>
            <w:tcW w:type="dxa" w:w="1500"/>
            <w:shd w:fill="1F3864" w:color="auto" w:val="clear"/>
          </w:tcPr>
          <w:p>
            <w:pPr>
              <w:spacing w:after="60" w:before="60"/>
            </w:pPr>
            <w:r>
              <w:rPr>
                <w:rFonts w:ascii="Calibri" w:cs="Calibri" w:eastAsia="Calibri" w:hAnsi="Calibri"/>
                <w:b/>
                <w:bCs/>
                <w:color w:val="FFFFFF"/>
                <w:sz w:val="20"/>
                <w:szCs w:val="20"/>
              </w:rPr>
              <w:t xml:space="preserve">System/Service</w:t>
            </w:r>
          </w:p>
        </w:tc>
        <w:tc>
          <w:tcPr>
            <w:tcW w:type="dxa" w:w="1100"/>
            <w:shd w:fill="1F3864" w:color="auto" w:val="clear"/>
          </w:tcPr>
          <w:p>
            <w:pPr>
              <w:spacing w:after="60" w:before="60"/>
            </w:pPr>
            <w:r>
              <w:rPr>
                <w:rFonts w:ascii="Calibri" w:cs="Calibri" w:eastAsia="Calibri" w:hAnsi="Calibri"/>
                <w:b/>
                <w:bCs/>
                <w:color w:val="FFFFFF"/>
                <w:sz w:val="20"/>
                <w:szCs w:val="20"/>
              </w:rPr>
              <w:t xml:space="preserve">Backup Date</w:t>
            </w:r>
          </w:p>
        </w:tc>
        <w:tc>
          <w:tcPr>
            <w:tcW w:type="dxa" w:w="1200"/>
            <w:shd w:fill="1F3864" w:color="auto" w:val="clear"/>
          </w:tcPr>
          <w:p>
            <w:pPr>
              <w:spacing w:after="60" w:before="60"/>
            </w:pPr>
            <w:r>
              <w:rPr>
                <w:rFonts w:ascii="Calibri" w:cs="Calibri" w:eastAsia="Calibri" w:hAnsi="Calibri"/>
                <w:b/>
                <w:bCs/>
                <w:color w:val="FFFFFF"/>
                <w:sz w:val="20"/>
                <w:szCs w:val="20"/>
              </w:rPr>
              <w:t xml:space="preserve">Integrity Verified</w:t>
            </w:r>
          </w:p>
        </w:tc>
        <w:tc>
          <w:tcPr>
            <w:tcW w:type="dxa" w:w="1060"/>
            <w:shd w:fill="1F3864" w:color="auto" w:val="clear"/>
          </w:tcPr>
          <w:p>
            <w:pPr>
              <w:spacing w:after="60" w:before="60"/>
            </w:pPr>
            <w:r>
              <w:rPr>
                <w:rFonts w:ascii="Calibri" w:cs="Calibri" w:eastAsia="Calibri" w:hAnsi="Calibri"/>
                <w:b/>
                <w:bCs/>
                <w:color w:val="FFFFFF"/>
                <w:sz w:val="20"/>
                <w:szCs w:val="20"/>
              </w:rPr>
              <w:t xml:space="preserve">Restored</w:t>
            </w:r>
          </w:p>
        </w:tc>
        <w:tc>
          <w:tcPr>
            <w:tcW w:type="dxa" w:w="1100"/>
            <w:shd w:fill="1F3864" w:color="auto" w:val="clear"/>
          </w:tcPr>
          <w:p>
            <w:pPr>
              <w:spacing w:after="60" w:before="60"/>
            </w:pPr>
            <w:r>
              <w:rPr>
                <w:rFonts w:ascii="Calibri" w:cs="Calibri" w:eastAsia="Calibri" w:hAnsi="Calibri"/>
                <w:b/>
                <w:bCs/>
                <w:color w:val="FFFFFF"/>
                <w:sz w:val="20"/>
                <w:szCs w:val="20"/>
              </w:rPr>
              <w:t xml:space="preserve">Validated</w:t>
            </w:r>
          </w:p>
        </w:tc>
        <w:tc>
          <w:tcPr>
            <w:tcW w:type="dxa" w:w="1700"/>
            <w:shd w:fill="1F3864" w:color="auto" w:val="clear"/>
          </w:tcPr>
          <w:p>
            <w:pPr>
              <w:spacing w:after="60" w:before="60"/>
            </w:pPr>
            <w:r>
              <w:rPr>
                <w:rFonts w:ascii="Calibri" w:cs="Calibri" w:eastAsia="Calibri" w:hAnsi="Calibri"/>
                <w:b/>
                <w:bCs/>
                <w:color w:val="FFFFFF"/>
                <w:sz w:val="20"/>
                <w:szCs w:val="20"/>
              </w:rPr>
              <w:t xml:space="preserve">Approved By</w:t>
            </w:r>
          </w:p>
        </w:tc>
      </w:tr>
      <w:tr>
        <w:tc>
          <w:tcPr>
            <w:tcW w:type="dxa" w:w="1300"/>
          </w:tcPr>
          <w:p>
            <w:pPr>
              <w:spacing w:after="30" w:before="30"/>
            </w:pPr>
            <w:r>
              <w:rPr>
                <w:rFonts w:ascii="Calibri" w:cs="Calibri" w:eastAsia="Calibri" w:hAnsi="Calibri"/>
                <w:b w:val="false"/>
                <w:bCs w:val="false"/>
                <w:i w:val="false"/>
                <w:iCs w:val="false"/>
                <w:color w:val="000000"/>
                <w:sz w:val="20"/>
                <w:szCs w:val="20"/>
              </w:rPr>
              <w:t xml:space="preserve">1 — Infrastructure</w:t>
            </w:r>
          </w:p>
        </w:tc>
        <w:tc>
          <w:tcPr>
            <w:tcW w:type="dxa" w:w="1500"/>
          </w:tcPr>
          <w:p>
            <w:pPr>
              <w:spacing w:after="30" w:before="30"/>
            </w:pPr>
            <w:r>
              <w:rPr>
                <w:rFonts w:ascii="Calibri" w:cs="Calibri" w:eastAsia="Calibri" w:hAnsi="Calibri"/>
                <w:b/>
                <w:bCs/>
                <w:i w:val="false"/>
                <w:iCs w:val="false"/>
                <w:color w:val="000000"/>
                <w:sz w:val="20"/>
                <w:szCs w:val="20"/>
              </w:rPr>
              <w:t xml:space="preserve">[SYSTEM]</w:t>
            </w:r>
          </w:p>
        </w:tc>
        <w:tc>
          <w:tcPr>
            <w:tcW w:type="dxa" w:w="1100"/>
          </w:tcPr>
          <w:p>
            <w:pPr>
              <w:spacing w:after="30" w:before="30"/>
            </w:pPr>
            <w:r>
              <w:rPr>
                <w:rFonts w:ascii="Calibri" w:cs="Calibri" w:eastAsia="Calibri" w:hAnsi="Calibri"/>
                <w:b/>
                <w:bCs/>
                <w:i w:val="false"/>
                <w:iCs w:val="false"/>
                <w:color w:val="000000"/>
                <w:sz w:val="20"/>
                <w:szCs w:val="20"/>
              </w:rPr>
              <w:t xml:space="preserve">[DATE]</w:t>
            </w:r>
          </w:p>
        </w:tc>
        <w:tc>
          <w:tcPr>
            <w:tcW w:type="dxa" w:w="1200"/>
          </w:tcPr>
          <w:p>
            <w:pPr>
              <w:spacing w:after="30" w:before="30"/>
            </w:pPr>
            <w:r>
              <w:rPr>
                <w:rFonts w:ascii="Calibri" w:cs="Calibri" w:eastAsia="Calibri" w:hAnsi="Calibri"/>
                <w:b/>
                <w:bCs/>
                <w:i w:val="false"/>
                <w:iCs w:val="false"/>
                <w:color w:val="000000"/>
                <w:sz w:val="20"/>
                <w:szCs w:val="20"/>
              </w:rPr>
              <w:t xml:space="preserve">[YES/NO]</w:t>
            </w:r>
          </w:p>
        </w:tc>
        <w:tc>
          <w:tcPr>
            <w:tcW w:type="dxa" w:w="1060"/>
          </w:tcPr>
          <w:p>
            <w:pPr>
              <w:spacing w:after="30" w:before="30"/>
            </w:pPr>
            <w:r>
              <w:rPr>
                <w:rFonts w:ascii="Calibri" w:cs="Calibri" w:eastAsia="Calibri" w:hAnsi="Calibri"/>
                <w:b/>
                <w:bCs/>
                <w:i w:val="false"/>
                <w:iCs w:val="false"/>
                <w:color w:val="000000"/>
                <w:sz w:val="20"/>
                <w:szCs w:val="20"/>
              </w:rPr>
              <w:t xml:space="preserve">[DATE]</w:t>
            </w:r>
          </w:p>
        </w:tc>
        <w:tc>
          <w:tcPr>
            <w:tcW w:type="dxa" w:w="1100"/>
          </w:tcPr>
          <w:p>
            <w:pPr>
              <w:spacing w:after="30" w:before="30"/>
            </w:pPr>
            <w:r>
              <w:rPr>
                <w:rFonts w:ascii="Calibri" w:cs="Calibri" w:eastAsia="Calibri" w:hAnsi="Calibri"/>
                <w:b/>
                <w:bCs/>
                <w:i w:val="false"/>
                <w:iCs w:val="false"/>
                <w:color w:val="000000"/>
                <w:sz w:val="20"/>
                <w:szCs w:val="20"/>
              </w:rPr>
              <w:t xml:space="preserve">[YES/NO]</w:t>
            </w:r>
          </w:p>
        </w:tc>
        <w:tc>
          <w:tcPr>
            <w:tcW w:type="dxa" w:w="1700"/>
          </w:tcPr>
          <w:p>
            <w:pPr>
              <w:spacing w:after="30" w:before="30"/>
            </w:pPr>
            <w:r>
              <w:rPr>
                <w:rFonts w:ascii="Calibri" w:cs="Calibri" w:eastAsia="Calibri" w:hAnsi="Calibri"/>
                <w:b/>
                <w:bCs/>
                <w:i w:val="false"/>
                <w:iCs w:val="false"/>
                <w:color w:val="000000"/>
                <w:sz w:val="20"/>
                <w:szCs w:val="20"/>
              </w:rPr>
              <w:t xml:space="preserve">[NAME]</w:t>
            </w:r>
          </w:p>
        </w:tc>
      </w:tr>
      <w:tr>
        <w:tc>
          <w:tcPr>
            <w:tcW w:type="dxa" w:w="13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1 — Infrastructure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[SYSTEM]</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0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r>
      <w:tr>
        <w:tc>
          <w:tcPr>
            <w:tcW w:type="dxa" w:w="1300"/>
          </w:tcPr>
          <w:p>
            <w:pPr>
              <w:spacing w:after="30" w:before="30"/>
            </w:pPr>
            <w:r>
              <w:rPr>
                <w:rFonts w:ascii="Calibri" w:cs="Calibri" w:eastAsia="Calibri" w:hAnsi="Calibri"/>
                <w:b w:val="false"/>
                <w:bCs w:val="false"/>
                <w:i w:val="false"/>
                <w:iCs w:val="false"/>
                <w:color w:val="000000"/>
                <w:sz w:val="20"/>
                <w:szCs w:val="20"/>
              </w:rPr>
              <w:t xml:space="preserve">2 — Critical Services</w:t>
            </w:r>
          </w:p>
        </w:tc>
        <w:tc>
          <w:tcPr>
            <w:tcW w:type="dxa" w:w="1500"/>
          </w:tcPr>
          <w:p>
            <w:pPr>
              <w:spacing w:after="30" w:before="30"/>
            </w:pPr>
            <w:r>
              <w:rPr>
                <w:rFonts w:ascii="Calibri" w:cs="Calibri" w:eastAsia="Calibri" w:hAnsi="Calibri"/>
                <w:b/>
                <w:bCs/>
                <w:i w:val="false"/>
                <w:iCs w:val="false"/>
                <w:color w:val="000000"/>
                <w:sz w:val="20"/>
                <w:szCs w:val="20"/>
              </w:rPr>
              <w:t xml:space="preserve">[SYSTEM]</w:t>
            </w:r>
          </w:p>
        </w:tc>
        <w:tc>
          <w:tcPr>
            <w:tcW w:type="dxa" w:w="1100"/>
          </w:tcPr>
          <w:p>
            <w:pPr>
              <w:spacing w:after="30" w:before="30"/>
            </w:pPr>
            <w:r>
              <w:rPr>
                <w:rFonts w:ascii="Calibri" w:cs="Calibri" w:eastAsia="Calibri" w:hAnsi="Calibri"/>
                <w:b/>
                <w:bCs/>
                <w:i w:val="false"/>
                <w:iCs w:val="false"/>
                <w:color w:val="000000"/>
                <w:sz w:val="20"/>
                <w:szCs w:val="20"/>
              </w:rPr>
              <w:t xml:space="preserve">[DATE]</w:t>
            </w:r>
          </w:p>
        </w:tc>
        <w:tc>
          <w:tcPr>
            <w:tcW w:type="dxa" w:w="1200"/>
          </w:tcPr>
          <w:p>
            <w:pPr>
              <w:spacing w:after="30" w:before="30"/>
            </w:pPr>
            <w:r>
              <w:rPr>
                <w:rFonts w:ascii="Calibri" w:cs="Calibri" w:eastAsia="Calibri" w:hAnsi="Calibri"/>
                <w:b/>
                <w:bCs/>
                <w:i w:val="false"/>
                <w:iCs w:val="false"/>
                <w:color w:val="000000"/>
                <w:sz w:val="20"/>
                <w:szCs w:val="20"/>
              </w:rPr>
              <w:t xml:space="preserve">[YES/NO]</w:t>
            </w:r>
          </w:p>
        </w:tc>
        <w:tc>
          <w:tcPr>
            <w:tcW w:type="dxa" w:w="1060"/>
          </w:tcPr>
          <w:p>
            <w:pPr>
              <w:spacing w:after="30" w:before="30"/>
            </w:pPr>
            <w:r>
              <w:rPr>
                <w:rFonts w:ascii="Calibri" w:cs="Calibri" w:eastAsia="Calibri" w:hAnsi="Calibri"/>
                <w:b/>
                <w:bCs/>
                <w:i w:val="false"/>
                <w:iCs w:val="false"/>
                <w:color w:val="000000"/>
                <w:sz w:val="20"/>
                <w:szCs w:val="20"/>
              </w:rPr>
              <w:t xml:space="preserve">[DATE]</w:t>
            </w:r>
          </w:p>
        </w:tc>
        <w:tc>
          <w:tcPr>
            <w:tcW w:type="dxa" w:w="1100"/>
          </w:tcPr>
          <w:p>
            <w:pPr>
              <w:spacing w:after="30" w:before="30"/>
            </w:pPr>
            <w:r>
              <w:rPr>
                <w:rFonts w:ascii="Calibri" w:cs="Calibri" w:eastAsia="Calibri" w:hAnsi="Calibri"/>
                <w:b/>
                <w:bCs/>
                <w:i w:val="false"/>
                <w:iCs w:val="false"/>
                <w:color w:val="000000"/>
                <w:sz w:val="20"/>
                <w:szCs w:val="20"/>
              </w:rPr>
              <w:t xml:space="preserve">[YES/NO]</w:t>
            </w:r>
          </w:p>
        </w:tc>
        <w:tc>
          <w:tcPr>
            <w:tcW w:type="dxa" w:w="1700"/>
          </w:tcPr>
          <w:p>
            <w:pPr>
              <w:spacing w:after="30" w:before="30"/>
            </w:pPr>
            <w:r>
              <w:rPr>
                <w:rFonts w:ascii="Calibri" w:cs="Calibri" w:eastAsia="Calibri" w:hAnsi="Calibri"/>
                <w:b/>
                <w:bCs/>
                <w:i w:val="false"/>
                <w:iCs w:val="false"/>
                <w:color w:val="000000"/>
                <w:sz w:val="20"/>
                <w:szCs w:val="20"/>
              </w:rPr>
              <w:t xml:space="preserve">[NAME]</w:t>
            </w:r>
          </w:p>
        </w:tc>
      </w:tr>
      <w:tr>
        <w:tc>
          <w:tcPr>
            <w:tcW w:type="dxa" w:w="13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2 — Critical Services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[SYSTEM]</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0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r>
      <w:tr>
        <w:tc>
          <w:tcPr>
            <w:tcW w:type="dxa" w:w="1300"/>
          </w:tcPr>
          <w:p>
            <w:pPr>
              <w:spacing w:after="30" w:before="30"/>
            </w:pPr>
            <w:r>
              <w:rPr>
                <w:rFonts w:ascii="Calibri" w:cs="Calibri" w:eastAsia="Calibri" w:hAnsi="Calibri"/>
                <w:b w:val="false"/>
                <w:bCs w:val="false"/>
                <w:i w:val="false"/>
                <w:iCs w:val="false"/>
                <w:color w:val="000000"/>
                <w:sz w:val="20"/>
                <w:szCs w:val="20"/>
              </w:rPr>
              <w:t xml:space="preserve">3 — Non-Critical</w:t>
            </w:r>
          </w:p>
        </w:tc>
        <w:tc>
          <w:tcPr>
            <w:tcW w:type="dxa" w:w="1500"/>
          </w:tcPr>
          <w:p>
            <w:pPr>
              <w:spacing w:after="30" w:before="30"/>
            </w:pPr>
            <w:r>
              <w:rPr>
                <w:rFonts w:ascii="Calibri" w:cs="Calibri" w:eastAsia="Calibri" w:hAnsi="Calibri"/>
                <w:b/>
                <w:bCs/>
                <w:i w:val="false"/>
                <w:iCs w:val="false"/>
                <w:color w:val="000000"/>
                <w:sz w:val="20"/>
                <w:szCs w:val="20"/>
              </w:rPr>
              <w:t xml:space="preserve">[SYSTEM]</w:t>
            </w:r>
          </w:p>
        </w:tc>
        <w:tc>
          <w:tcPr>
            <w:tcW w:type="dxa" w:w="1100"/>
          </w:tcPr>
          <w:p>
            <w:pPr>
              <w:spacing w:after="30" w:before="30"/>
            </w:pPr>
            <w:r>
              <w:rPr>
                <w:rFonts w:ascii="Calibri" w:cs="Calibri" w:eastAsia="Calibri" w:hAnsi="Calibri"/>
                <w:b/>
                <w:bCs/>
                <w:i w:val="false"/>
                <w:iCs w:val="false"/>
                <w:color w:val="000000"/>
                <w:sz w:val="20"/>
                <w:szCs w:val="20"/>
              </w:rPr>
              <w:t xml:space="preserve">[DATE]</w:t>
            </w:r>
          </w:p>
        </w:tc>
        <w:tc>
          <w:tcPr>
            <w:tcW w:type="dxa" w:w="1200"/>
          </w:tcPr>
          <w:p>
            <w:pPr>
              <w:spacing w:after="30" w:before="30"/>
            </w:pPr>
            <w:r>
              <w:rPr>
                <w:rFonts w:ascii="Calibri" w:cs="Calibri" w:eastAsia="Calibri" w:hAnsi="Calibri"/>
                <w:b/>
                <w:bCs/>
                <w:i w:val="false"/>
                <w:iCs w:val="false"/>
                <w:color w:val="000000"/>
                <w:sz w:val="20"/>
                <w:szCs w:val="20"/>
              </w:rPr>
              <w:t xml:space="preserve">[YES/NO]</w:t>
            </w:r>
          </w:p>
        </w:tc>
        <w:tc>
          <w:tcPr>
            <w:tcW w:type="dxa" w:w="1060"/>
          </w:tcPr>
          <w:p>
            <w:pPr>
              <w:spacing w:after="30" w:before="30"/>
            </w:pPr>
            <w:r>
              <w:rPr>
                <w:rFonts w:ascii="Calibri" w:cs="Calibri" w:eastAsia="Calibri" w:hAnsi="Calibri"/>
                <w:b/>
                <w:bCs/>
                <w:i w:val="false"/>
                <w:iCs w:val="false"/>
                <w:color w:val="000000"/>
                <w:sz w:val="20"/>
                <w:szCs w:val="20"/>
              </w:rPr>
              <w:t xml:space="preserve">[DATE]</w:t>
            </w:r>
          </w:p>
        </w:tc>
        <w:tc>
          <w:tcPr>
            <w:tcW w:type="dxa" w:w="1100"/>
          </w:tcPr>
          <w:p>
            <w:pPr>
              <w:spacing w:after="30" w:before="30"/>
            </w:pPr>
            <w:r>
              <w:rPr>
                <w:rFonts w:ascii="Calibri" w:cs="Calibri" w:eastAsia="Calibri" w:hAnsi="Calibri"/>
                <w:b/>
                <w:bCs/>
                <w:i w:val="false"/>
                <w:iCs w:val="false"/>
                <w:color w:val="000000"/>
                <w:sz w:val="20"/>
                <w:szCs w:val="20"/>
              </w:rPr>
              <w:t xml:space="preserve">[YES/NO]</w:t>
            </w:r>
          </w:p>
        </w:tc>
        <w:tc>
          <w:tcPr>
            <w:tcW w:type="dxa" w:w="1700"/>
          </w:tcPr>
          <w:p>
            <w:pPr>
              <w:spacing w:after="30" w:before="30"/>
            </w:pPr>
            <w:r>
              <w:rPr>
                <w:rFonts w:ascii="Calibri" w:cs="Calibri" w:eastAsia="Calibri" w:hAnsi="Calibri"/>
                <w:b/>
                <w:bCs/>
                <w:i w:val="false"/>
                <w:iCs w:val="false"/>
                <w:color w:val="000000"/>
                <w:sz w:val="20"/>
                <w:szCs w:val="20"/>
              </w:rPr>
              <w:t xml:space="preserve">[NAME]</w:t>
            </w:r>
          </w:p>
        </w:tc>
      </w:tr>
      <w:tr>
        <w:tc>
          <w:tcPr>
            <w:tcW w:type="dxa" w:w="13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4 — User Access</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[SCOPE]</w:t>
            </w:r>
          </w:p>
        </w:tc>
        <w:tc>
          <w:tcPr>
            <w:tcW w:type="dxa" w:w="11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N/A</w:t>
            </w:r>
          </w:p>
        </w:tc>
        <w:tc>
          <w:tcPr>
            <w:tcW w:type="dxa" w:w="1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N/A</w:t>
            </w:r>
          </w:p>
        </w:tc>
        <w:tc>
          <w:tcPr>
            <w:tcW w:type="dxa" w:w="10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11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70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r>
    </w:tbl>
    <w:p>
      <w:r>
        <w:br w:type="page"/>
      </w:r>
    </w:p>
    <w:p>
      <w:pPr>
        <w:pStyle w:val="Heading1"/>
        <w:spacing w:after="100" w:before="200"/>
        <w:jc w:val="center"/>
      </w:pPr>
      <w:r>
        <w:rPr>
          <w:rFonts w:ascii="Calibri" w:cs="Calibri" w:eastAsia="Calibri" w:hAnsi="Calibri"/>
          <w:b/>
          <w:bCs/>
          <w:color w:val="1F3864"/>
          <w:sz w:val="32"/>
          <w:szCs w:val="32"/>
        </w:rPr>
        <w:t xml:space="preserve">EXHIBIT H</w:t>
      </w:r>
    </w:p>
    <w:p>
      <w:pPr>
        <w:spacing w:after="300"/>
        <w:jc w:val="center"/>
      </w:pPr>
      <w:r>
        <w:rPr>
          <w:rFonts w:ascii="Calibri" w:cs="Calibri" w:eastAsia="Calibri" w:hAnsi="Calibri"/>
          <w:b/>
          <w:bCs/>
          <w:color w:val="1F3864"/>
          <w:sz w:val="28"/>
          <w:szCs w:val="28"/>
        </w:rPr>
        <w:t xml:space="preserve">RANSOMWARE DECISION CHECKLIST</w:t>
      </w:r>
    </w:p>
    <w:p>
      <w:pPr>
        <w:spacing w:after="120" w:line="276"/>
      </w:pPr>
      <w:r>
        <w:rPr>
          <w:rFonts w:ascii="Calibri" w:cs="Calibri" w:eastAsia="Calibri" w:hAnsi="Calibri"/>
          <w:b w:val="false"/>
          <w:bCs w:val="false"/>
          <w:i w:val="false"/>
          <w:iCs w:val="false"/>
          <w:color w:val="000000"/>
          <w:sz w:val="22"/>
          <w:szCs w:val="22"/>
        </w:rPr>
        <w:t xml:space="preserve">This checklist supports the structured decision-making process described in Section 12. Complete each section before escalating to Executive Leadership for a payment decision.</w:t>
      </w:r>
    </w:p>
    <w:p>
      <w:pPr>
        <w:spacing w:after="200"/>
      </w:pPr>
    </w:p>
    <w:p>
      <w:pPr>
        <w:pStyle w:val="Heading2"/>
        <w:keepNext/>
        <w:spacing w:after="120" w:before="240"/>
      </w:pPr>
      <w:r>
        <w:rPr>
          <w:rFonts w:ascii="Calibri" w:cs="Calibri" w:eastAsia="Calibri" w:hAnsi="Calibri"/>
          <w:b/>
          <w:bCs/>
          <w:color w:val="1F3864"/>
          <w:sz w:val="26"/>
          <w:szCs w:val="26"/>
        </w:rPr>
        <w:t xml:space="preserve">1.  Scope and Impact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960"/>
        <w:gridCol w:w="220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Question</w:t>
            </w:r>
          </w:p>
        </w:tc>
        <w:tc>
          <w:tcPr>
            <w:tcW w:type="dxa" w:w="3960"/>
            <w:shd w:fill="1F3864" w:color="auto" w:val="clear"/>
          </w:tcPr>
          <w:p>
            <w:pPr>
              <w:spacing w:after="60" w:before="60"/>
            </w:pPr>
            <w:r>
              <w:rPr>
                <w:rFonts w:ascii="Calibri" w:cs="Calibri" w:eastAsia="Calibri" w:hAnsi="Calibri"/>
                <w:b/>
                <w:bCs/>
                <w:color w:val="FFFFFF"/>
                <w:sz w:val="20"/>
                <w:szCs w:val="20"/>
              </w:rPr>
              <w:t xml:space="preserve">Response</w:t>
            </w:r>
          </w:p>
        </w:tc>
        <w:tc>
          <w:tcPr>
            <w:tcW w:type="dxa" w:w="2200"/>
            <w:shd w:fill="1F3864" w:color="auto" w:val="clear"/>
          </w:tcPr>
          <w:p>
            <w:pPr>
              <w:spacing w:after="60" w:before="60"/>
            </w:pPr>
            <w:r>
              <w:rPr>
                <w:rFonts w:ascii="Calibri" w:cs="Calibri" w:eastAsia="Calibri" w:hAnsi="Calibri"/>
                <w:b/>
                <w:bCs/>
                <w:color w:val="FFFFFF"/>
                <w:sz w:val="20"/>
                <w:szCs w:val="20"/>
              </w:rPr>
              <w:t xml:space="preserve">Source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systems are encrypted or rendered inoperable?</w:t>
            </w:r>
          </w:p>
        </w:tc>
        <w:tc>
          <w:tcPr>
            <w:tcW w:type="dxa" w:w="3960"/>
          </w:tcPr>
          <w:p>
            <w:pPr>
              <w:spacing w:after="30" w:before="30"/>
            </w:pPr>
            <w:r>
              <w:rPr>
                <w:rFonts w:ascii="Calibri" w:cs="Calibri" w:eastAsia="Calibri" w:hAnsi="Calibri"/>
                <w:b/>
                <w:bCs/>
                <w:i w:val="false"/>
                <w:iCs w:val="false"/>
                <w:color w:val="000000"/>
                <w:sz w:val="20"/>
                <w:szCs w:val="20"/>
              </w:rPr>
              <w:t xml:space="preserve">[LIST ALL AFFECTED SYSTEMS]</w:t>
            </w:r>
          </w:p>
        </w:tc>
        <w:tc>
          <w:tcPr>
            <w:tcW w:type="dxa" w:w="2200"/>
          </w:tcPr>
          <w:p>
            <w:pPr>
              <w:spacing w:after="30" w:before="30"/>
            </w:pPr>
            <w:r>
              <w:rPr>
                <w:rFonts w:ascii="Calibri" w:cs="Calibri" w:eastAsia="Calibri" w:hAnsi="Calibri"/>
                <w:b/>
                <w:bCs/>
                <w:i w:val="false"/>
                <w:iCs w:val="false"/>
                <w:color w:val="000000"/>
                <w:sz w:val="20"/>
                <w:szCs w:val="20"/>
              </w:rPr>
              <w:t xml:space="preserve">[FORENSICS / IT]</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Are Critical Services affected?</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[YES/NO — LIST AFFECTED CRITICAL SERVICES]</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[IC / BCP]</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Has data been exfiltrated (double extortion)?</w:t>
            </w:r>
          </w:p>
        </w:tc>
        <w:tc>
          <w:tcPr>
            <w:tcW w:type="dxa" w:w="3960"/>
          </w:tcPr>
          <w:p>
            <w:pPr>
              <w:spacing w:after="30" w:before="30"/>
            </w:pPr>
            <w:r>
              <w:rPr>
                <w:rFonts w:ascii="Calibri" w:cs="Calibri" w:eastAsia="Calibri" w:hAnsi="Calibri"/>
                <w:b/>
                <w:bCs/>
                <w:i w:val="false"/>
                <w:iCs w:val="false"/>
                <w:color w:val="000000"/>
                <w:sz w:val="20"/>
                <w:szCs w:val="20"/>
              </w:rPr>
              <w:t xml:space="preserve">[YES / NO / UNDER INVESTIGATION]</w:t>
            </w:r>
          </w:p>
        </w:tc>
        <w:tc>
          <w:tcPr>
            <w:tcW w:type="dxa" w:w="2200"/>
          </w:tcPr>
          <w:p>
            <w:pPr>
              <w:spacing w:after="30" w:before="30"/>
            </w:pPr>
            <w:r>
              <w:rPr>
                <w:rFonts w:ascii="Calibri" w:cs="Calibri" w:eastAsia="Calibri" w:hAnsi="Calibri"/>
                <w:b/>
                <w:bCs/>
                <w:i w:val="false"/>
                <w:iCs w:val="false"/>
                <w:color w:val="000000"/>
                <w:sz w:val="20"/>
                <w:szCs w:val="20"/>
              </w:rPr>
              <w:t xml:space="preserve">[FORENSICS]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What is the estimated business-interruption impact per day?</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[DOLLAR AMOUNT OR RANGE]</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[FINANCE / BCP]</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is the estimated total financial impact if ransom is NOT paid?</w:t>
            </w:r>
          </w:p>
        </w:tc>
        <w:tc>
          <w:tcPr>
            <w:tcW w:type="dxa" w:w="3960"/>
          </w:tcPr>
          <w:p>
            <w:pPr>
              <w:spacing w:after="30" w:before="30"/>
            </w:pPr>
            <w:r>
              <w:rPr>
                <w:rFonts w:ascii="Calibri" w:cs="Calibri" w:eastAsia="Calibri" w:hAnsi="Calibri"/>
                <w:b/>
                <w:bCs/>
                <w:i w:val="false"/>
                <w:iCs w:val="false"/>
                <w:color w:val="000000"/>
                <w:sz w:val="20"/>
                <w:szCs w:val="20"/>
              </w:rPr>
              <w:t xml:space="preserve">[DOLLAR AMOUNT OR RANGE]</w:t>
            </w:r>
          </w:p>
        </w:tc>
        <w:tc>
          <w:tcPr>
            <w:tcW w:type="dxa" w:w="2200"/>
          </w:tcPr>
          <w:p>
            <w:pPr>
              <w:spacing w:after="30" w:before="30"/>
            </w:pPr>
            <w:r>
              <w:rPr>
                <w:rFonts w:ascii="Calibri" w:cs="Calibri" w:eastAsia="Calibri" w:hAnsi="Calibri"/>
                <w:b/>
                <w:bCs/>
                <w:i w:val="false"/>
                <w:iCs w:val="false"/>
                <w:color w:val="000000"/>
                <w:sz w:val="20"/>
                <w:szCs w:val="20"/>
              </w:rPr>
              <w:t xml:space="preserve">[FINANCE]</w:t>
            </w:r>
          </w:p>
        </w:tc>
      </w:tr>
    </w:tbl>
    <w:p>
      <w:pPr>
        <w:spacing w:after="200"/>
      </w:pPr>
    </w:p>
    <w:p>
      <w:pPr>
        <w:pStyle w:val="Heading2"/>
        <w:keepNext/>
        <w:spacing w:after="120" w:before="240"/>
      </w:pPr>
      <w:r>
        <w:rPr>
          <w:rFonts w:ascii="Calibri" w:cs="Calibri" w:eastAsia="Calibri" w:hAnsi="Calibri"/>
          <w:b/>
          <w:bCs/>
          <w:color w:val="1F3864"/>
          <w:sz w:val="26"/>
          <w:szCs w:val="26"/>
        </w:rPr>
        <w:t xml:space="preserve">2.  Recovery Alternatives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960"/>
        <w:gridCol w:w="220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Question</w:t>
            </w:r>
          </w:p>
        </w:tc>
        <w:tc>
          <w:tcPr>
            <w:tcW w:type="dxa" w:w="3960"/>
            <w:shd w:fill="1F3864" w:color="auto" w:val="clear"/>
          </w:tcPr>
          <w:p>
            <w:pPr>
              <w:spacing w:after="60" w:before="60"/>
            </w:pPr>
            <w:r>
              <w:rPr>
                <w:rFonts w:ascii="Calibri" w:cs="Calibri" w:eastAsia="Calibri" w:hAnsi="Calibri"/>
                <w:b/>
                <w:bCs/>
                <w:color w:val="FFFFFF"/>
                <w:sz w:val="20"/>
                <w:szCs w:val="20"/>
              </w:rPr>
              <w:t xml:space="preserve">Response</w:t>
            </w:r>
          </w:p>
        </w:tc>
        <w:tc>
          <w:tcPr>
            <w:tcW w:type="dxa" w:w="2200"/>
            <w:shd w:fill="1F3864" w:color="auto" w:val="clear"/>
          </w:tcPr>
          <w:p>
            <w:pPr>
              <w:spacing w:after="60" w:before="60"/>
            </w:pPr>
            <w:r>
              <w:rPr>
                <w:rFonts w:ascii="Calibri" w:cs="Calibri" w:eastAsia="Calibri" w:hAnsi="Calibri"/>
                <w:b/>
                <w:bCs/>
                <w:color w:val="FFFFFF"/>
                <w:sz w:val="20"/>
                <w:szCs w:val="20"/>
              </w:rPr>
              <w:t xml:space="preserve">Source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Are clean backups available for all affected systems?</w:t>
            </w:r>
          </w:p>
        </w:tc>
        <w:tc>
          <w:tcPr>
            <w:tcW w:type="dxa" w:w="3960"/>
          </w:tcPr>
          <w:p>
            <w:pPr>
              <w:spacing w:after="30" w:before="30"/>
            </w:pPr>
            <w:r>
              <w:rPr>
                <w:rFonts w:ascii="Calibri" w:cs="Calibri" w:eastAsia="Calibri" w:hAnsi="Calibri"/>
                <w:b/>
                <w:bCs/>
                <w:i w:val="false"/>
                <w:iCs w:val="false"/>
                <w:color w:val="000000"/>
                <w:sz w:val="20"/>
                <w:szCs w:val="20"/>
              </w:rPr>
              <w:t xml:space="preserve">[YES / PARTIAL / NO]</w:t>
            </w:r>
          </w:p>
        </w:tc>
        <w:tc>
          <w:tcPr>
            <w:tcW w:type="dxa" w:w="2200"/>
          </w:tcPr>
          <w:p>
            <w:pPr>
              <w:spacing w:after="30" w:before="30"/>
            </w:pPr>
            <w:r>
              <w:rPr>
                <w:rFonts w:ascii="Calibri" w:cs="Calibri" w:eastAsia="Calibri" w:hAnsi="Calibri"/>
                <w:b/>
                <w:bCs/>
                <w:i w:val="false"/>
                <w:iCs w:val="false"/>
                <w:color w:val="000000"/>
                <w:sz w:val="20"/>
                <w:szCs w:val="20"/>
              </w:rPr>
              <w:t xml:space="preserve">[IT]</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What is the estimated time to restore from backups?</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[TIME ESTIMATE]</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[IT]</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Are public decryption tools available for this ransomware variant?</w:t>
            </w:r>
          </w:p>
        </w:tc>
        <w:tc>
          <w:tcPr>
            <w:tcW w:type="dxa" w:w="3960"/>
          </w:tcPr>
          <w:p>
            <w:pPr>
              <w:spacing w:after="30" w:before="30"/>
            </w:pPr>
            <w:r>
              <w:rPr>
                <w:rFonts w:ascii="Calibri" w:cs="Calibri" w:eastAsia="Calibri" w:hAnsi="Calibri"/>
                <w:b/>
                <w:bCs/>
                <w:i w:val="false"/>
                <w:iCs w:val="false"/>
                <w:color w:val="000000"/>
                <w:sz w:val="20"/>
                <w:szCs w:val="20"/>
              </w:rPr>
              <w:t xml:space="preserve">[YES — DESCRIBE / NO / UNDER INVESTIGATION]</w:t>
            </w:r>
          </w:p>
        </w:tc>
        <w:tc>
          <w:tcPr>
            <w:tcW w:type="dxa" w:w="2200"/>
          </w:tcPr>
          <w:p>
            <w:pPr>
              <w:spacing w:after="30" w:before="30"/>
            </w:pPr>
            <w:r>
              <w:rPr>
                <w:rFonts w:ascii="Calibri" w:cs="Calibri" w:eastAsia="Calibri" w:hAnsi="Calibri"/>
                <w:b/>
                <w:bCs/>
                <w:i w:val="false"/>
                <w:iCs w:val="false"/>
                <w:color w:val="000000"/>
                <w:sz w:val="20"/>
                <w:szCs w:val="20"/>
              </w:rPr>
              <w:t xml:space="preserve">[FORENSICS]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Can affected systems be rebuilt from scratch?</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ESTIMATE TIME AND COST / NO — EXPLAIN]</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[IT / ENGINEERING]</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customer/business impact results from the estimated recovery time?</w:t>
            </w:r>
          </w:p>
        </w:tc>
        <w:tc>
          <w:tcPr>
            <w:tcW w:type="dxa" w:w="3960"/>
          </w:tcPr>
          <w:p>
            <w:pPr>
              <w:spacing w:after="30" w:before="30"/>
            </w:pPr>
            <w:r>
              <w:rPr>
                <w:rFonts w:ascii="Calibri" w:cs="Calibri" w:eastAsia="Calibri" w:hAnsi="Calibri"/>
                <w:b/>
                <w:bCs/>
                <w:i w:val="false"/>
                <w:iCs w:val="false"/>
                <w:color w:val="000000"/>
                <w:sz w:val="20"/>
                <w:szCs w:val="20"/>
              </w:rPr>
              <w:t xml:space="preserve">[DESCRIBE IMPACT]</w:t>
            </w:r>
          </w:p>
        </w:tc>
        <w:tc>
          <w:tcPr>
            <w:tcW w:type="dxa" w:w="2200"/>
          </w:tcPr>
          <w:p>
            <w:pPr>
              <w:spacing w:after="30" w:before="30"/>
            </w:pPr>
            <w:r>
              <w:rPr>
                <w:rFonts w:ascii="Calibri" w:cs="Calibri" w:eastAsia="Calibri" w:hAnsi="Calibri"/>
                <w:b/>
                <w:bCs/>
                <w:i w:val="false"/>
                <w:iCs w:val="false"/>
                <w:color w:val="000000"/>
                <w:sz w:val="20"/>
                <w:szCs w:val="20"/>
              </w:rPr>
              <w:t xml:space="preserve">[BUSINESS / CUSTOMER]</w:t>
            </w:r>
          </w:p>
        </w:tc>
      </w:tr>
    </w:tbl>
    <w:p>
      <w:pPr>
        <w:spacing w:after="200"/>
      </w:pPr>
    </w:p>
    <w:p>
      <w:pPr>
        <w:pStyle w:val="Heading2"/>
        <w:keepNext/>
        <w:spacing w:after="120" w:before="240"/>
      </w:pPr>
      <w:r>
        <w:rPr>
          <w:rFonts w:ascii="Calibri" w:cs="Calibri" w:eastAsia="Calibri" w:hAnsi="Calibri"/>
          <w:b/>
          <w:bCs/>
          <w:color w:val="1F3864"/>
          <w:sz w:val="26"/>
          <w:szCs w:val="26"/>
        </w:rPr>
        <w:t xml:space="preserve">3.  Threat Actor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960"/>
        <w:gridCol w:w="220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Question</w:t>
            </w:r>
          </w:p>
        </w:tc>
        <w:tc>
          <w:tcPr>
            <w:tcW w:type="dxa" w:w="3960"/>
            <w:shd w:fill="1F3864" w:color="auto" w:val="clear"/>
          </w:tcPr>
          <w:p>
            <w:pPr>
              <w:spacing w:after="60" w:before="60"/>
            </w:pPr>
            <w:r>
              <w:rPr>
                <w:rFonts w:ascii="Calibri" w:cs="Calibri" w:eastAsia="Calibri" w:hAnsi="Calibri"/>
                <w:b/>
                <w:bCs/>
                <w:color w:val="FFFFFF"/>
                <w:sz w:val="20"/>
                <w:szCs w:val="20"/>
              </w:rPr>
              <w:t xml:space="preserve">Response</w:t>
            </w:r>
          </w:p>
        </w:tc>
        <w:tc>
          <w:tcPr>
            <w:tcW w:type="dxa" w:w="2200"/>
            <w:shd w:fill="1F3864" w:color="auto" w:val="clear"/>
          </w:tcPr>
          <w:p>
            <w:pPr>
              <w:spacing w:after="60" w:before="60"/>
            </w:pPr>
            <w:r>
              <w:rPr>
                <w:rFonts w:ascii="Calibri" w:cs="Calibri" w:eastAsia="Calibri" w:hAnsi="Calibri"/>
                <w:b/>
                <w:bCs/>
                <w:color w:val="FFFFFF"/>
                <w:sz w:val="20"/>
                <w:szCs w:val="20"/>
              </w:rPr>
              <w:t xml:space="preserve">Source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Has the ransomware variant been identified?</w:t>
            </w:r>
          </w:p>
        </w:tc>
        <w:tc>
          <w:tcPr>
            <w:tcW w:type="dxa" w:w="3960"/>
          </w:tcPr>
          <w:p>
            <w:pPr>
              <w:spacing w:after="30" w:before="30"/>
            </w:pPr>
            <w:r>
              <w:rPr>
                <w:rFonts w:ascii="Calibri" w:cs="Calibri" w:eastAsia="Calibri" w:hAnsi="Calibri"/>
                <w:b/>
                <w:bCs/>
                <w:i w:val="false"/>
                <w:iCs w:val="false"/>
                <w:color w:val="000000"/>
                <w:sz w:val="20"/>
                <w:szCs w:val="20"/>
              </w:rPr>
              <w:t xml:space="preserve">[YES — NAME AND VERSION / NO]</w:t>
            </w:r>
          </w:p>
        </w:tc>
        <w:tc>
          <w:tcPr>
            <w:tcW w:type="dxa" w:w="2200"/>
          </w:tcPr>
          <w:p>
            <w:pPr>
              <w:spacing w:after="30" w:before="30"/>
            </w:pPr>
            <w:r>
              <w:rPr>
                <w:rFonts w:ascii="Calibri" w:cs="Calibri" w:eastAsia="Calibri" w:hAnsi="Calibri"/>
                <w:b/>
                <w:bCs/>
                <w:i w:val="false"/>
                <w:iCs w:val="false"/>
                <w:color w:val="000000"/>
                <w:sz w:val="20"/>
                <w:szCs w:val="20"/>
              </w:rPr>
              <w:t xml:space="preserve">[FORENSICS]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Is the threat-actor group known?</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NAME / NO / SUSPECTED]</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[FORENSICS / THREAT INTEL]</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is the threat actor's track record of providing decryption upon payment?</w:t>
            </w:r>
          </w:p>
        </w:tc>
        <w:tc>
          <w:tcPr>
            <w:tcW w:type="dxa" w:w="3960"/>
          </w:tcPr>
          <w:p>
            <w:pPr>
              <w:spacing w:after="30" w:before="30"/>
            </w:pPr>
            <w:r>
              <w:rPr>
                <w:rFonts w:ascii="Calibri" w:cs="Calibri" w:eastAsia="Calibri" w:hAnsi="Calibri"/>
                <w:b/>
                <w:bCs/>
                <w:i w:val="false"/>
                <w:iCs w:val="false"/>
                <w:color w:val="000000"/>
                <w:sz w:val="20"/>
                <w:szCs w:val="20"/>
              </w:rPr>
              <w:t xml:space="preserve">[RELIABLE / UNRELIABLE / UNKNOWN]</w:t>
            </w:r>
          </w:p>
        </w:tc>
        <w:tc>
          <w:tcPr>
            <w:tcW w:type="dxa" w:w="2200"/>
          </w:tcPr>
          <w:p>
            <w:pPr>
              <w:spacing w:after="30" w:before="30"/>
            </w:pPr>
            <w:r>
              <w:rPr>
                <w:rFonts w:ascii="Calibri" w:cs="Calibri" w:eastAsia="Calibri" w:hAnsi="Calibri"/>
                <w:b/>
                <w:bCs/>
                <w:i w:val="false"/>
                <w:iCs w:val="false"/>
                <w:color w:val="000000"/>
                <w:sz w:val="20"/>
                <w:szCs w:val="20"/>
              </w:rPr>
              <w:t xml:space="preserve">[THREAT INTEL / FORENSICS]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Has the threat actor made specific demands beyond the ransom?</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DESCRIBE / NO]</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[IC]</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Is there evidence of ongoing threat-actor access?</w:t>
            </w:r>
          </w:p>
        </w:tc>
        <w:tc>
          <w:tcPr>
            <w:tcW w:type="dxa" w:w="3960"/>
          </w:tcPr>
          <w:p>
            <w:pPr>
              <w:spacing w:after="30" w:before="30"/>
            </w:pPr>
            <w:r>
              <w:rPr>
                <w:rFonts w:ascii="Calibri" w:cs="Calibri" w:eastAsia="Calibri" w:hAnsi="Calibri"/>
                <w:b/>
                <w:bCs/>
                <w:i w:val="false"/>
                <w:iCs w:val="false"/>
                <w:color w:val="000000"/>
                <w:sz w:val="20"/>
                <w:szCs w:val="20"/>
              </w:rPr>
              <w:t xml:space="preserve">[YES / NO / UNDER INVESTIGATION]</w:t>
            </w:r>
          </w:p>
        </w:tc>
        <w:tc>
          <w:tcPr>
            <w:tcW w:type="dxa" w:w="2200"/>
          </w:tcPr>
          <w:p>
            <w:pPr>
              <w:spacing w:after="30" w:before="30"/>
            </w:pPr>
            <w:r>
              <w:rPr>
                <w:rFonts w:ascii="Calibri" w:cs="Calibri" w:eastAsia="Calibri" w:hAnsi="Calibri"/>
                <w:b/>
                <w:bCs/>
                <w:i w:val="false"/>
                <w:iCs w:val="false"/>
                <w:color w:val="000000"/>
                <w:sz w:val="20"/>
                <w:szCs w:val="20"/>
              </w:rPr>
              <w:t xml:space="preserve">[FORENSICS]</w:t>
            </w:r>
          </w:p>
        </w:tc>
      </w:tr>
    </w:tbl>
    <w:p>
      <w:pPr>
        <w:spacing w:after="200"/>
      </w:pPr>
    </w:p>
    <w:p>
      <w:pPr>
        <w:pStyle w:val="Heading2"/>
        <w:keepNext/>
        <w:spacing w:after="120" w:before="240"/>
      </w:pPr>
      <w:r>
        <w:rPr>
          <w:rFonts w:ascii="Calibri" w:cs="Calibri" w:eastAsia="Calibri" w:hAnsi="Calibri"/>
          <w:b/>
          <w:bCs/>
          <w:color w:val="1F3864"/>
          <w:sz w:val="26"/>
          <w:szCs w:val="26"/>
        </w:rPr>
        <w:t xml:space="preserve">4.  Legal and Sanctions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960"/>
        <w:gridCol w:w="220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Question</w:t>
            </w:r>
          </w:p>
        </w:tc>
        <w:tc>
          <w:tcPr>
            <w:tcW w:type="dxa" w:w="3960"/>
            <w:shd w:fill="1F3864" w:color="auto" w:val="clear"/>
          </w:tcPr>
          <w:p>
            <w:pPr>
              <w:spacing w:after="60" w:before="60"/>
            </w:pPr>
            <w:r>
              <w:rPr>
                <w:rFonts w:ascii="Calibri" w:cs="Calibri" w:eastAsia="Calibri" w:hAnsi="Calibri"/>
                <w:b/>
                <w:bCs/>
                <w:color w:val="FFFFFF"/>
                <w:sz w:val="20"/>
                <w:szCs w:val="20"/>
              </w:rPr>
              <w:t xml:space="preserve">Response</w:t>
            </w:r>
          </w:p>
        </w:tc>
        <w:tc>
          <w:tcPr>
            <w:tcW w:type="dxa" w:w="2200"/>
            <w:shd w:fill="1F3864" w:color="auto" w:val="clear"/>
          </w:tcPr>
          <w:p>
            <w:pPr>
              <w:spacing w:after="60" w:before="60"/>
            </w:pPr>
            <w:r>
              <w:rPr>
                <w:rFonts w:ascii="Calibri" w:cs="Calibri" w:eastAsia="Calibri" w:hAnsi="Calibri"/>
                <w:b/>
                <w:bCs/>
                <w:color w:val="FFFFFF"/>
                <w:sz w:val="20"/>
                <w:szCs w:val="20"/>
              </w:rPr>
              <w:t xml:space="preserve">Source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Has OFAC/sanctions screening been completed?</w:t>
            </w:r>
          </w:p>
        </w:tc>
        <w:tc>
          <w:tcPr>
            <w:tcW w:type="dxa" w:w="3960"/>
          </w:tcPr>
          <w:p>
            <w:pPr>
              <w:spacing w:after="30" w:before="30"/>
            </w:pPr>
            <w:r>
              <w:rPr>
                <w:rFonts w:ascii="Calibri" w:cs="Calibri" w:eastAsia="Calibri" w:hAnsi="Calibri"/>
                <w:b/>
                <w:bCs/>
                <w:i w:val="false"/>
                <w:iCs w:val="false"/>
                <w:color w:val="000000"/>
                <w:sz w:val="20"/>
                <w:szCs w:val="20"/>
              </w:rPr>
              <w:t xml:space="preserve">[YES — CLEAR / YES — CONCERNS IDENTIFIED / PENDING]</w:t>
            </w:r>
          </w:p>
        </w:tc>
        <w:tc>
          <w:tcPr>
            <w:tcW w:type="dxa" w:w="2200"/>
          </w:tcPr>
          <w:p>
            <w:pPr>
              <w:spacing w:after="30" w:before="30"/>
            </w:pPr>
            <w:r>
              <w:rPr>
                <w:rFonts w:ascii="Calibri" w:cs="Calibri" w:eastAsia="Calibri" w:hAnsi="Calibri"/>
                <w:b/>
                <w:bCs/>
                <w:i w:val="false"/>
                <w:iCs w:val="false"/>
                <w:color w:val="000000"/>
                <w:sz w:val="20"/>
                <w:szCs w:val="20"/>
              </w:rPr>
              <w:t xml:space="preserve">[LEGAL / SANCTIONS COUNSEL]</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Are there any sanctions prohibitions against payment?</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DESCRIBE / NO / UNDER REVIEW]</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[LEGAL]</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are the legal risks of payment vs. non-payment?</w:t>
            </w:r>
          </w:p>
        </w:tc>
        <w:tc>
          <w:tcPr>
            <w:tcW w:type="dxa" w:w="3960"/>
          </w:tcPr>
          <w:p>
            <w:pPr>
              <w:spacing w:after="30" w:before="30"/>
            </w:pPr>
            <w:r>
              <w:rPr>
                <w:rFonts w:ascii="Calibri" w:cs="Calibri" w:eastAsia="Calibri" w:hAnsi="Calibri"/>
                <w:b/>
                <w:bCs/>
                <w:i w:val="false"/>
                <w:iCs w:val="false"/>
                <w:color w:val="000000"/>
                <w:sz w:val="20"/>
                <w:szCs w:val="20"/>
              </w:rPr>
              <w:t xml:space="preserve">[SUMMARIZE LEGAL COUNSEL ASSESSMENT]</w:t>
            </w:r>
          </w:p>
        </w:tc>
        <w:tc>
          <w:tcPr>
            <w:tcW w:type="dxa" w:w="2200"/>
          </w:tcPr>
          <w:p>
            <w:pPr>
              <w:spacing w:after="30" w:before="30"/>
            </w:pPr>
            <w:r>
              <w:rPr>
                <w:rFonts w:ascii="Calibri" w:cs="Calibri" w:eastAsia="Calibri" w:hAnsi="Calibri"/>
                <w:b/>
                <w:bCs/>
                <w:i w:val="false"/>
                <w:iCs w:val="false"/>
                <w:color w:val="000000"/>
                <w:sz w:val="20"/>
                <w:szCs w:val="20"/>
              </w:rPr>
              <w:t xml:space="preserve">[LEGAL / OUTSIDE COUNSEL]</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Has law enforcement been engaged?</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DESCRIBE / NO — EXPLAIN]</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[LEGAL]</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What is law enforcement's recommendation regarding payment?</w:t>
            </w:r>
          </w:p>
        </w:tc>
        <w:tc>
          <w:tcPr>
            <w:tcW w:type="dxa" w:w="3960"/>
          </w:tcPr>
          <w:p>
            <w:pPr>
              <w:spacing w:after="30" w:before="30"/>
            </w:pPr>
            <w:r>
              <w:rPr>
                <w:rFonts w:ascii="Calibri" w:cs="Calibri" w:eastAsia="Calibri" w:hAnsi="Calibri"/>
                <w:b/>
                <w:bCs/>
                <w:i w:val="false"/>
                <w:iCs w:val="false"/>
                <w:color w:val="000000"/>
                <w:sz w:val="20"/>
                <w:szCs w:val="20"/>
              </w:rPr>
              <w:t xml:space="preserve">[ADVISES AGAINST / NEUTRAL / SUPPORTIVE / N-A]</w:t>
            </w:r>
          </w:p>
        </w:tc>
        <w:tc>
          <w:tcPr>
            <w:tcW w:type="dxa" w:w="2200"/>
          </w:tcPr>
          <w:p>
            <w:pPr>
              <w:spacing w:after="30" w:before="30"/>
            </w:pPr>
            <w:r>
              <w:rPr>
                <w:rFonts w:ascii="Calibri" w:cs="Calibri" w:eastAsia="Calibri" w:hAnsi="Calibri"/>
                <w:b/>
                <w:bCs/>
                <w:i w:val="false"/>
                <w:iCs w:val="false"/>
                <w:color w:val="000000"/>
                <w:sz w:val="20"/>
                <w:szCs w:val="20"/>
              </w:rPr>
              <w:t xml:space="preserve">[LEGAL / FBI]</w:t>
            </w:r>
          </w:p>
        </w:tc>
      </w:tr>
    </w:tbl>
    <w:p>
      <w:pPr>
        <w:spacing w:after="200"/>
      </w:pPr>
    </w:p>
    <w:p>
      <w:pPr>
        <w:pStyle w:val="Heading2"/>
        <w:keepNext/>
        <w:spacing w:after="120" w:before="240"/>
      </w:pPr>
      <w:r>
        <w:rPr>
          <w:rFonts w:ascii="Calibri" w:cs="Calibri" w:eastAsia="Calibri" w:hAnsi="Calibri"/>
          <w:b/>
          <w:bCs/>
          <w:color w:val="1F3864"/>
          <w:sz w:val="26"/>
          <w:szCs w:val="26"/>
        </w:rPr>
        <w:t xml:space="preserve">5.  Insurance Assessment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3960"/>
        <w:gridCol w:w="220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Question</w:t>
            </w:r>
          </w:p>
        </w:tc>
        <w:tc>
          <w:tcPr>
            <w:tcW w:type="dxa" w:w="3960"/>
            <w:shd w:fill="1F3864" w:color="auto" w:val="clear"/>
          </w:tcPr>
          <w:p>
            <w:pPr>
              <w:spacing w:after="60" w:before="60"/>
            </w:pPr>
            <w:r>
              <w:rPr>
                <w:rFonts w:ascii="Calibri" w:cs="Calibri" w:eastAsia="Calibri" w:hAnsi="Calibri"/>
                <w:b/>
                <w:bCs/>
                <w:color w:val="FFFFFF"/>
                <w:sz w:val="20"/>
                <w:szCs w:val="20"/>
              </w:rPr>
              <w:t xml:space="preserve">Response</w:t>
            </w:r>
          </w:p>
        </w:tc>
        <w:tc>
          <w:tcPr>
            <w:tcW w:type="dxa" w:w="2200"/>
            <w:shd w:fill="1F3864" w:color="auto" w:val="clear"/>
          </w:tcPr>
          <w:p>
            <w:pPr>
              <w:spacing w:after="60" w:before="60"/>
            </w:pPr>
            <w:r>
              <w:rPr>
                <w:rFonts w:ascii="Calibri" w:cs="Calibri" w:eastAsia="Calibri" w:hAnsi="Calibri"/>
                <w:b/>
                <w:bCs/>
                <w:color w:val="FFFFFF"/>
                <w:sz w:val="20"/>
                <w:szCs w:val="20"/>
              </w:rPr>
              <w:t xml:space="preserve">Source</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Does the policy cover cyber-extortion payments?</w:t>
            </w:r>
          </w:p>
        </w:tc>
        <w:tc>
          <w:tcPr>
            <w:tcW w:type="dxa" w:w="3960"/>
          </w:tcPr>
          <w:p>
            <w:pPr>
              <w:spacing w:after="30" w:before="30"/>
            </w:pPr>
            <w:r>
              <w:rPr>
                <w:rFonts w:ascii="Calibri" w:cs="Calibri" w:eastAsia="Calibri" w:hAnsi="Calibri"/>
                <w:b/>
                <w:bCs/>
                <w:i w:val="false"/>
                <w:iCs w:val="false"/>
                <w:color w:val="000000"/>
                <w:sz w:val="20"/>
                <w:szCs w:val="20"/>
              </w:rPr>
              <w:t xml:space="preserve">[YES / NO / PARTIALLY — DESCRIBE]</w:t>
            </w:r>
          </w:p>
        </w:tc>
        <w:tc>
          <w:tcPr>
            <w:tcW w:type="dxa" w:w="2200"/>
          </w:tcPr>
          <w:p>
            <w:pPr>
              <w:spacing w:after="30" w:before="30"/>
            </w:pPr>
            <w:r>
              <w:rPr>
                <w:rFonts w:ascii="Calibri" w:cs="Calibri" w:eastAsia="Calibri" w:hAnsi="Calibri"/>
                <w:b/>
                <w:bCs/>
                <w:i w:val="false"/>
                <w:iCs w:val="false"/>
                <w:color w:val="000000"/>
                <w:sz w:val="20"/>
                <w:szCs w:val="20"/>
              </w:rPr>
              <w:t xml:space="preserve">[INSURANCE LIAISON]</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What is the extortion sublimit and retention?</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[SUBLIMIT / RETENTION AMOUNTS]</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[INSURANCE LIAISON]</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Has the insurer been notified and consent obtained?</w:t>
            </w:r>
          </w:p>
        </w:tc>
        <w:tc>
          <w:tcPr>
            <w:tcW w:type="dxa" w:w="3960"/>
          </w:tcPr>
          <w:p>
            <w:pPr>
              <w:spacing w:after="30" w:before="30"/>
            </w:pPr>
            <w:r>
              <w:rPr>
                <w:rFonts w:ascii="Calibri" w:cs="Calibri" w:eastAsia="Calibri" w:hAnsi="Calibri"/>
                <w:b/>
                <w:bCs/>
                <w:i w:val="false"/>
                <w:iCs w:val="false"/>
                <w:color w:val="000000"/>
                <w:sz w:val="20"/>
                <w:szCs w:val="20"/>
              </w:rPr>
              <w:t xml:space="preserve">[YES / PENDING / DENIED]</w:t>
            </w:r>
          </w:p>
        </w:tc>
        <w:tc>
          <w:tcPr>
            <w:tcW w:type="dxa" w:w="2200"/>
          </w:tcPr>
          <w:p>
            <w:pPr>
              <w:spacing w:after="30" w:before="30"/>
            </w:pPr>
            <w:r>
              <w:rPr>
                <w:rFonts w:ascii="Calibri" w:cs="Calibri" w:eastAsia="Calibri" w:hAnsi="Calibri"/>
                <w:b/>
                <w:bCs/>
                <w:i w:val="false"/>
                <w:iCs w:val="false"/>
                <w:color w:val="000000"/>
                <w:sz w:val="20"/>
                <w:szCs w:val="20"/>
              </w:rPr>
              <w:t xml:space="preserve">[INSURANCE LIAISON]</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Does the insurer recommend a specific negotiation firm?</w:t>
            </w:r>
          </w:p>
        </w:tc>
        <w:tc>
          <w:tcPr>
            <w:tcW w:type="dxa" w:w="3960"/>
            <w:shd w:fill="F2F2F2" w:color="auto" w:val="clear"/>
          </w:tcPr>
          <w:p>
            <w:pPr>
              <w:spacing w:after="30" w:before="30"/>
            </w:pPr>
            <w:r>
              <w:rPr>
                <w:rFonts w:ascii="Calibri" w:cs="Calibri" w:eastAsia="Calibri" w:hAnsi="Calibri"/>
                <w:b/>
                <w:bCs/>
                <w:i w:val="false"/>
                <w:iCs w:val="false"/>
                <w:color w:val="000000"/>
                <w:sz w:val="20"/>
                <w:szCs w:val="20"/>
              </w:rPr>
              <w:t xml:space="preserve">[YES — NAME / NO]</w:t>
            </w:r>
          </w:p>
        </w:tc>
        <w:tc>
          <w:tcPr>
            <w:tcW w:type="dxa" w:w="2200"/>
            <w:shd w:fill="F2F2F2" w:color="auto" w:val="clear"/>
          </w:tcPr>
          <w:p>
            <w:pPr>
              <w:spacing w:after="30" w:before="30"/>
            </w:pPr>
            <w:r>
              <w:rPr>
                <w:rFonts w:ascii="Calibri" w:cs="Calibri" w:eastAsia="Calibri" w:hAnsi="Calibri"/>
                <w:b/>
                <w:bCs/>
                <w:i w:val="false"/>
                <w:iCs w:val="false"/>
                <w:color w:val="000000"/>
                <w:sz w:val="20"/>
                <w:szCs w:val="20"/>
              </w:rPr>
              <w:t xml:space="preserve">[INSURANCE LIAISON]</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Is the insurer willing to fund the payment (subject to retention)?</w:t>
            </w:r>
          </w:p>
        </w:tc>
        <w:tc>
          <w:tcPr>
            <w:tcW w:type="dxa" w:w="3960"/>
          </w:tcPr>
          <w:p>
            <w:pPr>
              <w:spacing w:after="30" w:before="30"/>
            </w:pPr>
            <w:r>
              <w:rPr>
                <w:rFonts w:ascii="Calibri" w:cs="Calibri" w:eastAsia="Calibri" w:hAnsi="Calibri"/>
                <w:b/>
                <w:bCs/>
                <w:i w:val="false"/>
                <w:iCs w:val="false"/>
                <w:color w:val="000000"/>
                <w:sz w:val="20"/>
                <w:szCs w:val="20"/>
              </w:rPr>
              <w:t xml:space="preserve">[YES / NO / UNDER REVIEW]</w:t>
            </w:r>
          </w:p>
        </w:tc>
        <w:tc>
          <w:tcPr>
            <w:tcW w:type="dxa" w:w="2200"/>
          </w:tcPr>
          <w:p>
            <w:pPr>
              <w:spacing w:after="30" w:before="30"/>
            </w:pPr>
            <w:r>
              <w:rPr>
                <w:rFonts w:ascii="Calibri" w:cs="Calibri" w:eastAsia="Calibri" w:hAnsi="Calibri"/>
                <w:b/>
                <w:bCs/>
                <w:i w:val="false"/>
                <w:iCs w:val="false"/>
                <w:color w:val="000000"/>
                <w:sz w:val="20"/>
                <w:szCs w:val="20"/>
              </w:rPr>
              <w:t xml:space="preserve">[INSURANCE LIAISON]</w:t>
            </w:r>
          </w:p>
        </w:tc>
      </w:tr>
    </w:tbl>
    <w:p>
      <w:pPr>
        <w:spacing w:after="200"/>
      </w:pPr>
    </w:p>
    <w:p>
      <w:pPr>
        <w:pStyle w:val="Heading2"/>
        <w:keepNext/>
        <w:spacing w:after="120" w:before="240"/>
      </w:pPr>
      <w:r>
        <w:rPr>
          <w:rFonts w:ascii="Calibri" w:cs="Calibri" w:eastAsia="Calibri" w:hAnsi="Calibri"/>
          <w:b/>
          <w:bCs/>
          <w:color w:val="1F3864"/>
          <w:sz w:val="26"/>
          <w:szCs w:val="26"/>
        </w:rPr>
        <w:t xml:space="preserve">6.  Decision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1F3864" w:color="auto" w:val="clear"/>
          </w:tcPr>
          <w:p>
            <w:pPr>
              <w:spacing w:after="60" w:before="60"/>
            </w:pPr>
            <w:r>
              <w:rPr>
                <w:rFonts w:ascii="Calibri" w:cs="Calibri" w:eastAsia="Calibri" w:hAnsi="Calibri"/>
                <w:b/>
                <w:bCs/>
                <w:color w:val="FFFFFF"/>
                <w:sz w:val="20"/>
                <w:szCs w:val="20"/>
              </w:rPr>
              <w:t xml:space="preserve">Field</w:t>
            </w:r>
          </w:p>
        </w:tc>
        <w:tc>
          <w:tcPr>
            <w:tcW w:type="dxa" w:w="6360"/>
            <w:shd w:fill="1F3864" w:color="auto" w:val="clear"/>
          </w:tcPr>
          <w:p>
            <w:pPr>
              <w:spacing w:after="60" w:before="60"/>
            </w:pPr>
            <w:r>
              <w:rPr>
                <w:rFonts w:ascii="Calibri" w:cs="Calibri" w:eastAsia="Calibri" w:hAnsi="Calibri"/>
                <w:b/>
                <w:bCs/>
                <w:color w:val="FFFFFF"/>
                <w:sz w:val="20"/>
                <w:szCs w:val="20"/>
              </w:rPr>
              <w:t xml:space="preserve">Response</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Decision</w:t>
            </w:r>
          </w:p>
        </w:tc>
        <w:tc>
          <w:tcPr>
            <w:tcW w:type="dxa" w:w="6360"/>
          </w:tcPr>
          <w:p>
            <w:pPr>
              <w:spacing w:after="30" w:before="30"/>
            </w:pPr>
            <w:r>
              <w:rPr>
                <w:rFonts w:ascii="Calibri" w:cs="Calibri" w:eastAsia="Calibri" w:hAnsi="Calibri"/>
                <w:b/>
                <w:bCs/>
                <w:i w:val="false"/>
                <w:iCs w:val="false"/>
                <w:color w:val="000000"/>
                <w:sz w:val="20"/>
                <w:szCs w:val="20"/>
              </w:rPr>
              <w:t xml:space="preserve">[PAY / DO NOT PAY / DEFER PENDING ADDITIONAL INFORMATION]</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Decision-Maker(s)</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[NAME(S) AND TITLE(S)]</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Date and Time of Decision</w:t>
            </w:r>
          </w:p>
        </w:tc>
        <w:tc>
          <w:tcPr>
            <w:tcW w:type="dxa" w:w="6360"/>
          </w:tcPr>
          <w:p>
            <w:pPr>
              <w:spacing w:after="30" w:before="30"/>
            </w:pPr>
            <w:r>
              <w:rPr>
                <w:rFonts w:ascii="Calibri" w:cs="Calibri" w:eastAsia="Calibri" w:hAnsi="Calibri"/>
                <w:b/>
                <w:bCs/>
                <w:i w:val="false"/>
                <w:iCs w:val="false"/>
                <w:color w:val="000000"/>
                <w:sz w:val="20"/>
                <w:szCs w:val="20"/>
              </w:rPr>
              <w:t xml:space="preserve">[DATE/TIME]</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Rationale</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[DETAILED RATIONALE, INCLUDING KEY FACTORS AND RISK ASSESSMENT]</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Dissenting Views</w:t>
            </w:r>
          </w:p>
        </w:tc>
        <w:tc>
          <w:tcPr>
            <w:tcW w:type="dxa" w:w="6360"/>
          </w:tcPr>
          <w:p>
            <w:pPr>
              <w:spacing w:after="30" w:before="30"/>
            </w:pPr>
            <w:r>
              <w:rPr>
                <w:rFonts w:ascii="Calibri" w:cs="Calibri" w:eastAsia="Calibri" w:hAnsi="Calibri"/>
                <w:b/>
                <w:bCs/>
                <w:i w:val="false"/>
                <w:iCs w:val="false"/>
                <w:color w:val="000000"/>
                <w:sz w:val="20"/>
                <w:szCs w:val="20"/>
              </w:rPr>
              <w:t xml:space="preserve">[ANY DISSENTING VIEWS AND THE IDENTITY OF THE DISSENTER]</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Conditions on Payment (if approved)</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[ANY CONDITIONS, E.G., SANCTIONS CLEARANCE, INSURER APPROVAL, DECRYPTION KEY VERIFICATION]</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Payment Amount Authorized</w:t>
            </w:r>
          </w:p>
        </w:tc>
        <w:tc>
          <w:tcPr>
            <w:tcW w:type="dxa" w:w="6360"/>
          </w:tcPr>
          <w:p>
            <w:pPr>
              <w:spacing w:after="30" w:before="30"/>
            </w:pPr>
            <w:r>
              <w:rPr>
                <w:rFonts w:ascii="Calibri" w:cs="Calibri" w:eastAsia="Calibri" w:hAnsi="Calibri"/>
                <w:b/>
                <w:bCs/>
                <w:i w:val="false"/>
                <w:iCs w:val="false"/>
                <w:color w:val="000000"/>
                <w:sz w:val="20"/>
                <w:szCs w:val="20"/>
              </w:rPr>
              <w:t xml:space="preserve">[AMOUNT IN USD AND CRYPTOCURRENCY EQUIVALENT]</w:t>
            </w:r>
          </w:p>
        </w:tc>
      </w:tr>
      <w:tr>
        <w:tc>
          <w:tcPr>
            <w:tcW w:type="dxa" w:w="30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Payment Facilitator</w:t>
            </w:r>
          </w:p>
        </w:tc>
        <w:tc>
          <w:tcPr>
            <w:tcW w:type="dxa" w:w="6360"/>
            <w:shd w:fill="F2F2F2" w:color="auto" w:val="clear"/>
          </w:tcPr>
          <w:p>
            <w:pPr>
              <w:spacing w:after="30" w:before="30"/>
            </w:pPr>
            <w:r>
              <w:rPr>
                <w:rFonts w:ascii="Calibri" w:cs="Calibri" w:eastAsia="Calibri" w:hAnsi="Calibri"/>
                <w:b/>
                <w:bCs/>
                <w:i w:val="false"/>
                <w:iCs w:val="false"/>
                <w:color w:val="000000"/>
                <w:sz w:val="20"/>
                <w:szCs w:val="20"/>
              </w:rPr>
              <w:t xml:space="preserve">[APPROVED PAYMENT FIRM]</w:t>
            </w:r>
          </w:p>
        </w:tc>
      </w:tr>
      <w:tr>
        <w:tc>
          <w:tcPr>
            <w:tcW w:type="dxa" w:w="3000"/>
          </w:tcPr>
          <w:p>
            <w:pPr>
              <w:spacing w:after="30" w:before="30"/>
            </w:pPr>
            <w:r>
              <w:rPr>
                <w:rFonts w:ascii="Calibri" w:cs="Calibri" w:eastAsia="Calibri" w:hAnsi="Calibri"/>
                <w:b w:val="false"/>
                <w:bCs w:val="false"/>
                <w:i w:val="false"/>
                <w:iCs w:val="false"/>
                <w:color w:val="000000"/>
                <w:sz w:val="20"/>
                <w:szCs w:val="20"/>
              </w:rPr>
              <w:t xml:space="preserve">Board Notification</w:t>
            </w:r>
          </w:p>
        </w:tc>
        <w:tc>
          <w:tcPr>
            <w:tcW w:type="dxa" w:w="6360"/>
          </w:tcPr>
          <w:p>
            <w:pPr>
              <w:spacing w:after="30" w:before="30"/>
            </w:pPr>
            <w:r>
              <w:rPr>
                <w:rFonts w:ascii="Calibri" w:cs="Calibri" w:eastAsia="Calibri" w:hAnsi="Calibri"/>
                <w:b/>
                <w:bCs/>
                <w:i w:val="false"/>
                <w:iCs w:val="false"/>
                <w:color w:val="000000"/>
                <w:sz w:val="20"/>
                <w:szCs w:val="20"/>
              </w:rPr>
              <w:t xml:space="preserve">[DATE AND METHOD OF BOARD NOTIFICATION]</w:t>
            </w:r>
          </w:p>
        </w:tc>
      </w:tr>
    </w:tbl>
    <w:p>
      <w:r>
        <w:br w:type="page"/>
      </w:r>
    </w:p>
    <w:p>
      <w:pPr>
        <w:pStyle w:val="Heading1"/>
        <w:spacing w:after="100" w:before="200"/>
        <w:jc w:val="center"/>
      </w:pPr>
      <w:r>
        <w:rPr>
          <w:rFonts w:ascii="Calibri" w:cs="Calibri" w:eastAsia="Calibri" w:hAnsi="Calibri"/>
          <w:b/>
          <w:bCs/>
          <w:color w:val="1F3864"/>
          <w:sz w:val="32"/>
          <w:szCs w:val="32"/>
        </w:rPr>
        <w:t xml:space="preserve">EXHIBIT I</w:t>
      </w:r>
    </w:p>
    <w:p>
      <w:pPr>
        <w:spacing w:after="300"/>
        <w:jc w:val="center"/>
      </w:pPr>
      <w:r>
        <w:rPr>
          <w:rFonts w:ascii="Calibri" w:cs="Calibri" w:eastAsia="Calibri" w:hAnsi="Calibri"/>
          <w:b/>
          <w:bCs/>
          <w:color w:val="1F3864"/>
          <w:sz w:val="28"/>
          <w:szCs w:val="28"/>
        </w:rPr>
        <w:t xml:space="preserve">INCIDENT CLOSURE CERTIFICATE</w:t>
      </w:r>
    </w:p>
    <w:p>
      <w:pPr>
        <w:spacing w:after="120" w:line="276"/>
      </w:pPr>
      <w:r>
        <w:rPr>
          <w:rFonts w:ascii="Calibri" w:cs="Calibri" w:eastAsia="Calibri" w:hAnsi="Calibri"/>
          <w:b w:val="false"/>
          <w:bCs w:val="false"/>
          <w:i w:val="false"/>
          <w:iCs w:val="false"/>
          <w:color w:val="000000"/>
          <w:sz w:val="22"/>
          <w:szCs w:val="22"/>
        </w:rPr>
        <w:t xml:space="preserve">This Closure Certificate formally documents the conclusion of the active Incident response lifecycle. Execution of this certificate by the Incident Commander confirms that all required response activities have been completed or assigned for ongoing tracking.</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rPr>
          <w:tblHeader/>
        </w:trPr>
        <w:tc>
          <w:tcPr>
            <w:tcW w:type="dxa" w:w="3500"/>
            <w:shd w:fill="1F3864" w:color="auto" w:val="clear"/>
          </w:tcPr>
          <w:p>
            <w:pPr>
              <w:spacing w:after="60" w:before="60"/>
            </w:pPr>
            <w:r>
              <w:rPr>
                <w:rFonts w:ascii="Calibri" w:cs="Calibri" w:eastAsia="Calibri" w:hAnsi="Calibri"/>
                <w:b/>
                <w:bCs/>
                <w:color w:val="FFFFFF"/>
                <w:sz w:val="20"/>
                <w:szCs w:val="20"/>
              </w:rPr>
              <w:t xml:space="preserve">Field</w:t>
            </w:r>
          </w:p>
        </w:tc>
        <w:tc>
          <w:tcPr>
            <w:tcW w:type="dxa" w:w="5860"/>
            <w:shd w:fill="1F3864" w:color="auto" w:val="clear"/>
          </w:tcPr>
          <w:p>
            <w:pPr>
              <w:spacing w:after="60" w:before="60"/>
            </w:pPr>
            <w:r>
              <w:rPr>
                <w:rFonts w:ascii="Calibri" w:cs="Calibri" w:eastAsia="Calibri" w:hAnsi="Calibri"/>
                <w:b/>
                <w:bCs/>
                <w:color w:val="FFFFFF"/>
                <w:sz w:val="20"/>
                <w:szCs w:val="20"/>
              </w:rPr>
              <w:t xml:space="preserve">Response</w:t>
            </w:r>
          </w:p>
        </w:tc>
      </w:tr>
      <w:tr>
        <w:tc>
          <w:tcPr>
            <w:tcW w:type="dxa" w:w="3500"/>
          </w:tcPr>
          <w:p>
            <w:pPr>
              <w:spacing w:after="30" w:before="30"/>
            </w:pPr>
            <w:r>
              <w:rPr>
                <w:rFonts w:ascii="Calibri" w:cs="Calibri" w:eastAsia="Calibri" w:hAnsi="Calibri"/>
                <w:b w:val="false"/>
                <w:bCs w:val="false"/>
                <w:i w:val="false"/>
                <w:iCs w:val="false"/>
                <w:color w:val="000000"/>
                <w:sz w:val="20"/>
                <w:szCs w:val="20"/>
              </w:rPr>
              <w:t xml:space="preserve">Incident Tracking Number</w:t>
            </w:r>
          </w:p>
        </w:tc>
        <w:tc>
          <w:tcPr>
            <w:tcW w:type="dxa" w:w="5860"/>
          </w:tcPr>
          <w:p>
            <w:pPr>
              <w:spacing w:after="30" w:before="30"/>
            </w:pPr>
            <w:r>
              <w:rPr>
                <w:rFonts w:ascii="Calibri" w:cs="Calibri" w:eastAsia="Calibri" w:hAnsi="Calibri"/>
                <w:b/>
                <w:bCs/>
                <w:i w:val="false"/>
                <w:iCs w:val="false"/>
                <w:color w:val="000000"/>
                <w:sz w:val="20"/>
                <w:szCs w:val="20"/>
              </w:rPr>
              <w:t xml:space="preserve">[TRACKING NUMBER]</w:t>
            </w:r>
          </w:p>
        </w:tc>
      </w:tr>
      <w:tr>
        <w:tc>
          <w:tcPr>
            <w:tcW w:type="dxa" w:w="3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Incident Title/Description</w:t>
            </w:r>
          </w:p>
        </w:tc>
        <w:tc>
          <w:tcPr>
            <w:tcW w:type="dxa" w:w="5860"/>
            <w:shd w:fill="F2F2F2" w:color="auto" w:val="clear"/>
          </w:tcPr>
          <w:p>
            <w:pPr>
              <w:spacing w:after="30" w:before="30"/>
            </w:pPr>
            <w:r>
              <w:rPr>
                <w:rFonts w:ascii="Calibri" w:cs="Calibri" w:eastAsia="Calibri" w:hAnsi="Calibri"/>
                <w:b/>
                <w:bCs/>
                <w:i w:val="false"/>
                <w:iCs w:val="false"/>
                <w:color w:val="000000"/>
                <w:sz w:val="20"/>
                <w:szCs w:val="20"/>
              </w:rPr>
              <w:t xml:space="preserve">[BRIEF DESCRIPTION]</w:t>
            </w:r>
          </w:p>
        </w:tc>
      </w:tr>
      <w:tr>
        <w:tc>
          <w:tcPr>
            <w:tcW w:type="dxa" w:w="3500"/>
          </w:tcPr>
          <w:p>
            <w:pPr>
              <w:spacing w:after="30" w:before="30"/>
            </w:pPr>
            <w:r>
              <w:rPr>
                <w:rFonts w:ascii="Calibri" w:cs="Calibri" w:eastAsia="Calibri" w:hAnsi="Calibri"/>
                <w:b w:val="false"/>
                <w:bCs w:val="false"/>
                <w:i w:val="false"/>
                <w:iCs w:val="false"/>
                <w:color w:val="000000"/>
                <w:sz w:val="20"/>
                <w:szCs w:val="20"/>
              </w:rPr>
              <w:t xml:space="preserve">Date Plan Activated</w:t>
            </w:r>
          </w:p>
        </w:tc>
        <w:tc>
          <w:tcPr>
            <w:tcW w:type="dxa" w:w="5860"/>
          </w:tcPr>
          <w:p>
            <w:pPr>
              <w:spacing w:after="30" w:before="30"/>
            </w:pPr>
            <w:r>
              <w:rPr>
                <w:rFonts w:ascii="Calibri" w:cs="Calibri" w:eastAsia="Calibri" w:hAnsi="Calibri"/>
                <w:b/>
                <w:bCs/>
                <w:i w:val="false"/>
                <w:iCs w:val="false"/>
                <w:color w:val="000000"/>
                <w:sz w:val="20"/>
                <w:szCs w:val="20"/>
              </w:rPr>
              <w:t xml:space="preserve">[DATE]</w:t>
            </w:r>
          </w:p>
        </w:tc>
      </w:tr>
      <w:tr>
        <w:tc>
          <w:tcPr>
            <w:tcW w:type="dxa" w:w="3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Date Closure Declared</w:t>
            </w:r>
          </w:p>
        </w:tc>
        <w:tc>
          <w:tcPr>
            <w:tcW w:type="dxa" w:w="586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r>
      <w:tr>
        <w:tc>
          <w:tcPr>
            <w:tcW w:type="dxa" w:w="3500"/>
          </w:tcPr>
          <w:p>
            <w:pPr>
              <w:spacing w:after="30" w:before="30"/>
            </w:pPr>
            <w:r>
              <w:rPr>
                <w:rFonts w:ascii="Calibri" w:cs="Calibri" w:eastAsia="Calibri" w:hAnsi="Calibri"/>
                <w:b w:val="false"/>
                <w:bCs w:val="false"/>
                <w:i w:val="false"/>
                <w:iCs w:val="false"/>
                <w:color w:val="000000"/>
                <w:sz w:val="20"/>
                <w:szCs w:val="20"/>
              </w:rPr>
              <w:t xml:space="preserve">Final Severity Classification</w:t>
            </w:r>
          </w:p>
        </w:tc>
        <w:tc>
          <w:tcPr>
            <w:tcW w:type="dxa" w:w="5860"/>
          </w:tcPr>
          <w:p>
            <w:pPr>
              <w:spacing w:after="30" w:before="30"/>
            </w:pPr>
            <w:r>
              <w:rPr>
                <w:rFonts w:ascii="Calibri" w:cs="Calibri" w:eastAsia="Calibri" w:hAnsi="Calibri"/>
                <w:b w:val="false"/>
                <w:bCs w:val="false"/>
                <w:i w:val="false"/>
                <w:iCs w:val="false"/>
                <w:color w:val="000000"/>
                <w:sz w:val="20"/>
                <w:szCs w:val="20"/>
              </w:rPr>
              <w:t xml:space="preserve">[1 / 2 / 3 / 4]</w:t>
            </w:r>
          </w:p>
        </w:tc>
      </w:tr>
      <w:tr>
        <w:tc>
          <w:tcPr>
            <w:tcW w:type="dxa" w:w="35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Incident Commander</w:t>
            </w:r>
          </w:p>
        </w:tc>
        <w:tc>
          <w:tcPr>
            <w:tcW w:type="dxa" w:w="5860"/>
            <w:shd w:fill="F2F2F2" w:color="auto" w:val="clear"/>
          </w:tcPr>
          <w:p>
            <w:pPr>
              <w:spacing w:after="30" w:before="30"/>
            </w:pPr>
            <w:r>
              <w:rPr>
                <w:rFonts w:ascii="Calibri" w:cs="Calibri" w:eastAsia="Calibri" w:hAnsi="Calibri"/>
                <w:b/>
                <w:bCs/>
                <w:i w:val="false"/>
                <w:iCs w:val="false"/>
                <w:color w:val="000000"/>
                <w:sz w:val="20"/>
                <w:szCs w:val="20"/>
              </w:rPr>
              <w:t xml:space="preserve">[NAME AND TITLE]</w:t>
            </w:r>
          </w:p>
        </w:tc>
      </w:tr>
    </w:tbl>
    <w:p>
      <w:pPr>
        <w:spacing w:after="200"/>
      </w:pPr>
    </w:p>
    <w:p>
      <w:pPr>
        <w:pStyle w:val="Heading2"/>
        <w:keepNext/>
        <w:spacing w:after="120" w:before="240"/>
      </w:pPr>
      <w:r>
        <w:rPr>
          <w:rFonts w:ascii="Calibri" w:cs="Calibri" w:eastAsia="Calibri" w:hAnsi="Calibri"/>
          <w:b/>
          <w:bCs/>
          <w:color w:val="1F3864"/>
          <w:sz w:val="26"/>
          <w:szCs w:val="26"/>
        </w:rPr>
        <w:t xml:space="preserve">Closure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300"/>
        <w:gridCol w:w="1200"/>
        <w:gridCol w:w="3660"/>
      </w:tblGrid>
      <w:tr>
        <w:trPr>
          <w:tblHeader/>
        </w:trPr>
        <w:tc>
          <w:tcPr>
            <w:tcW w:type="dxa" w:w="3200"/>
            <w:shd w:fill="1F3864" w:color="auto" w:val="clear"/>
          </w:tcPr>
          <w:p>
            <w:pPr>
              <w:spacing w:after="60" w:before="60"/>
            </w:pPr>
            <w:r>
              <w:rPr>
                <w:rFonts w:ascii="Calibri" w:cs="Calibri" w:eastAsia="Calibri" w:hAnsi="Calibri"/>
                <w:b/>
                <w:bCs/>
                <w:color w:val="FFFFFF"/>
                <w:sz w:val="20"/>
                <w:szCs w:val="20"/>
              </w:rPr>
              <w:t xml:space="preserve">Requirement</w:t>
            </w:r>
          </w:p>
        </w:tc>
        <w:tc>
          <w:tcPr>
            <w:tcW w:type="dxa" w:w="1300"/>
            <w:shd w:fill="1F3864" w:color="auto" w:val="clear"/>
          </w:tcPr>
          <w:p>
            <w:pPr>
              <w:spacing w:after="60" w:before="60"/>
            </w:pPr>
            <w:r>
              <w:rPr>
                <w:rFonts w:ascii="Calibri" w:cs="Calibri" w:eastAsia="Calibri" w:hAnsi="Calibri"/>
                <w:b/>
                <w:bCs/>
                <w:color w:val="FFFFFF"/>
                <w:sz w:val="20"/>
                <w:szCs w:val="20"/>
              </w:rPr>
              <w:t xml:space="preserve">Complete?</w:t>
            </w:r>
          </w:p>
        </w:tc>
        <w:tc>
          <w:tcPr>
            <w:tcW w:type="dxa" w:w="1200"/>
            <w:shd w:fill="1F3864" w:color="auto" w:val="clear"/>
          </w:tcPr>
          <w:p>
            <w:pPr>
              <w:spacing w:after="60" w:before="60"/>
            </w:pPr>
            <w:r>
              <w:rPr>
                <w:rFonts w:ascii="Calibri" w:cs="Calibri" w:eastAsia="Calibri" w:hAnsi="Calibri"/>
                <w:b/>
                <w:bCs/>
                <w:color w:val="FFFFFF"/>
                <w:sz w:val="20"/>
                <w:szCs w:val="20"/>
              </w:rPr>
              <w:t xml:space="preserve">Date</w:t>
            </w:r>
          </w:p>
        </w:tc>
        <w:tc>
          <w:tcPr>
            <w:tcW w:type="dxa" w:w="3660"/>
            <w:shd w:fill="1F3864" w:color="auto" w:val="clear"/>
          </w:tcPr>
          <w:p>
            <w:pPr>
              <w:spacing w:after="60" w:before="60"/>
            </w:pPr>
            <w:r>
              <w:rPr>
                <w:rFonts w:ascii="Calibri" w:cs="Calibri" w:eastAsia="Calibri" w:hAnsi="Calibri"/>
                <w:b/>
                <w:bCs/>
                <w:color w:val="FFFFFF"/>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All containment actions executed and verified</w:t>
            </w:r>
          </w:p>
        </w:tc>
        <w:tc>
          <w:tcPr>
            <w:tcW w:type="dxa" w:w="1300"/>
          </w:tcPr>
          <w:p>
            <w:pPr>
              <w:spacing w:after="30" w:before="30"/>
            </w:pPr>
            <w:r>
              <w:rPr>
                <w:rFonts w:ascii="Calibri" w:cs="Calibri" w:eastAsia="Calibri" w:hAnsi="Calibri"/>
                <w:b/>
                <w:bCs/>
                <w:i w:val="false"/>
                <w:iCs w:val="false"/>
                <w:color w:val="000000"/>
                <w:sz w:val="20"/>
                <w:szCs w:val="20"/>
              </w:rPr>
              <w:t xml:space="preserve">[YES/NO]</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All persistence mechanisms removed and verified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All exploited vulnerabilities patched</w:t>
            </w:r>
          </w:p>
        </w:tc>
        <w:tc>
          <w:tcPr>
            <w:tcW w:type="dxa" w:w="1300"/>
          </w:tcPr>
          <w:p>
            <w:pPr>
              <w:spacing w:after="30" w:before="30"/>
            </w:pPr>
            <w:r>
              <w:rPr>
                <w:rFonts w:ascii="Calibri" w:cs="Calibri" w:eastAsia="Calibri" w:hAnsi="Calibri"/>
                <w:b/>
                <w:bCs/>
                <w:i w:val="false"/>
                <w:iCs w:val="false"/>
                <w:color w:val="000000"/>
                <w:sz w:val="20"/>
                <w:szCs w:val="20"/>
              </w:rPr>
              <w:t xml:space="preserve">[YES/NO]</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All compromised credentials rotated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All affected systems restored and validated</w:t>
            </w:r>
          </w:p>
        </w:tc>
        <w:tc>
          <w:tcPr>
            <w:tcW w:type="dxa" w:w="1300"/>
          </w:tcPr>
          <w:p>
            <w:pPr>
              <w:spacing w:after="30" w:before="30"/>
            </w:pPr>
            <w:r>
              <w:rPr>
                <w:rFonts w:ascii="Calibri" w:cs="Calibri" w:eastAsia="Calibri" w:hAnsi="Calibri"/>
                <w:b/>
                <w:bCs/>
                <w:i w:val="false"/>
                <w:iCs w:val="false"/>
                <w:color w:val="000000"/>
                <w:sz w:val="20"/>
                <w:szCs w:val="20"/>
              </w:rPr>
              <w:t xml:space="preserve">[YES/NO]</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Enhanced post-recovery monitoring deployed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All required regulatory notifications sent</w:t>
            </w:r>
          </w:p>
        </w:tc>
        <w:tc>
          <w:tcPr>
            <w:tcW w:type="dxa" w:w="1300"/>
          </w:tcPr>
          <w:p>
            <w:pPr>
              <w:spacing w:after="30" w:before="30"/>
            </w:pPr>
            <w:r>
              <w:rPr>
                <w:rFonts w:ascii="Calibri" w:cs="Calibri" w:eastAsia="Calibri" w:hAnsi="Calibri"/>
                <w:b/>
                <w:bCs/>
                <w:i w:val="false"/>
                <w:iCs w:val="false"/>
                <w:color w:val="000000"/>
                <w:sz w:val="20"/>
                <w:szCs w:val="20"/>
              </w:rPr>
              <w:t xml:space="preserve">[YES/NO/N-A]</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All required customer notifications sent</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[YES/NO/N-A]</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All required contractual notifications sent</w:t>
            </w:r>
          </w:p>
        </w:tc>
        <w:tc>
          <w:tcPr>
            <w:tcW w:type="dxa" w:w="1300"/>
          </w:tcPr>
          <w:p>
            <w:pPr>
              <w:spacing w:after="30" w:before="30"/>
            </w:pPr>
            <w:r>
              <w:rPr>
                <w:rFonts w:ascii="Calibri" w:cs="Calibri" w:eastAsia="Calibri" w:hAnsi="Calibri"/>
                <w:b/>
                <w:bCs/>
                <w:i w:val="false"/>
                <w:iCs w:val="false"/>
                <w:color w:val="000000"/>
                <w:sz w:val="20"/>
                <w:szCs w:val="20"/>
              </w:rPr>
              <w:t xml:space="preserve">[YES/NO/N-A]</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Insurance carrier notified and claim filed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[YES/NO/N-A]</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Law enforcement engaged (if applicable)</w:t>
            </w:r>
          </w:p>
        </w:tc>
        <w:tc>
          <w:tcPr>
            <w:tcW w:type="dxa" w:w="1300"/>
          </w:tcPr>
          <w:p>
            <w:pPr>
              <w:spacing w:after="30" w:before="30"/>
            </w:pPr>
            <w:r>
              <w:rPr>
                <w:rFonts w:ascii="Calibri" w:cs="Calibri" w:eastAsia="Calibri" w:hAnsi="Calibri"/>
                <w:b/>
                <w:bCs/>
                <w:i w:val="false"/>
                <w:iCs w:val="false"/>
                <w:color w:val="000000"/>
                <w:sz w:val="20"/>
                <w:szCs w:val="20"/>
              </w:rPr>
              <w:t xml:space="preserve">[YES/NO/N-A]</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Root-cause analysis completed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[YES/NO/IN PROGRESS]</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Corrective Action Plan developed and assigned</w:t>
            </w:r>
          </w:p>
        </w:tc>
        <w:tc>
          <w:tcPr>
            <w:tcW w:type="dxa" w:w="1300"/>
          </w:tcPr>
          <w:p>
            <w:pPr>
              <w:spacing w:after="30" w:before="30"/>
            </w:pPr>
            <w:r>
              <w:rPr>
                <w:rFonts w:ascii="Calibri" w:cs="Calibri" w:eastAsia="Calibri" w:hAnsi="Calibri"/>
                <w:b/>
                <w:bCs/>
                <w:i w:val="false"/>
                <w:iCs w:val="false"/>
                <w:color w:val="000000"/>
                <w:sz w:val="20"/>
                <w:szCs w:val="20"/>
              </w:rPr>
              <w:t xml:space="preserve">[YES/NO/IN PROGRESS]</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Lessons Learned session conducted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[YES/NO/SCHEDULED]</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Authoritative Timeline finalized and archived</w:t>
            </w:r>
          </w:p>
        </w:tc>
        <w:tc>
          <w:tcPr>
            <w:tcW w:type="dxa" w:w="1300"/>
          </w:tcPr>
          <w:p>
            <w:pPr>
              <w:spacing w:after="30" w:before="30"/>
            </w:pPr>
            <w:r>
              <w:rPr>
                <w:rFonts w:ascii="Calibri" w:cs="Calibri" w:eastAsia="Calibri" w:hAnsi="Calibri"/>
                <w:b/>
                <w:bCs/>
                <w:i w:val="false"/>
                <w:iCs w:val="false"/>
                <w:color w:val="000000"/>
                <w:sz w:val="20"/>
                <w:szCs w:val="20"/>
              </w:rPr>
              <w:t xml:space="preserve">[YES/NO]</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All evidence secured and chain of custody documented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Plan update initiated based on lessons learned</w:t>
            </w:r>
          </w:p>
        </w:tc>
        <w:tc>
          <w:tcPr>
            <w:tcW w:type="dxa" w:w="1300"/>
          </w:tcPr>
          <w:p>
            <w:pPr>
              <w:spacing w:after="30" w:before="30"/>
            </w:pPr>
            <w:r>
              <w:rPr>
                <w:rFonts w:ascii="Calibri" w:cs="Calibri" w:eastAsia="Calibri" w:hAnsi="Calibri"/>
                <w:b/>
                <w:bCs/>
                <w:i w:val="false"/>
                <w:iCs w:val="false"/>
                <w:color w:val="000000"/>
                <w:sz w:val="20"/>
                <w:szCs w:val="20"/>
              </w:rPr>
              <w:t xml:space="preserve">[YES/NO/SCHEDULED]</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Risk register updated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tcPr>
          <w:p>
            <w:pPr>
              <w:spacing w:after="30" w:before="30"/>
            </w:pPr>
            <w:r>
              <w:rPr>
                <w:rFonts w:ascii="Calibri" w:cs="Calibri" w:eastAsia="Calibri" w:hAnsi="Calibri"/>
                <w:b w:val="false"/>
                <w:bCs w:val="false"/>
                <w:i w:val="false"/>
                <w:iCs w:val="false"/>
                <w:color w:val="000000"/>
                <w:sz w:val="20"/>
                <w:szCs w:val="20"/>
              </w:rPr>
              <w:t xml:space="preserve">Final Incident Report delivered to Executive Leadership</w:t>
            </w:r>
          </w:p>
        </w:tc>
        <w:tc>
          <w:tcPr>
            <w:tcW w:type="dxa" w:w="1300"/>
          </w:tcPr>
          <w:p>
            <w:pPr>
              <w:spacing w:after="30" w:before="30"/>
            </w:pPr>
            <w:r>
              <w:rPr>
                <w:rFonts w:ascii="Calibri" w:cs="Calibri" w:eastAsia="Calibri" w:hAnsi="Calibri"/>
                <w:b/>
                <w:bCs/>
                <w:i w:val="false"/>
                <w:iCs w:val="false"/>
                <w:color w:val="000000"/>
                <w:sz w:val="20"/>
                <w:szCs w:val="20"/>
              </w:rPr>
              <w:t xml:space="preserve">[YES/NO/IN PROGRESS]</w:t>
            </w:r>
          </w:p>
        </w:tc>
        <w:tc>
          <w:tcPr>
            <w:tcW w:type="dxa" w:w="1200"/>
          </w:tcPr>
          <w:p>
            <w:pPr>
              <w:spacing w:after="30" w:before="30"/>
            </w:pPr>
            <w:r>
              <w:rPr>
                <w:rFonts w:ascii="Calibri" w:cs="Calibri" w:eastAsia="Calibri" w:hAnsi="Calibri"/>
                <w:b/>
                <w:bCs/>
                <w:i w:val="false"/>
                <w:iCs w:val="false"/>
                <w:color w:val="000000"/>
                <w:sz w:val="20"/>
                <w:szCs w:val="20"/>
              </w:rPr>
              <w:t xml:space="preserve">[DATE]</w:t>
            </w:r>
          </w:p>
        </w:tc>
        <w:tc>
          <w:tcPr>
            <w:tcW w:type="dxa" w:w="3660"/>
          </w:tcPr>
          <w:p>
            <w:pPr>
              <w:spacing w:after="30" w:before="30"/>
            </w:pPr>
            <w:r>
              <w:rPr>
                <w:rFonts w:ascii="Calibri" w:cs="Calibri" w:eastAsia="Calibri" w:hAnsi="Calibri"/>
                <w:b/>
                <w:bCs/>
                <w:i w:val="false"/>
                <w:iCs w:val="false"/>
                <w:color w:val="000000"/>
                <w:sz w:val="20"/>
                <w:szCs w:val="20"/>
              </w:rPr>
              <w:t xml:space="preserve">[NOTES]</w:t>
            </w:r>
          </w:p>
        </w:tc>
      </w:tr>
      <w:tr>
        <w:tc>
          <w:tcPr>
            <w:tcW w:type="dxa" w:w="3200"/>
            <w:shd w:fill="F2F2F2" w:color="auto" w:val="clear"/>
          </w:tcPr>
          <w:p>
            <w:pPr>
              <w:spacing w:after="30" w:before="30"/>
            </w:pPr>
            <w:r>
              <w:rPr>
                <w:rFonts w:ascii="Calibri" w:cs="Calibri" w:eastAsia="Calibri" w:hAnsi="Calibri"/>
                <w:b w:val="false"/>
                <w:bCs w:val="false"/>
                <w:i w:val="false"/>
                <w:iCs w:val="false"/>
                <w:color w:val="000000"/>
                <w:sz w:val="20"/>
                <w:szCs w:val="20"/>
              </w:rPr>
              <w:t xml:space="preserve">Board briefing completed (if required)</w:t>
            </w:r>
          </w:p>
        </w:tc>
        <w:tc>
          <w:tcPr>
            <w:tcW w:type="dxa" w:w="1300"/>
            <w:shd w:fill="F2F2F2" w:color="auto" w:val="clear"/>
          </w:tcPr>
          <w:p>
            <w:pPr>
              <w:spacing w:after="30" w:before="30"/>
            </w:pPr>
            <w:r>
              <w:rPr>
                <w:rFonts w:ascii="Calibri" w:cs="Calibri" w:eastAsia="Calibri" w:hAnsi="Calibri"/>
                <w:b/>
                <w:bCs/>
                <w:i w:val="false"/>
                <w:iCs w:val="false"/>
                <w:color w:val="000000"/>
                <w:sz w:val="20"/>
                <w:szCs w:val="20"/>
              </w:rPr>
              <w:t xml:space="preserve">[YES/NO/N-A]</w:t>
            </w:r>
          </w:p>
        </w:tc>
        <w:tc>
          <w:tcPr>
            <w:tcW w:type="dxa" w:w="12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3660"/>
            <w:shd w:fill="F2F2F2" w:color="auto" w:val="clear"/>
          </w:tcPr>
          <w:p>
            <w:pPr>
              <w:spacing w:after="30" w:before="30"/>
            </w:pPr>
            <w:r>
              <w:rPr>
                <w:rFonts w:ascii="Calibri" w:cs="Calibri" w:eastAsia="Calibri" w:hAnsi="Calibri"/>
                <w:b/>
                <w:bCs/>
                <w:i w:val="false"/>
                <w:iCs w:val="false"/>
                <w:color w:val="000000"/>
                <w:sz w:val="20"/>
                <w:szCs w:val="20"/>
              </w:rPr>
              <w:t xml:space="preserve">[NOTES]</w:t>
            </w:r>
          </w:p>
        </w:tc>
      </w:tr>
    </w:tbl>
    <w:p>
      <w:pPr>
        <w:spacing w:after="200"/>
      </w:pPr>
    </w:p>
    <w:p>
      <w:pPr>
        <w:pStyle w:val="Heading2"/>
        <w:keepNext/>
        <w:spacing w:after="120" w:before="240"/>
      </w:pPr>
      <w:r>
        <w:rPr>
          <w:rFonts w:ascii="Calibri" w:cs="Calibri" w:eastAsia="Calibri" w:hAnsi="Calibri"/>
          <w:b/>
          <w:bCs/>
          <w:color w:val="1F3864"/>
          <w:sz w:val="26"/>
          <w:szCs w:val="26"/>
        </w:rPr>
        <w:t xml:space="preserve">Open Items Transferred to Ongoing Tracking</w:t>
      </w:r>
    </w:p>
    <w:p>
      <w:pPr>
        <w:spacing w:after="120" w:line="276"/>
      </w:pPr>
      <w:r>
        <w:rPr>
          <w:rFonts w:ascii="Calibri" w:cs="Calibri" w:eastAsia="Calibri" w:hAnsi="Calibri"/>
          <w:b w:val="false"/>
          <w:bCs w:val="false"/>
          <w:i w:val="false"/>
          <w:iCs w:val="false"/>
          <w:color w:val="000000"/>
          <w:sz w:val="22"/>
          <w:szCs w:val="22"/>
        </w:rPr>
        <w:t xml:space="preserve">The following items remain open at the time of Closure and have been transferred to ongoing tracking systems. The assigned owner is responsible for completion by the target date.</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1960"/>
        <w:gridCol w:w="1500"/>
        <w:gridCol w:w="2400"/>
      </w:tblGrid>
      <w:tr>
        <w:trPr>
          <w:tblHeader/>
        </w:trPr>
        <w:tc>
          <w:tcPr>
            <w:tcW w:type="dxa" w:w="3500"/>
            <w:shd w:fill="1F3864" w:color="auto" w:val="clear"/>
          </w:tcPr>
          <w:p>
            <w:pPr>
              <w:spacing w:after="60" w:before="60"/>
            </w:pPr>
            <w:r>
              <w:rPr>
                <w:rFonts w:ascii="Calibri" w:cs="Calibri" w:eastAsia="Calibri" w:hAnsi="Calibri"/>
                <w:b/>
                <w:bCs/>
                <w:color w:val="FFFFFF"/>
                <w:sz w:val="20"/>
                <w:szCs w:val="20"/>
              </w:rPr>
              <w:t xml:space="preserve">Item</w:t>
            </w:r>
          </w:p>
        </w:tc>
        <w:tc>
          <w:tcPr>
            <w:tcW w:type="dxa" w:w="1960"/>
            <w:shd w:fill="1F3864" w:color="auto" w:val="clear"/>
          </w:tcPr>
          <w:p>
            <w:pPr>
              <w:spacing w:after="60" w:before="60"/>
            </w:pPr>
            <w:r>
              <w:rPr>
                <w:rFonts w:ascii="Calibri" w:cs="Calibri" w:eastAsia="Calibri" w:hAnsi="Calibri"/>
                <w:b/>
                <w:bCs/>
                <w:color w:val="FFFFFF"/>
                <w:sz w:val="20"/>
                <w:szCs w:val="20"/>
              </w:rPr>
              <w:t xml:space="preserve">Owner</w:t>
            </w:r>
          </w:p>
        </w:tc>
        <w:tc>
          <w:tcPr>
            <w:tcW w:type="dxa" w:w="1500"/>
            <w:shd w:fill="1F3864" w:color="auto" w:val="clear"/>
          </w:tcPr>
          <w:p>
            <w:pPr>
              <w:spacing w:after="60" w:before="60"/>
            </w:pPr>
            <w:r>
              <w:rPr>
                <w:rFonts w:ascii="Calibri" w:cs="Calibri" w:eastAsia="Calibri" w:hAnsi="Calibri"/>
                <w:b/>
                <w:bCs/>
                <w:color w:val="FFFFFF"/>
                <w:sz w:val="20"/>
                <w:szCs w:val="20"/>
              </w:rPr>
              <w:t xml:space="preserve">Target Date</w:t>
            </w:r>
          </w:p>
        </w:tc>
        <w:tc>
          <w:tcPr>
            <w:tcW w:type="dxa" w:w="2400"/>
            <w:shd w:fill="1F3864" w:color="auto" w:val="clear"/>
          </w:tcPr>
          <w:p>
            <w:pPr>
              <w:spacing w:after="60" w:before="60"/>
            </w:pPr>
            <w:r>
              <w:rPr>
                <w:rFonts w:ascii="Calibri" w:cs="Calibri" w:eastAsia="Calibri" w:hAnsi="Calibri"/>
                <w:b/>
                <w:bCs/>
                <w:color w:val="FFFFFF"/>
                <w:sz w:val="20"/>
                <w:szCs w:val="20"/>
              </w:rPr>
              <w:t xml:space="preserve">Tracking System</w:t>
            </w:r>
          </w:p>
        </w:tc>
      </w:tr>
      <w:tr>
        <w:tc>
          <w:tcPr>
            <w:tcW w:type="dxa" w:w="3500"/>
          </w:tcPr>
          <w:p>
            <w:pPr>
              <w:spacing w:after="30" w:before="30"/>
            </w:pPr>
            <w:r>
              <w:rPr>
                <w:rFonts w:ascii="Calibri" w:cs="Calibri" w:eastAsia="Calibri" w:hAnsi="Calibri"/>
                <w:b/>
                <w:bCs/>
                <w:i w:val="false"/>
                <w:iCs w:val="false"/>
                <w:color w:val="000000"/>
                <w:sz w:val="20"/>
                <w:szCs w:val="20"/>
              </w:rPr>
              <w:t xml:space="preserve">[OPEN ITEM 1]</w:t>
            </w:r>
          </w:p>
        </w:tc>
        <w:tc>
          <w:tcPr>
            <w:tcW w:type="dxa" w:w="1960"/>
          </w:tcPr>
          <w:p>
            <w:pPr>
              <w:spacing w:after="30" w:before="30"/>
            </w:pPr>
            <w:r>
              <w:rPr>
                <w:rFonts w:ascii="Calibri" w:cs="Calibri" w:eastAsia="Calibri" w:hAnsi="Calibri"/>
                <w:b/>
                <w:bCs/>
                <w:i w:val="false"/>
                <w:iCs w:val="false"/>
                <w:color w:val="000000"/>
                <w:sz w:val="20"/>
                <w:szCs w:val="20"/>
              </w:rPr>
              <w:t xml:space="preserve">[NAME]</w:t>
            </w:r>
          </w:p>
        </w:tc>
        <w:tc>
          <w:tcPr>
            <w:tcW w:type="dxa" w:w="1500"/>
          </w:tcPr>
          <w:p>
            <w:pPr>
              <w:spacing w:after="30" w:before="30"/>
            </w:pPr>
            <w:r>
              <w:rPr>
                <w:rFonts w:ascii="Calibri" w:cs="Calibri" w:eastAsia="Calibri" w:hAnsi="Calibri"/>
                <w:b/>
                <w:bCs/>
                <w:i w:val="false"/>
                <w:iCs w:val="false"/>
                <w:color w:val="000000"/>
                <w:sz w:val="20"/>
                <w:szCs w:val="20"/>
              </w:rPr>
              <w:t xml:space="preserve">[DATE]</w:t>
            </w:r>
          </w:p>
        </w:tc>
        <w:tc>
          <w:tcPr>
            <w:tcW w:type="dxa" w:w="2400"/>
          </w:tcPr>
          <w:p>
            <w:pPr>
              <w:spacing w:after="30" w:before="30"/>
            </w:pPr>
            <w:r>
              <w:rPr>
                <w:rFonts w:ascii="Calibri" w:cs="Calibri" w:eastAsia="Calibri" w:hAnsi="Calibri"/>
                <w:b/>
                <w:bCs/>
                <w:i w:val="false"/>
                <w:iCs w:val="false"/>
                <w:color w:val="000000"/>
                <w:sz w:val="20"/>
                <w:szCs w:val="20"/>
              </w:rPr>
              <w:t xml:space="preserve">[JIRA/ASANA/GRC/ETC.]</w:t>
            </w:r>
          </w:p>
        </w:tc>
      </w:tr>
      <w:tr>
        <w:tc>
          <w:tcPr>
            <w:tcW w:type="dxa" w:w="3500"/>
            <w:shd w:fill="F2F2F2" w:color="auto" w:val="clear"/>
          </w:tcPr>
          <w:p>
            <w:pPr>
              <w:spacing w:after="30" w:before="30"/>
            </w:pPr>
            <w:r>
              <w:rPr>
                <w:rFonts w:ascii="Calibri" w:cs="Calibri" w:eastAsia="Calibri" w:hAnsi="Calibri"/>
                <w:b/>
                <w:bCs/>
                <w:i w:val="false"/>
                <w:iCs w:val="false"/>
                <w:color w:val="000000"/>
                <w:sz w:val="20"/>
                <w:szCs w:val="20"/>
              </w:rPr>
              <w:t xml:space="preserve">[OPEN ITEM 2]</w:t>
            </w:r>
          </w:p>
        </w:tc>
        <w:tc>
          <w:tcPr>
            <w:tcW w:type="dxa" w:w="1960"/>
            <w:shd w:fill="F2F2F2" w:color="auto" w:val="clear"/>
          </w:tcPr>
          <w:p>
            <w:pPr>
              <w:spacing w:after="30" w:before="30"/>
            </w:pPr>
            <w:r>
              <w:rPr>
                <w:rFonts w:ascii="Calibri" w:cs="Calibri" w:eastAsia="Calibri" w:hAnsi="Calibri"/>
                <w:b/>
                <w:bCs/>
                <w:i w:val="false"/>
                <w:iCs w:val="false"/>
                <w:color w:val="000000"/>
                <w:sz w:val="20"/>
                <w:szCs w:val="20"/>
              </w:rPr>
              <w:t xml:space="preserve">[NAME]</w:t>
            </w:r>
          </w:p>
        </w:tc>
        <w:tc>
          <w:tcPr>
            <w:tcW w:type="dxa" w:w="1500"/>
            <w:shd w:fill="F2F2F2" w:color="auto" w:val="clear"/>
          </w:tcPr>
          <w:p>
            <w:pPr>
              <w:spacing w:after="30" w:before="30"/>
            </w:pPr>
            <w:r>
              <w:rPr>
                <w:rFonts w:ascii="Calibri" w:cs="Calibri" w:eastAsia="Calibri" w:hAnsi="Calibri"/>
                <w:b/>
                <w:bCs/>
                <w:i w:val="false"/>
                <w:iCs w:val="false"/>
                <w:color w:val="000000"/>
                <w:sz w:val="20"/>
                <w:szCs w:val="20"/>
              </w:rPr>
              <w:t xml:space="preserve">[DATE]</w:t>
            </w:r>
          </w:p>
        </w:tc>
        <w:tc>
          <w:tcPr>
            <w:tcW w:type="dxa" w:w="2400"/>
            <w:shd w:fill="F2F2F2" w:color="auto" w:val="clear"/>
          </w:tcPr>
          <w:p>
            <w:pPr>
              <w:spacing w:after="30" w:before="30"/>
            </w:pPr>
            <w:r>
              <w:rPr>
                <w:rFonts w:ascii="Calibri" w:cs="Calibri" w:eastAsia="Calibri" w:hAnsi="Calibri"/>
                <w:b/>
                <w:bCs/>
                <w:i w:val="false"/>
                <w:iCs w:val="false"/>
                <w:color w:val="000000"/>
                <w:sz w:val="20"/>
                <w:szCs w:val="20"/>
              </w:rPr>
              <w:t xml:space="preserve">[SYSTEM]</w:t>
            </w:r>
          </w:p>
        </w:tc>
      </w:tr>
      <w:tr>
        <w:tc>
          <w:tcPr>
            <w:tcW w:type="dxa" w:w="3500"/>
          </w:tcPr>
          <w:p>
            <w:pPr>
              <w:spacing w:after="30" w:before="30"/>
            </w:pPr>
            <w:r>
              <w:rPr>
                <w:rFonts w:ascii="Calibri" w:cs="Calibri" w:eastAsia="Calibri" w:hAnsi="Calibri"/>
                <w:b/>
                <w:bCs/>
                <w:i w:val="false"/>
                <w:iCs w:val="false"/>
                <w:color w:val="000000"/>
                <w:sz w:val="20"/>
                <w:szCs w:val="20"/>
              </w:rPr>
              <w:t xml:space="preserve">[OPEN ITEM 3]</w:t>
            </w:r>
          </w:p>
        </w:tc>
        <w:tc>
          <w:tcPr>
            <w:tcW w:type="dxa" w:w="1960"/>
          </w:tcPr>
          <w:p>
            <w:pPr>
              <w:spacing w:after="30" w:before="30"/>
            </w:pPr>
            <w:r>
              <w:rPr>
                <w:rFonts w:ascii="Calibri" w:cs="Calibri" w:eastAsia="Calibri" w:hAnsi="Calibri"/>
                <w:b/>
                <w:bCs/>
                <w:i w:val="false"/>
                <w:iCs w:val="false"/>
                <w:color w:val="000000"/>
                <w:sz w:val="20"/>
                <w:szCs w:val="20"/>
              </w:rPr>
              <w:t xml:space="preserve">[NAME]</w:t>
            </w:r>
          </w:p>
        </w:tc>
        <w:tc>
          <w:tcPr>
            <w:tcW w:type="dxa" w:w="1500"/>
          </w:tcPr>
          <w:p>
            <w:pPr>
              <w:spacing w:after="30" w:before="30"/>
            </w:pPr>
            <w:r>
              <w:rPr>
                <w:rFonts w:ascii="Calibri" w:cs="Calibri" w:eastAsia="Calibri" w:hAnsi="Calibri"/>
                <w:b/>
                <w:bCs/>
                <w:i w:val="false"/>
                <w:iCs w:val="false"/>
                <w:color w:val="000000"/>
                <w:sz w:val="20"/>
                <w:szCs w:val="20"/>
              </w:rPr>
              <w:t xml:space="preserve">[DATE]</w:t>
            </w:r>
          </w:p>
        </w:tc>
        <w:tc>
          <w:tcPr>
            <w:tcW w:type="dxa" w:w="2400"/>
          </w:tcPr>
          <w:p>
            <w:pPr>
              <w:spacing w:after="30" w:before="30"/>
            </w:pPr>
            <w:r>
              <w:rPr>
                <w:rFonts w:ascii="Calibri" w:cs="Calibri" w:eastAsia="Calibri" w:hAnsi="Calibri"/>
                <w:b/>
                <w:bCs/>
                <w:i w:val="false"/>
                <w:iCs w:val="false"/>
                <w:color w:val="000000"/>
                <w:sz w:val="20"/>
                <w:szCs w:val="20"/>
              </w:rPr>
              <w:t xml:space="preserve">[SYSTEM]</w:t>
            </w:r>
          </w:p>
        </w:tc>
      </w:tr>
    </w:tbl>
    <w:p>
      <w:pPr>
        <w:spacing w:after="200"/>
      </w:pPr>
    </w:p>
    <w:p>
      <w:pPr>
        <w:spacing w:after="200"/>
      </w:pPr>
    </w:p>
    <w:p>
      <w:pPr>
        <w:spacing w:after="60"/>
      </w:pPr>
      <w:r>
        <w:rPr>
          <w:rFonts w:ascii="Calibri" w:cs="Calibri" w:eastAsia="Calibri" w:hAnsi="Calibri"/>
          <w:b/>
          <w:bCs/>
          <w:sz w:val="22"/>
          <w:szCs w:val="22"/>
        </w:rPr>
        <w:t xml:space="preserve">Closure Declared By:</w:t>
      </w:r>
    </w:p>
    <w:p>
      <w:pPr>
        <w:spacing w:after="200"/>
      </w:pPr>
    </w:p>
    <w:p>
      <w:pPr>
        <w:spacing w:after="60"/>
      </w:pPr>
      <w:r>
        <w:rPr>
          <w:rFonts w:ascii="Calibri" w:cs="Calibri" w:eastAsia="Calibri" w:hAnsi="Calibri"/>
          <w:b w:val="false"/>
          <w:bCs w:val="false"/>
          <w:i w:val="false"/>
          <w:iCs w:val="false"/>
          <w:color w:val="000000"/>
          <w:sz w:val="22"/>
          <w:szCs w:val="22"/>
        </w:rPr>
        <w:t xml:space="preserve">Incident Commander: ________________________________________________</w:t>
      </w:r>
    </w:p>
    <w:p>
      <w:pPr>
        <w:spacing w:after="200"/>
      </w:pPr>
    </w:p>
    <w:p>
      <w:pPr>
        <w:spacing w:after="60"/>
      </w:pPr>
      <w:r>
        <w:rPr>
          <w:rFonts w:ascii="Calibri" w:cs="Calibri" w:eastAsia="Calibri" w:hAnsi="Calibri"/>
          <w:b w:val="false"/>
          <w:bCs w:val="false"/>
          <w:i w:val="false"/>
          <w:iCs w:val="false"/>
          <w:color w:val="000000"/>
          <w:sz w:val="22"/>
          <w:szCs w:val="22"/>
        </w:rPr>
        <w:t xml:space="preserve">Printed Name: </w:t>
      </w:r>
      <w:r>
        <w:rPr>
          <w:rFonts w:ascii="Calibri" w:cs="Calibri" w:eastAsia="Calibri" w:hAnsi="Calibri"/>
          <w:b/>
          <w:bCs/>
          <w:i w:val="false"/>
          <w:iCs w:val="false"/>
          <w:color w:val="000000"/>
          <w:sz w:val="22"/>
          <w:szCs w:val="22"/>
        </w:rPr>
        <w:t xml:space="preserve">[NAME]</w:t>
      </w:r>
    </w:p>
    <w:p>
      <w:pPr>
        <w:spacing w:after="200"/>
      </w:pPr>
    </w:p>
    <w:p>
      <w:pPr>
        <w:spacing w:after="60"/>
      </w:pPr>
      <w:r>
        <w:rPr>
          <w:rFonts w:ascii="Calibri" w:cs="Calibri" w:eastAsia="Calibri" w:hAnsi="Calibri"/>
          <w:b w:val="false"/>
          <w:bCs w:val="false"/>
          <w:i w:val="false"/>
          <w:iCs w:val="false"/>
          <w:color w:val="000000"/>
          <w:sz w:val="22"/>
          <w:szCs w:val="22"/>
        </w:rPr>
        <w:t xml:space="preserve">Title: </w:t>
      </w:r>
      <w:r>
        <w:rPr>
          <w:rFonts w:ascii="Calibri" w:cs="Calibri" w:eastAsia="Calibri" w:hAnsi="Calibri"/>
          <w:b/>
          <w:bCs/>
          <w:i w:val="false"/>
          <w:iCs w:val="false"/>
          <w:color w:val="000000"/>
          <w:sz w:val="22"/>
          <w:szCs w:val="22"/>
        </w:rPr>
        <w:t xml:space="preserve">[TITLE]</w:t>
      </w:r>
    </w:p>
    <w:p>
      <w:pPr>
        <w:spacing w:after="200"/>
      </w:pPr>
    </w:p>
    <w:p>
      <w:pPr>
        <w:spacing w:after="60"/>
      </w:pPr>
      <w:r>
        <w:rPr>
          <w:rFonts w:ascii="Calibri" w:cs="Calibri" w:eastAsia="Calibri" w:hAnsi="Calibri"/>
          <w:b w:val="false"/>
          <w:bCs w:val="false"/>
          <w:i w:val="false"/>
          <w:iCs w:val="false"/>
          <w:color w:val="000000"/>
          <w:sz w:val="22"/>
          <w:szCs w:val="22"/>
        </w:rPr>
        <w:t xml:space="preserve">Date: ________________________________________________</w:t>
      </w:r>
    </w:p>
    <w:p>
      <w:pPr>
        <w:spacing w:after="200"/>
      </w:pPr>
    </w:p>
    <w:p>
      <w:pPr>
        <w:spacing w:after="200"/>
      </w:pPr>
    </w:p>
    <w:p>
      <w:pPr>
        <w:spacing w:after="60"/>
      </w:pPr>
      <w:r>
        <w:rPr>
          <w:rFonts w:ascii="Calibri" w:cs="Calibri" w:eastAsia="Calibri" w:hAnsi="Calibri"/>
          <w:b/>
          <w:bCs/>
          <w:sz w:val="22"/>
          <w:szCs w:val="22"/>
        </w:rPr>
        <w:t xml:space="preserve">Reviewed and Acknowledged By:</w:t>
      </w:r>
    </w:p>
    <w:p>
      <w:pPr>
        <w:spacing w:after="200"/>
      </w:pPr>
    </w:p>
    <w:p>
      <w:pPr>
        <w:spacing w:after="60"/>
      </w:pPr>
      <w:r>
        <w:rPr>
          <w:rFonts w:ascii="Calibri" w:cs="Calibri" w:eastAsia="Calibri" w:hAnsi="Calibri"/>
          <w:b w:val="false"/>
          <w:bCs w:val="false"/>
          <w:i w:val="false"/>
          <w:iCs w:val="false"/>
          <w:color w:val="000000"/>
          <w:sz w:val="22"/>
          <w:szCs w:val="22"/>
        </w:rPr>
        <w:t xml:space="preserve">General Counsel: ________________________________________________     Date: _______________</w:t>
      </w:r>
    </w:p>
    <w:p>
      <w:pPr>
        <w:spacing w:after="200"/>
      </w:pPr>
    </w:p>
    <w:p>
      <w:pPr>
        <w:spacing w:after="60"/>
      </w:pPr>
      <w:r>
        <w:rPr>
          <w:rFonts w:ascii="Calibri" w:cs="Calibri" w:eastAsia="Calibri" w:hAnsi="Calibri"/>
          <w:b w:val="false"/>
          <w:bCs w:val="false"/>
          <w:i w:val="false"/>
          <w:iCs w:val="false"/>
          <w:color w:val="000000"/>
          <w:sz w:val="22"/>
          <w:szCs w:val="22"/>
        </w:rPr>
        <w:t xml:space="preserve">CISO: ________________________________________________     Date: _______________</w:t>
      </w:r>
    </w:p>
    <w:p>
      <w:pPr>
        <w:spacing w:after="200"/>
      </w:pPr>
    </w:p>
    <w:p>
      <w:pPr>
        <w:spacing w:after="60"/>
      </w:pPr>
      <w:r>
        <w:rPr>
          <w:rFonts w:ascii="Calibri" w:cs="Calibri" w:eastAsia="Calibri" w:hAnsi="Calibri"/>
          <w:b w:val="false"/>
          <w:bCs w:val="false"/>
          <w:i w:val="false"/>
          <w:iCs w:val="false"/>
          <w:color w:val="000000"/>
          <w:sz w:val="22"/>
          <w:szCs w:val="22"/>
        </w:rPr>
        <w:t xml:space="preserve">CEO: ________________________________________________     Date: _______________</w:t>
      </w:r>
    </w:p>
    <w:p>
      <w:r>
        <w:br w:type="page"/>
      </w:r>
    </w:p>
    <w:p>
      <w:pPr>
        <w:pStyle w:val="Heading1"/>
        <w:spacing w:after="100" w:before="200"/>
        <w:jc w:val="center"/>
      </w:pPr>
      <w:r>
        <w:rPr>
          <w:rFonts w:ascii="Calibri" w:cs="Calibri" w:eastAsia="Calibri" w:hAnsi="Calibri"/>
          <w:b/>
          <w:bCs/>
          <w:color w:val="1F3864"/>
          <w:sz w:val="32"/>
          <w:szCs w:val="32"/>
        </w:rPr>
        <w:t xml:space="preserve">EXHIBIT J</w:t>
      </w:r>
    </w:p>
    <w:p>
      <w:pPr>
        <w:spacing w:after="300"/>
        <w:jc w:val="center"/>
      </w:pPr>
      <w:r>
        <w:rPr>
          <w:rFonts w:ascii="Calibri" w:cs="Calibri" w:eastAsia="Calibri" w:hAnsi="Calibri"/>
          <w:b/>
          <w:bCs/>
          <w:color w:val="1F3864"/>
          <w:sz w:val="28"/>
          <w:szCs w:val="28"/>
        </w:rPr>
        <w:t xml:space="preserve">TABLETOP EXERCISE SCENARIOS</w:t>
      </w:r>
    </w:p>
    <w:p>
      <w:pPr>
        <w:spacing w:after="120" w:line="276"/>
      </w:pPr>
      <w:r>
        <w:rPr>
          <w:rFonts w:ascii="Calibri" w:cs="Calibri" w:eastAsia="Calibri" w:hAnsi="Calibri"/>
          <w:b w:val="false"/>
          <w:bCs w:val="false"/>
          <w:i w:val="false"/>
          <w:iCs w:val="false"/>
          <w:color w:val="000000"/>
          <w:sz w:val="22"/>
          <w:szCs w:val="22"/>
        </w:rPr>
        <w:t xml:space="preserve">The following scenarios are designed for use in tabletop exercises conducted pursuant to Section 14.4. Each scenario tests different aspects of this Plan and should be adapted to reflect the Company's current technology environment, threat landscape, and business context. The facilitator should introduce each scenario in stages ("injects") to simulate the evolving nature of a real Incident.</w:t>
      </w:r>
    </w:p>
    <w:p>
      <w:pPr>
        <w:spacing w:after="200"/>
      </w:pPr>
    </w:p>
    <w:p>
      <w:pPr>
        <w:pStyle w:val="Heading2"/>
        <w:keepNext/>
        <w:spacing w:after="120" w:before="240"/>
      </w:pPr>
      <w:r>
        <w:rPr>
          <w:rFonts w:ascii="Calibri" w:cs="Calibri" w:eastAsia="Calibri" w:hAnsi="Calibri"/>
          <w:b/>
          <w:bCs/>
          <w:color w:val="1F3864"/>
          <w:sz w:val="26"/>
          <w:szCs w:val="26"/>
        </w:rPr>
        <w:t xml:space="preserve">Scenario 1: Ransomware Attack on Production Infrastructure</w:t>
      </w:r>
    </w:p>
    <w:p>
      <w:pPr>
        <w:spacing w:after="120" w:line="276"/>
      </w:pPr>
      <w:r>
        <w:rPr>
          <w:rFonts w:ascii="Calibri" w:cs="Calibri" w:eastAsia="Calibri" w:hAnsi="Calibri"/>
          <w:b w:val="false"/>
          <w:bCs w:val="false"/>
          <w:i w:val="false"/>
          <w:iCs w:val="false"/>
          <w:color w:val="000000"/>
          <w:sz w:val="22"/>
          <w:szCs w:val="22"/>
        </w:rPr>
        <w:t xml:space="preserve">Background: On a Friday evening at 6:00 PM, the SOC receives multiple alerts from the EDR platform indicating that a previously unknown executable is rapidly encrypting files across several production servers in the </w:t>
      </w:r>
      <w:r>
        <w:rPr>
          <w:rFonts w:ascii="Calibri" w:cs="Calibri" w:eastAsia="Calibri" w:hAnsi="Calibri"/>
          <w:b/>
          <w:bCs/>
          <w:i w:val="false"/>
          <w:iCs w:val="false"/>
          <w:color w:val="000000"/>
          <w:sz w:val="22"/>
          <w:szCs w:val="22"/>
        </w:rPr>
        <w:t xml:space="preserve">[PRIMARY DATA CENTER / CLOUD REGION]</w:t>
      </w:r>
      <w:r>
        <w:rPr>
          <w:rFonts w:ascii="Calibri" w:cs="Calibri" w:eastAsia="Calibri" w:hAnsi="Calibri"/>
          <w:b w:val="false"/>
          <w:bCs w:val="false"/>
          <w:i w:val="false"/>
          <w:iCs w:val="false"/>
          <w:color w:val="000000"/>
          <w:sz w:val="22"/>
          <w:szCs w:val="22"/>
        </w:rPr>
        <w:t xml:space="preserve">. Within 30 minutes, 40% of production servers are encrypted. The Company's customer-facing </w:t>
      </w:r>
      <w:r>
        <w:rPr>
          <w:rFonts w:ascii="Calibri" w:cs="Calibri" w:eastAsia="Calibri" w:hAnsi="Calibri"/>
          <w:b/>
          <w:bCs/>
          <w:i w:val="false"/>
          <w:iCs w:val="false"/>
          <w:color w:val="000000"/>
          <w:sz w:val="22"/>
          <w:szCs w:val="22"/>
        </w:rPr>
        <w:t xml:space="preserve">[APPLICATION/PLATFORM]</w:t>
      </w:r>
      <w:r>
        <w:rPr>
          <w:rFonts w:ascii="Calibri" w:cs="Calibri" w:eastAsia="Calibri" w:hAnsi="Calibri"/>
          <w:b w:val="false"/>
          <w:bCs w:val="false"/>
          <w:i w:val="false"/>
          <w:iCs w:val="false"/>
          <w:color w:val="000000"/>
          <w:sz w:val="22"/>
          <w:szCs w:val="22"/>
        </w:rPr>
        <w:t xml:space="preserve"> is down. Employees begin reporting that their workstations display ransom notes demanding </w:t>
      </w:r>
      <w:r>
        <w:rPr>
          <w:rFonts w:ascii="Calibri" w:cs="Calibri" w:eastAsia="Calibri" w:hAnsi="Calibri"/>
          <w:b/>
          <w:bCs/>
          <w:i w:val="false"/>
          <w:iCs w:val="false"/>
          <w:color w:val="000000"/>
          <w:sz w:val="22"/>
          <w:szCs w:val="22"/>
        </w:rPr>
        <w:t xml:space="preserve">[AMOUNT]</w:t>
      </w:r>
      <w:r>
        <w:rPr>
          <w:rFonts w:ascii="Calibri" w:cs="Calibri" w:eastAsia="Calibri" w:hAnsi="Calibri"/>
          <w:b w:val="false"/>
          <w:bCs w:val="false"/>
          <w:i w:val="false"/>
          <w:iCs w:val="false"/>
          <w:color w:val="000000"/>
          <w:sz w:val="22"/>
          <w:szCs w:val="22"/>
        </w:rPr>
        <w:t xml:space="preserve"> in Bitcoin, with a 72-hour deadline.</w:t>
      </w:r>
    </w:p>
    <w:p>
      <w:pPr>
        <w:spacing w:after="120" w:line="276"/>
      </w:pPr>
      <w:r>
        <w:rPr>
          <w:rFonts w:ascii="Calibri" w:cs="Calibri" w:eastAsia="Calibri" w:hAnsi="Calibri"/>
          <w:b w:val="false"/>
          <w:bCs w:val="false"/>
          <w:i w:val="false"/>
          <w:iCs w:val="false"/>
          <w:color w:val="000000"/>
          <w:sz w:val="22"/>
          <w:szCs w:val="22"/>
        </w:rPr>
        <w:t xml:space="preserve">Inject 1: The ransomware has spread to backup servers. The most recent clean backup is </w:t>
      </w:r>
      <w:r>
        <w:rPr>
          <w:rFonts w:ascii="Calibri" w:cs="Calibri" w:eastAsia="Calibri" w:hAnsi="Calibri"/>
          <w:b/>
          <w:bCs/>
          <w:i w:val="false"/>
          <w:iCs w:val="false"/>
          <w:color w:val="000000"/>
          <w:sz w:val="22"/>
          <w:szCs w:val="22"/>
        </w:rPr>
        <w:t xml:space="preserve">[TIME PERIOD]</w:t>
      </w:r>
      <w:r>
        <w:rPr>
          <w:rFonts w:ascii="Calibri" w:cs="Calibri" w:eastAsia="Calibri" w:hAnsi="Calibri"/>
          <w:b w:val="false"/>
          <w:bCs w:val="false"/>
          <w:i w:val="false"/>
          <w:iCs w:val="false"/>
          <w:color w:val="000000"/>
          <w:sz w:val="22"/>
          <w:szCs w:val="22"/>
        </w:rPr>
        <w:t xml:space="preserve"> old. The threat actor contacts the Company via email and claims to have exfiltrated </w:t>
      </w:r>
      <w:r>
        <w:rPr>
          <w:rFonts w:ascii="Calibri" w:cs="Calibri" w:eastAsia="Calibri" w:hAnsi="Calibri"/>
          <w:b/>
          <w:bCs/>
          <w:i w:val="false"/>
          <w:iCs w:val="false"/>
          <w:color w:val="000000"/>
          <w:sz w:val="22"/>
          <w:szCs w:val="22"/>
        </w:rPr>
        <w:t xml:space="preserve">[VOLUME]</w:t>
      </w:r>
      <w:r>
        <w:rPr>
          <w:rFonts w:ascii="Calibri" w:cs="Calibri" w:eastAsia="Calibri" w:hAnsi="Calibri"/>
          <w:b w:val="false"/>
          <w:bCs w:val="false"/>
          <w:i w:val="false"/>
          <w:iCs w:val="false"/>
          <w:color w:val="000000"/>
          <w:sz w:val="22"/>
          <w:szCs w:val="22"/>
        </w:rPr>
        <w:t xml:space="preserve"> of customer data, providing a sample file as proof.</w:t>
      </w:r>
    </w:p>
    <w:p>
      <w:pPr>
        <w:spacing w:after="120" w:line="276"/>
      </w:pPr>
      <w:r>
        <w:rPr>
          <w:rFonts w:ascii="Calibri" w:cs="Calibri" w:eastAsia="Calibri" w:hAnsi="Calibri"/>
          <w:b w:val="false"/>
          <w:bCs w:val="false"/>
          <w:i w:val="false"/>
          <w:iCs w:val="false"/>
          <w:color w:val="000000"/>
          <w:sz w:val="22"/>
          <w:szCs w:val="22"/>
        </w:rPr>
        <w:t xml:space="preserve">Inject 2: A technology news outlet contacts the Company's media team, stating they have received a tip about the attack and plan to publish within 2 hours. Customer complaints are flooding social media.</w:t>
      </w:r>
    </w:p>
    <w:p>
      <w:pPr>
        <w:spacing w:after="120" w:line="276"/>
      </w:pPr>
      <w:r>
        <w:rPr>
          <w:rFonts w:ascii="Calibri" w:cs="Calibri" w:eastAsia="Calibri" w:hAnsi="Calibri"/>
          <w:b w:val="false"/>
          <w:bCs w:val="false"/>
          <w:i w:val="false"/>
          <w:iCs w:val="false"/>
          <w:color w:val="000000"/>
          <w:sz w:val="22"/>
          <w:szCs w:val="22"/>
        </w:rPr>
        <w:t xml:space="preserve">Inject 3: The Company's cyber insurance carrier requires use of panel forensic firm and panel counsel. The carrier's claims adjuster is unavailable until Monday.</w:t>
      </w:r>
    </w:p>
    <w:p>
      <w:pPr>
        <w:spacing w:after="120" w:line="276"/>
      </w:pPr>
      <w:r>
        <w:rPr>
          <w:rFonts w:ascii="Calibri" w:cs="Calibri" w:eastAsia="Calibri" w:hAnsi="Calibri"/>
          <w:b w:val="false"/>
          <w:bCs w:val="false"/>
          <w:i w:val="false"/>
          <w:iCs w:val="false"/>
          <w:color w:val="000000"/>
          <w:sz w:val="22"/>
          <w:szCs w:val="22"/>
        </w:rPr>
        <w:t xml:space="preserve">Discussion Topics: Plan activation and IC assignment; initial containment; backup assessment; privilege protocol; insurance notification; ransomware payment framework; customer and media communications; regulatory notification obligations; business continuity.</w:t>
      </w:r>
    </w:p>
    <w:p>
      <w:pPr>
        <w:spacing w:after="200"/>
      </w:pPr>
    </w:p>
    <w:p>
      <w:pPr>
        <w:pStyle w:val="Heading2"/>
        <w:keepNext/>
        <w:spacing w:after="120" w:before="240"/>
      </w:pPr>
      <w:r>
        <w:rPr>
          <w:rFonts w:ascii="Calibri" w:cs="Calibri" w:eastAsia="Calibri" w:hAnsi="Calibri"/>
          <w:b/>
          <w:bCs/>
          <w:color w:val="1F3864"/>
          <w:sz w:val="26"/>
          <w:szCs w:val="26"/>
        </w:rPr>
        <w:t xml:space="preserve">Scenario 2: Sophisticated Phishing and Data Exfiltration</w:t>
      </w:r>
    </w:p>
    <w:p>
      <w:pPr>
        <w:spacing w:after="120" w:line="276"/>
      </w:pPr>
      <w:r>
        <w:rPr>
          <w:rFonts w:ascii="Calibri" w:cs="Calibri" w:eastAsia="Calibri" w:hAnsi="Calibri"/>
          <w:b w:val="false"/>
          <w:bCs w:val="false"/>
          <w:i w:val="false"/>
          <w:iCs w:val="false"/>
          <w:color w:val="000000"/>
          <w:sz w:val="22"/>
          <w:szCs w:val="22"/>
        </w:rPr>
        <w:t xml:space="preserve">Background: A senior executive in the finance department clicks on a convincing phishing email that appears to come from the Company's outside law firm. The email installs a remote-access trojan (RAT) on the executive's laptop. The RAT goes undetected for three weeks. During that time, the threat actor uses the executive's credentials to access the Company's financial systems, HR database, and customer CRM. The SOC detects the RAT when it triggers a new behavioral-analysis rule.</w:t>
      </w:r>
    </w:p>
    <w:p>
      <w:pPr>
        <w:spacing w:after="120" w:line="276"/>
      </w:pPr>
      <w:r>
        <w:rPr>
          <w:rFonts w:ascii="Calibri" w:cs="Calibri" w:eastAsia="Calibri" w:hAnsi="Calibri"/>
          <w:b w:val="false"/>
          <w:bCs w:val="false"/>
          <w:i w:val="false"/>
          <w:iCs w:val="false"/>
          <w:color w:val="000000"/>
          <w:sz w:val="22"/>
          <w:szCs w:val="22"/>
        </w:rPr>
        <w:t xml:space="preserve">Inject 1: Forensic analysis reveals that the threat actor exfiltrated a database containing PII for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customers across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states and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countries, including names, email addresses, phone numbers, and partial payment card numbers (last four digits only). The threat actor also accessed HR records for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employees, including Social Security numbers and salary information.</w:t>
      </w:r>
    </w:p>
    <w:p>
      <w:pPr>
        <w:spacing w:after="120" w:line="276"/>
      </w:pPr>
      <w:r>
        <w:rPr>
          <w:rFonts w:ascii="Calibri" w:cs="Calibri" w:eastAsia="Calibri" w:hAnsi="Calibri"/>
          <w:b w:val="false"/>
          <w:bCs w:val="false"/>
          <w:i w:val="false"/>
          <w:iCs w:val="false"/>
          <w:color w:val="000000"/>
          <w:sz w:val="22"/>
          <w:szCs w:val="22"/>
        </w:rPr>
        <w:t xml:space="preserve">Inject 2: The executive whose account was compromised is a member of the Board of Directors. The threat actor may have accessed Board materials, including draft financial statements and M&amp;A discussions marked as highly confidential.</w:t>
      </w:r>
    </w:p>
    <w:p>
      <w:pPr>
        <w:spacing w:after="120" w:line="276"/>
      </w:pPr>
      <w:r>
        <w:rPr>
          <w:rFonts w:ascii="Calibri" w:cs="Calibri" w:eastAsia="Calibri" w:hAnsi="Calibri"/>
          <w:b w:val="false"/>
          <w:bCs w:val="false"/>
          <w:i w:val="false"/>
          <w:iCs w:val="false"/>
          <w:color w:val="000000"/>
          <w:sz w:val="22"/>
          <w:szCs w:val="22"/>
        </w:rPr>
        <w:t xml:space="preserve">Discussion Topics: Detection and initial response; scope assessment; data classification; breach determination under multiple jurisdictions; privilege protocol for Board-related data; multi-state notification obligations; GDPR notification; SEC disclosure considerations; employee notification; customer notification; credit monitoring; insider-threat considerations.</w:t>
      </w:r>
    </w:p>
    <w:p>
      <w:pPr>
        <w:spacing w:after="200"/>
      </w:pPr>
    </w:p>
    <w:p>
      <w:pPr>
        <w:pStyle w:val="Heading2"/>
        <w:keepNext/>
        <w:spacing w:after="120" w:before="240"/>
      </w:pPr>
      <w:r>
        <w:rPr>
          <w:rFonts w:ascii="Calibri" w:cs="Calibri" w:eastAsia="Calibri" w:hAnsi="Calibri"/>
          <w:b/>
          <w:bCs/>
          <w:color w:val="1F3864"/>
          <w:sz w:val="26"/>
          <w:szCs w:val="26"/>
        </w:rPr>
        <w:t xml:space="preserve">Scenario 3: Third-Party Vendor Compromise</w:t>
      </w:r>
    </w:p>
    <w:p>
      <w:pPr>
        <w:spacing w:after="120" w:line="276"/>
      </w:pPr>
      <w:r>
        <w:rPr>
          <w:rFonts w:ascii="Calibri" w:cs="Calibri" w:eastAsia="Calibri" w:hAnsi="Calibri"/>
          <w:b w:val="false"/>
          <w:bCs w:val="false"/>
          <w:i w:val="false"/>
          <w:iCs w:val="false"/>
          <w:color w:val="000000"/>
          <w:sz w:val="22"/>
          <w:szCs w:val="22"/>
        </w:rPr>
        <w:t xml:space="preserve">Background: The Company's primary cloud-based payroll and HR management vendor notifies the Company that it has experienced a security incident affecting customer data. The vendor's initial notification states that "certain customer data may have been accessed by an unauthorized party" but provides limited details. The vendor processes payroll data for all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Company employees, including names, addresses, Social Security numbers, bank account numbers, and salary information.</w:t>
      </w:r>
    </w:p>
    <w:p>
      <w:pPr>
        <w:spacing w:after="120" w:line="276"/>
      </w:pPr>
      <w:r>
        <w:rPr>
          <w:rFonts w:ascii="Calibri" w:cs="Calibri" w:eastAsia="Calibri" w:hAnsi="Calibri"/>
          <w:b w:val="false"/>
          <w:bCs w:val="false"/>
          <w:i w:val="false"/>
          <w:iCs w:val="false"/>
          <w:color w:val="000000"/>
          <w:sz w:val="22"/>
          <w:szCs w:val="22"/>
        </w:rPr>
        <w:t xml:space="preserve">Inject 1: The vendor provides an updated notification indicating that the breach affected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of its customers and that the threat actor had access to vendor systems for </w:t>
      </w:r>
      <w:r>
        <w:rPr>
          <w:rFonts w:ascii="Calibri" w:cs="Calibri" w:eastAsia="Calibri" w:hAnsi="Calibri"/>
          <w:b/>
          <w:bCs/>
          <w:i w:val="false"/>
          <w:iCs w:val="false"/>
          <w:color w:val="000000"/>
          <w:sz w:val="22"/>
          <w:szCs w:val="22"/>
        </w:rPr>
        <w:t xml:space="preserve">[TIME PERIOD]</w:t>
      </w:r>
      <w:r>
        <w:rPr>
          <w:rFonts w:ascii="Calibri" w:cs="Calibri" w:eastAsia="Calibri" w:hAnsi="Calibri"/>
          <w:b w:val="false"/>
          <w:bCs w:val="false"/>
          <w:i w:val="false"/>
          <w:iCs w:val="false"/>
          <w:color w:val="000000"/>
          <w:sz w:val="22"/>
          <w:szCs w:val="22"/>
        </w:rPr>
        <w:t xml:space="preserve">. The vendor confirms that the Company's employee data was among the data accessed but cannot yet confirm whether data was exfiltrated.</w:t>
      </w:r>
    </w:p>
    <w:p>
      <w:pPr>
        <w:spacing w:after="120" w:line="276"/>
      </w:pPr>
      <w:r>
        <w:rPr>
          <w:rFonts w:ascii="Calibri" w:cs="Calibri" w:eastAsia="Calibri" w:hAnsi="Calibri"/>
          <w:b w:val="false"/>
          <w:bCs w:val="false"/>
          <w:i w:val="false"/>
          <w:iCs w:val="false"/>
          <w:color w:val="000000"/>
          <w:sz w:val="22"/>
          <w:szCs w:val="22"/>
        </w:rPr>
        <w:t xml:space="preserve">Inject 2: The vendor's forensic investigation is being conducted by a firm that is not on the Company's insurance carrier's approved panel. The insurer expresses concern about the independence and quality of the vendor's investigation and suggests that the Company should conduct its own independent investigation.</w:t>
      </w:r>
    </w:p>
    <w:p>
      <w:pPr>
        <w:spacing w:after="120" w:line="276"/>
      </w:pPr>
      <w:r>
        <w:rPr>
          <w:rFonts w:ascii="Calibri" w:cs="Calibri" w:eastAsia="Calibri" w:hAnsi="Calibri"/>
          <w:b w:val="false"/>
          <w:bCs w:val="false"/>
          <w:i w:val="false"/>
          <w:iCs w:val="false"/>
          <w:color w:val="000000"/>
          <w:sz w:val="22"/>
          <w:szCs w:val="22"/>
        </w:rPr>
        <w:t xml:space="preserve">Inject 3: Employees begin receiving targeted phishing emails that reference their payroll information, suggesting that the exfiltrated data is being used for follow-on attacks.</w:t>
      </w:r>
    </w:p>
    <w:p>
      <w:pPr>
        <w:spacing w:after="120" w:line="276"/>
      </w:pPr>
      <w:r>
        <w:rPr>
          <w:rFonts w:ascii="Calibri" w:cs="Calibri" w:eastAsia="Calibri" w:hAnsi="Calibri"/>
          <w:b w:val="false"/>
          <w:bCs w:val="false"/>
          <w:i w:val="false"/>
          <w:iCs w:val="false"/>
          <w:color w:val="000000"/>
          <w:sz w:val="22"/>
          <w:szCs w:val="22"/>
        </w:rPr>
        <w:t xml:space="preserve">Discussion Topics: Vendor-notification response; contractual rights and obligations; independent investigation; employee notification; credit monitoring for employees; insurance coordination; vendor indemnification; regulatory notification for employee data; coordination with vendor's response; business continuity for payroll processing.</w:t>
      </w:r>
    </w:p>
    <w:p>
      <w:pPr>
        <w:spacing w:after="200"/>
      </w:pPr>
    </w:p>
    <w:p>
      <w:pPr>
        <w:pStyle w:val="Heading2"/>
        <w:keepNext/>
        <w:spacing w:after="120" w:before="240"/>
      </w:pPr>
      <w:r>
        <w:rPr>
          <w:rFonts w:ascii="Calibri" w:cs="Calibri" w:eastAsia="Calibri" w:hAnsi="Calibri"/>
          <w:b/>
          <w:bCs/>
          <w:color w:val="1F3864"/>
          <w:sz w:val="26"/>
          <w:szCs w:val="26"/>
        </w:rPr>
        <w:t xml:space="preserve">Scenario 4: Insider Threat — Departing Employee</w:t>
      </w:r>
    </w:p>
    <w:p>
      <w:pPr>
        <w:spacing w:after="120" w:line="276"/>
      </w:pPr>
      <w:r>
        <w:rPr>
          <w:rFonts w:ascii="Calibri" w:cs="Calibri" w:eastAsia="Calibri" w:hAnsi="Calibri"/>
          <w:b w:val="false"/>
          <w:bCs w:val="false"/>
          <w:i w:val="false"/>
          <w:iCs w:val="false"/>
          <w:color w:val="000000"/>
          <w:sz w:val="22"/>
          <w:szCs w:val="22"/>
        </w:rPr>
        <w:t xml:space="preserve">Background: A senior software engineer who has submitted a two-week resignation notice is observed by a colleague downloading large volumes of source code and customer data from the Company's repositories. The colleague reports the observation to their manager, who reports it to the SOC. The engineer has legitimate access to the repositories as part of their role.</w:t>
      </w:r>
    </w:p>
    <w:p>
      <w:pPr>
        <w:spacing w:after="120" w:line="276"/>
      </w:pPr>
      <w:r>
        <w:rPr>
          <w:rFonts w:ascii="Calibri" w:cs="Calibri" w:eastAsia="Calibri" w:hAnsi="Calibri"/>
          <w:b w:val="false"/>
          <w:bCs w:val="false"/>
          <w:i w:val="false"/>
          <w:iCs w:val="false"/>
          <w:color w:val="000000"/>
          <w:sz w:val="22"/>
          <w:szCs w:val="22"/>
        </w:rPr>
        <w:t xml:space="preserve">Inject 1: DLP logs confirm that the engineer downloaded </w:t>
      </w:r>
      <w:r>
        <w:rPr>
          <w:rFonts w:ascii="Calibri" w:cs="Calibri" w:eastAsia="Calibri" w:hAnsi="Calibri"/>
          <w:b/>
          <w:bCs/>
          <w:i w:val="false"/>
          <w:iCs w:val="false"/>
          <w:color w:val="000000"/>
          <w:sz w:val="22"/>
          <w:szCs w:val="22"/>
        </w:rPr>
        <w:t xml:space="preserve">[VOLUME]</w:t>
      </w:r>
      <w:r>
        <w:rPr>
          <w:rFonts w:ascii="Calibri" w:cs="Calibri" w:eastAsia="Calibri" w:hAnsi="Calibri"/>
          <w:b w:val="false"/>
          <w:bCs w:val="false"/>
          <w:i w:val="false"/>
          <w:iCs w:val="false"/>
          <w:color w:val="000000"/>
          <w:sz w:val="22"/>
          <w:szCs w:val="22"/>
        </w:rPr>
        <w:t xml:space="preserve"> of data over the past </w:t>
      </w:r>
      <w:r>
        <w:rPr>
          <w:rFonts w:ascii="Calibri" w:cs="Calibri" w:eastAsia="Calibri" w:hAnsi="Calibri"/>
          <w:b/>
          <w:bCs/>
          <w:i w:val="false"/>
          <w:iCs w:val="false"/>
          <w:color w:val="000000"/>
          <w:sz w:val="22"/>
          <w:szCs w:val="22"/>
        </w:rPr>
        <w:t xml:space="preserve">[TIME PERIOD]</w:t>
      </w:r>
      <w:r>
        <w:rPr>
          <w:rFonts w:ascii="Calibri" w:cs="Calibri" w:eastAsia="Calibri" w:hAnsi="Calibri"/>
          <w:b w:val="false"/>
          <w:bCs w:val="false"/>
          <w:i w:val="false"/>
          <w:iCs w:val="false"/>
          <w:color w:val="000000"/>
          <w:sz w:val="22"/>
          <w:szCs w:val="22"/>
        </w:rPr>
        <w:t xml:space="preserve">, including proprietary source code, customer API keys, and a database export containing customer PII. The engineer also forwarded several Company documents to a personal email address.</w:t>
      </w:r>
    </w:p>
    <w:p>
      <w:pPr>
        <w:spacing w:after="120" w:line="276"/>
      </w:pPr>
      <w:r>
        <w:rPr>
          <w:rFonts w:ascii="Calibri" w:cs="Calibri" w:eastAsia="Calibri" w:hAnsi="Calibri"/>
          <w:b w:val="false"/>
          <w:bCs w:val="false"/>
          <w:i w:val="false"/>
          <w:iCs w:val="false"/>
          <w:color w:val="000000"/>
          <w:sz w:val="22"/>
          <w:szCs w:val="22"/>
        </w:rPr>
        <w:t xml:space="preserve">Inject 2: The engineer is joining a direct competitor. The Company's Proprietary Information and Inventions Assignment Agreement (PIIA) includes non-solicitation and intellectual property provisions.</w:t>
      </w:r>
    </w:p>
    <w:p>
      <w:pPr>
        <w:spacing w:after="120" w:line="276"/>
      </w:pPr>
      <w:r>
        <w:rPr>
          <w:rFonts w:ascii="Calibri" w:cs="Calibri" w:eastAsia="Calibri" w:hAnsi="Calibri"/>
          <w:b w:val="false"/>
          <w:bCs w:val="false"/>
          <w:i w:val="false"/>
          <w:iCs w:val="false"/>
          <w:color w:val="000000"/>
          <w:sz w:val="22"/>
          <w:szCs w:val="22"/>
        </w:rPr>
        <w:t xml:space="preserve">Discussion Topics: HR and Legal coordination; evidence preservation; privilege protocol; employee interview considerations; employment-law implications; potential trade-secret misappropriation claims; customer notification; API key rotation; law enforcement referral; TRO/injunctive relief considerations.</w:t>
      </w:r>
    </w:p>
    <w:p>
      <w:pPr>
        <w:spacing w:after="200"/>
      </w:pPr>
    </w:p>
    <w:p>
      <w:pPr>
        <w:pStyle w:val="Heading2"/>
        <w:keepNext/>
        <w:spacing w:after="120" w:before="240"/>
      </w:pPr>
      <w:r>
        <w:rPr>
          <w:rFonts w:ascii="Calibri" w:cs="Calibri" w:eastAsia="Calibri" w:hAnsi="Calibri"/>
          <w:b/>
          <w:bCs/>
          <w:color w:val="1F3864"/>
          <w:sz w:val="26"/>
          <w:szCs w:val="26"/>
        </w:rPr>
        <w:t xml:space="preserve">Scenario 5: Zero-Day Vulnerability in Customer-Facing Application</w:t>
      </w:r>
    </w:p>
    <w:p>
      <w:pPr>
        <w:spacing w:after="120" w:line="276"/>
      </w:pPr>
      <w:r>
        <w:rPr>
          <w:rFonts w:ascii="Calibri" w:cs="Calibri" w:eastAsia="Calibri" w:hAnsi="Calibri"/>
          <w:b w:val="false"/>
          <w:bCs w:val="false"/>
          <w:i w:val="false"/>
          <w:iCs w:val="false"/>
          <w:color w:val="000000"/>
          <w:sz w:val="22"/>
          <w:szCs w:val="22"/>
        </w:rPr>
        <w:t xml:space="preserve">Background: A security researcher contacts the Company through its vulnerability disclosure program, reporting a critical zero-day vulnerability in the Company's </w:t>
      </w:r>
      <w:r>
        <w:rPr>
          <w:rFonts w:ascii="Calibri" w:cs="Calibri" w:eastAsia="Calibri" w:hAnsi="Calibri"/>
          <w:b/>
          <w:bCs/>
          <w:i w:val="false"/>
          <w:iCs w:val="false"/>
          <w:color w:val="000000"/>
          <w:sz w:val="22"/>
          <w:szCs w:val="22"/>
        </w:rPr>
        <w:t xml:space="preserve">[PRODUCT/APPLICATION]</w:t>
      </w:r>
      <w:r>
        <w:rPr>
          <w:rFonts w:ascii="Calibri" w:cs="Calibri" w:eastAsia="Calibri" w:hAnsi="Calibri"/>
          <w:b w:val="false"/>
          <w:bCs w:val="false"/>
          <w:i w:val="false"/>
          <w:iCs w:val="false"/>
          <w:color w:val="000000"/>
          <w:sz w:val="22"/>
          <w:szCs w:val="22"/>
        </w:rPr>
        <w:t xml:space="preserve"> that allows unauthenticated remote code execution. The researcher provides a proof-of-concept exploit and states that they plan to publish their findings in 30 days, in accordance with responsible disclosure practices.</w:t>
      </w:r>
    </w:p>
    <w:p>
      <w:pPr>
        <w:spacing w:after="120" w:line="276"/>
      </w:pPr>
      <w:r>
        <w:rPr>
          <w:rFonts w:ascii="Calibri" w:cs="Calibri" w:eastAsia="Calibri" w:hAnsi="Calibri"/>
          <w:b w:val="false"/>
          <w:bCs w:val="false"/>
          <w:i w:val="false"/>
          <w:iCs w:val="false"/>
          <w:color w:val="000000"/>
          <w:sz w:val="22"/>
          <w:szCs w:val="22"/>
        </w:rPr>
        <w:t xml:space="preserve">Inject 1: The Security/IT Team confirms the vulnerability and determines that it has existed in the codebase for </w:t>
      </w:r>
      <w:r>
        <w:rPr>
          <w:rFonts w:ascii="Calibri" w:cs="Calibri" w:eastAsia="Calibri" w:hAnsi="Calibri"/>
          <w:b/>
          <w:bCs/>
          <w:i w:val="false"/>
          <w:iCs w:val="false"/>
          <w:color w:val="000000"/>
          <w:sz w:val="22"/>
          <w:szCs w:val="22"/>
        </w:rPr>
        <w:t xml:space="preserve">[TIME PERIOD]</w:t>
      </w:r>
      <w:r>
        <w:rPr>
          <w:rFonts w:ascii="Calibri" w:cs="Calibri" w:eastAsia="Calibri" w:hAnsi="Calibri"/>
          <w:b w:val="false"/>
          <w:bCs w:val="false"/>
          <w:i w:val="false"/>
          <w:iCs w:val="false"/>
          <w:color w:val="000000"/>
          <w:sz w:val="22"/>
          <w:szCs w:val="22"/>
        </w:rPr>
        <w:t xml:space="preserve">. Log analysis reveals that the vulnerability has been exploited in the wild by at least one unknown threat actor over the past </w:t>
      </w:r>
      <w:r>
        <w:rPr>
          <w:rFonts w:ascii="Calibri" w:cs="Calibri" w:eastAsia="Calibri" w:hAnsi="Calibri"/>
          <w:b/>
          <w:bCs/>
          <w:i w:val="false"/>
          <w:iCs w:val="false"/>
          <w:color w:val="000000"/>
          <w:sz w:val="22"/>
          <w:szCs w:val="22"/>
        </w:rPr>
        <w:t xml:space="preserve">[TIME PERIOD]</w:t>
      </w:r>
      <w:r>
        <w:rPr>
          <w:rFonts w:ascii="Calibri" w:cs="Calibri" w:eastAsia="Calibri" w:hAnsi="Calibri"/>
          <w:b w:val="false"/>
          <w:bCs w:val="false"/>
          <w:i w:val="false"/>
          <w:iCs w:val="false"/>
          <w:color w:val="000000"/>
          <w:sz w:val="22"/>
          <w:szCs w:val="22"/>
        </w:rPr>
        <w:t xml:space="preserve">. The threat actor used the vulnerability to access backend databases containing customer data.</w:t>
      </w:r>
    </w:p>
    <w:p>
      <w:pPr>
        <w:spacing w:after="120" w:line="276"/>
      </w:pPr>
      <w:r>
        <w:rPr>
          <w:rFonts w:ascii="Calibri" w:cs="Calibri" w:eastAsia="Calibri" w:hAnsi="Calibri"/>
          <w:b w:val="false"/>
          <w:bCs w:val="false"/>
          <w:i w:val="false"/>
          <w:iCs w:val="false"/>
          <w:color w:val="000000"/>
          <w:sz w:val="22"/>
          <w:szCs w:val="22"/>
        </w:rPr>
        <w:t xml:space="preserve">Inject 2: The vulnerability affects all customers using the on-premises version of the product. The Company has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on-premises customers, including </w:t>
      </w:r>
      <w:r>
        <w:rPr>
          <w:rFonts w:ascii="Calibri" w:cs="Calibri" w:eastAsia="Calibri" w:hAnsi="Calibri"/>
          <w:b/>
          <w:bCs/>
          <w:i w:val="false"/>
          <w:iCs w:val="false"/>
          <w:color w:val="000000"/>
          <w:sz w:val="22"/>
          <w:szCs w:val="22"/>
        </w:rPr>
        <w:t xml:space="preserve">[NUMBER]</w:t>
      </w:r>
      <w:r>
        <w:rPr>
          <w:rFonts w:ascii="Calibri" w:cs="Calibri" w:eastAsia="Calibri" w:hAnsi="Calibri"/>
          <w:b w:val="false"/>
          <w:bCs w:val="false"/>
          <w:i w:val="false"/>
          <w:iCs w:val="false"/>
          <w:color w:val="000000"/>
          <w:sz w:val="22"/>
          <w:szCs w:val="22"/>
        </w:rPr>
        <w:t xml:space="preserve"> in regulated industries (healthcare, financial services). The cloud-hosted version was patched, but the on-premises version requires customer action to apply the patch.</w:t>
      </w:r>
    </w:p>
    <w:p>
      <w:pPr>
        <w:spacing w:after="120" w:line="276"/>
      </w:pPr>
      <w:r>
        <w:rPr>
          <w:rFonts w:ascii="Calibri" w:cs="Calibri" w:eastAsia="Calibri" w:hAnsi="Calibri"/>
          <w:b w:val="false"/>
          <w:bCs w:val="false"/>
          <w:i w:val="false"/>
          <w:iCs w:val="false"/>
          <w:color w:val="000000"/>
          <w:sz w:val="22"/>
          <w:szCs w:val="22"/>
        </w:rPr>
        <w:t xml:space="preserve">Discussion Topics: Vulnerability response vs. incident response; coordinated disclosure with researcher; patch development and deployment; customer notification and patch guidance; regulatory notification for data access; responsible disclosure timeline management; product security posture; insurance notification.</w:t>
      </w:r>
    </w:p>
    <w:p>
      <w:pPr>
        <w:spacing w:after="200"/>
      </w:pPr>
    </w:p>
    <w:p>
      <w:pPr>
        <w:spacing w:after="200"/>
      </w:pPr>
    </w:p>
    <w:p>
      <w:pPr>
        <w:spacing w:after="200"/>
        <w:jc w:val="center"/>
      </w:pPr>
      <w:r>
        <w:rPr>
          <w:rFonts w:ascii="Calibri" w:cs="Calibri" w:eastAsia="Calibri" w:hAnsi="Calibri"/>
          <w:b/>
          <w:bCs/>
          <w:color w:val="808080"/>
          <w:sz w:val="22"/>
          <w:szCs w:val="22"/>
        </w:rPr>
        <w:t xml:space="preserve">[END OF PLAN]</w:t>
      </w:r>
    </w:p>
    <w:p>
      <w:pPr>
        <w:spacing w:after="200"/>
      </w:pPr>
    </w:p>
    <w:p>
      <w:pPr>
        <w:spacing w:after="200"/>
        <w:jc w:val="center"/>
      </w:pPr>
      <w:r>
        <w:rPr>
          <w:rFonts w:ascii="Calibri" w:cs="Calibri" w:eastAsia="Calibri" w:hAnsi="Calibri"/>
          <w:i/>
          <w:iCs/>
          <w:color w:val="808080"/>
          <w:sz w:val="18"/>
          <w:szCs w:val="18"/>
        </w:rPr>
        <w:t xml:space="preserve">This template is provided for informational purposes only and does not constitute legal advice.</w:t>
      </w:r>
    </w:p>
    <w:p>
      <w:pPr>
        <w:spacing w:after="200"/>
        <w:jc w:val="center"/>
      </w:pPr>
      <w:r>
        <w:rPr>
          <w:rFonts w:ascii="Calibri" w:cs="Calibri" w:eastAsia="Calibri" w:hAnsi="Calibri"/>
          <w:i/>
          <w:iCs/>
          <w:color w:val="808080"/>
          <w:sz w:val="18"/>
          <w:szCs w:val="18"/>
        </w:rPr>
        <w:t xml:space="preserve">Consult qualified legal counsel before adopting or implementing this Plan.</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08080"/>
        <w:sz w:val="16"/>
        <w:szCs w:val="16"/>
      </w:rPr>
      <w:t xml:space="preserve">Montague Law  |  For Informational Purposes Only  |  Page </w:t>
    </w:r>
    <w:r>
      <w:rPr>
        <w:rFonts w:ascii="Calibri" w:cs="Calibri" w:eastAsia="Calibri" w:hAnsi="Calibri"/>
        <w:color w:val="808080"/>
        <w:sz w:val="16"/>
        <w:szCs w:val="16"/>
      </w:rPr>
      <w:fldChar w:fldCharType="begin"/>
      <w:instrText xml:space="preserve">PAGE</w:instrText>
      <w:fldChar w:fldCharType="separate"/>
      <w:fldChar w:fldCharType="end"/>
    </w:r>
    <w:r>
      <w:rPr>
        <w:rFonts w:ascii="Calibri" w:cs="Calibri" w:eastAsia="Calibri" w:hAnsi="Calibri"/>
        <w:color w:val="808080"/>
        <w:sz w:val="16"/>
        <w:szCs w:val="16"/>
      </w:rPr>
      <w:t xml:space="preserve"> of </w:t>
    </w:r>
    <w:r>
      <w:rPr>
        <w:rFonts w:ascii="Calibri" w:cs="Calibri" w:eastAsia="Calibri" w:hAnsi="Calibri"/>
        <w:color w:val="808080"/>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08080"/>
        <w:sz w:val="18"/>
        <w:szCs w:val="18"/>
      </w:rPr>
      <w:t xml:space="preserve">Data and Security Incident Response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1F3864"/>
      <w:sz w:val="32"/>
      <w:szCs w:val="32"/>
    </w:rPr>
  </w:style>
  <w:style w:type="paragraph" w:styleId="Heading2">
    <w:name w:val="Heading 2"/>
    <w:basedOn w:val="Normal"/>
    <w:next w:val="Normal"/>
    <w:qFormat/>
    <w:pPr>
      <w:spacing w:after="120" w:before="240"/>
    </w:pPr>
    <w:rPr>
      <w:rFonts w:ascii="Calibri" w:cs="Calibri" w:eastAsia="Calibri" w:hAnsi="Calibri"/>
      <w:b/>
      <w:bCs/>
      <w:color w:val="1F3864"/>
      <w:sz w:val="26"/>
      <w:szCs w:val="26"/>
    </w:rPr>
  </w:style>
  <w:style w:type="paragraph" w:styleId="Heading3">
    <w:name w:val="Heading 3"/>
    <w:basedOn w:val="Normal"/>
    <w:next w:val="Normal"/>
    <w:qFormat/>
    <w:pPr>
      <w:spacing w:after="80" w:before="200"/>
    </w:pPr>
    <w:rPr>
      <w:rFonts w:ascii="Calibri" w:cs="Calibri" w:eastAsia="Calibri" w:hAnsi="Calibri"/>
      <w:b/>
      <w:bCs/>
      <w:color w:val="1F386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2026-08-23T02:47:43.220Z</dcterms:created>
  <dcterms:modified xsi:type="dcterms:W3CDTF">2026-08-23T02:47:43.220Z</dcterms:modified>
</cp:coreProperties>
</file>

<file path=docProps/custom.xml><?xml version="1.0" encoding="utf-8"?>
<Properties xmlns="http://schemas.openxmlformats.org/officeDocument/2006/custom-properties" xmlns:vt="http://schemas.openxmlformats.org/officeDocument/2006/docPropsVTypes"/>
</file>