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8"/>
          <w:szCs w:val="28"/>
        </w:rPr>
        <w:t xml:space="preserve">CONVERTIBLE PROMISSORY NOTE</w:t>
      </w:r>
    </w:p>
    <w:p>
      <w:pPr>
        <w:spacing w:after="60"/>
      </w:pPr>
    </w:p>
    <w:p>
      <w:pPr>
        <w:spacing w:after="200"/>
      </w:pPr>
      <w:r>
        <w:rPr>
          <w:rFonts w:ascii="Times New Roman" w:cs="Times New Roman" w:eastAsia="Times New Roman" w:hAnsi="Times New Roman"/>
          <w:sz w:val="24"/>
          <w:szCs w:val="24"/>
        </w:rPr>
        <w:t xml:space="preserve">$[Principal Amount]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[Date of Issuance]</w:t>
      </w:r>
    </w:p>
    <w:p>
      <w:pPr>
        <w:spacing w:after="120" w:line="276"/>
      </w:pPr>
      <w:r>
        <w:rPr>
          <w:rFonts w:ascii="Times New Roman" w:cs="Times New Roman" w:eastAsia="Times New Roman" w:hAnsi="Times New Roman"/>
          <w:sz w:val="24"/>
          <w:szCs w:val="24"/>
        </w:rPr>
        <w:t xml:space="preserve">FOR VALUE RECEIVED, [Company Name], a [State] corporation (the "Company"), hereby promises to pay to the order of [Investor Name] (the "Holder"), or the Holder's successors and assigns, the principal sum of $[Principal Amount] (the "Principal Amount"), together with accrued and unpaid interest thereon, each due and payable on the date and in the manner set forth below.</w:t>
      </w:r>
    </w:p>
    <w:p>
      <w:pPr>
        <w:spacing w:after="120" w:before="240"/>
      </w:pPr>
      <w:r>
        <w:rPr>
          <w:rFonts w:ascii="Times New Roman" w:cs="Times New Roman" w:eastAsia="Times New Roman" w:hAnsi="Times New Roman"/>
          <w:b/>
          <w:bCs/>
          <w:sz w:val="24"/>
          <w:szCs w:val="24"/>
        </w:rPr>
        <w:t xml:space="preserve">1. DEFINITIONS</w:t>
      </w:r>
    </w:p>
    <w:p>
      <w:pPr>
        <w:spacing w:after="120" w:line="276"/>
      </w:pPr>
      <w:r>
        <w:rPr>
          <w:rFonts w:ascii="Times New Roman" w:cs="Times New Roman" w:eastAsia="Times New Roman" w:hAnsi="Times New Roman"/>
          <w:sz w:val="24"/>
          <w:szCs w:val="24"/>
        </w:rPr>
        <w:t xml:space="preserve">"Conversion Price" means the lesser of (a) [Valuation Cap Amount] divided by the Fully Diluted Capitalization, and (b) the price per share paid by purchasers in the Qualified Financing multiplied by [Discount Percentage, e.g., 0.80] (representing a [Discount]% discount).</w:t>
      </w:r>
    </w:p>
    <w:p>
      <w:pPr>
        <w:spacing w:after="120" w:line="276"/>
      </w:pPr>
      <w:r>
        <w:rPr>
          <w:rFonts w:ascii="Times New Roman" w:cs="Times New Roman" w:eastAsia="Times New Roman" w:hAnsi="Times New Roman"/>
          <w:sz w:val="24"/>
          <w:szCs w:val="24"/>
        </w:rPr>
        <w:t xml:space="preserve">"Fully Diluted Capitalization" means, as of immediately prior to the Qualified Financing, all issued and outstanding shares of capital stock of the Company on a fully diluted basis, including (a) conversion or exercise of all outstanding vested and unvested options, warrants, and other convertible or exercisable securities, (b) the shares reserved and available for future grant under the Company's existing equity incentive plan(s), and (c) any increase to such plan(s) in connection with the Qualified Financing, but excluding (i) the shares issuable upon conversion of this Note and (ii) the shares issuable upon conversion of any other convertible notes or SAFEs outstanding at the time of the Qualified Financing.</w:t>
      </w:r>
    </w:p>
    <w:p>
      <w:pPr>
        <w:spacing w:after="120" w:line="276"/>
      </w:pPr>
      <w:r>
        <w:rPr>
          <w:rFonts w:ascii="Times New Roman" w:cs="Times New Roman" w:eastAsia="Times New Roman" w:hAnsi="Times New Roman"/>
          <w:sz w:val="24"/>
          <w:szCs w:val="24"/>
        </w:rPr>
        <w:t xml:space="preserve">"Maturity Date" means the date that is [Number, e.g., 24] months after the date of this Note.</w:t>
      </w:r>
    </w:p>
    <w:p>
      <w:pPr>
        <w:spacing w:after="120" w:line="276"/>
      </w:pPr>
      <w:r>
        <w:rPr>
          <w:rFonts w:ascii="Times New Roman" w:cs="Times New Roman" w:eastAsia="Times New Roman" w:hAnsi="Times New Roman"/>
          <w:sz w:val="24"/>
          <w:szCs w:val="24"/>
        </w:rPr>
        <w:t xml:space="preserve">"Qualified Financing" means an equity financing in which the Company sells and issues shares of its Preferred Stock for aggregate gross proceeds of at least $[Qualified Financing Threshold] (excluding the conversion of this Note and any other indebtedness).</w:t>
      </w:r>
    </w:p>
    <w:p>
      <w:pPr>
        <w:spacing w:after="120" w:before="240"/>
      </w:pPr>
      <w:r>
        <w:rPr>
          <w:rFonts w:ascii="Times New Roman" w:cs="Times New Roman" w:eastAsia="Times New Roman" w:hAnsi="Times New Roman"/>
          <w:b/>
          <w:bCs/>
          <w:sz w:val="24"/>
          <w:szCs w:val="24"/>
        </w:rPr>
        <w:t xml:space="preserve">2. INTEREST</w:t>
      </w:r>
    </w:p>
    <w:p>
      <w:pPr>
        <w:spacing w:after="120" w:line="276"/>
      </w:pPr>
      <w:r>
        <w:rPr>
          <w:rFonts w:ascii="Times New Roman" w:cs="Times New Roman" w:eastAsia="Times New Roman" w:hAnsi="Times New Roman"/>
          <w:sz w:val="24"/>
          <w:szCs w:val="24"/>
        </w:rPr>
        <w:t xml:space="preserve">This Note shall bear simple interest on the outstanding principal at the rate of [Interest Rate]% per annum, computed on the basis of a 365-day year and the actual number of days elapsed. Interest shall accrue from the date of this Note and shall not be compounded. No interest payment shall be due prior to the Maturity Date or earlier conversion of this Note pursuant to the terms herein.</w:t>
      </w:r>
    </w:p>
    <w:p>
      <w:pPr>
        <w:spacing w:after="120" w:before="240"/>
      </w:pPr>
      <w:r>
        <w:rPr>
          <w:rFonts w:ascii="Times New Roman" w:cs="Times New Roman" w:eastAsia="Times New Roman" w:hAnsi="Times New Roman"/>
          <w:b/>
          <w:bCs/>
          <w:sz w:val="24"/>
          <w:szCs w:val="24"/>
        </w:rPr>
        <w:t xml:space="preserve">3. MATURITY</w:t>
      </w:r>
    </w:p>
    <w:p>
      <w:pPr>
        <w:spacing w:after="120" w:line="276"/>
      </w:pPr>
      <w:r>
        <w:rPr>
          <w:rFonts w:ascii="Times New Roman" w:cs="Times New Roman" w:eastAsia="Times New Roman" w:hAnsi="Times New Roman"/>
          <w:sz w:val="24"/>
          <w:szCs w:val="24"/>
        </w:rPr>
        <w:t xml:space="preserve">Unless earlier converted or repaid in accordance with this Note, all outstanding principal, together with all accrued and unpaid interest, shall be due and payable on the Maturity Date. Upon maturity, if the Note has not been converted or repaid, the Holder may, at its election, (a) demand repayment in cash or (b) elect to convert the outstanding principal and accrued interest into shares of the Company's Common Stock at a conversion price equal to the quotient of [Valuation Cap Amount] divided by the Fully Diluted Capitalization.</w:t>
      </w:r>
    </w:p>
    <w:p>
      <w:pPr>
        <w:spacing w:after="120" w:before="240"/>
      </w:pPr>
      <w:r>
        <w:rPr>
          <w:rFonts w:ascii="Times New Roman" w:cs="Times New Roman" w:eastAsia="Times New Roman" w:hAnsi="Times New Roman"/>
          <w:b/>
          <w:bCs/>
          <w:sz w:val="24"/>
          <w:szCs w:val="24"/>
        </w:rPr>
        <w:t xml:space="preserve">4. CONVERSION</w:t>
      </w:r>
    </w:p>
    <w:p>
      <w:pPr>
        <w:spacing w:after="120" w:line="276"/>
      </w:pPr>
      <w:r>
        <w:rPr>
          <w:rFonts w:ascii="Times New Roman" w:cs="Times New Roman" w:eastAsia="Times New Roman" w:hAnsi="Times New Roman"/>
          <w:sz w:val="24"/>
          <w:szCs w:val="24"/>
        </w:rPr>
        <w:t xml:space="preserve">(a) Automatic Conversion upon Qualified Financing. Upon the closing of a Qualified Financing, the outstanding principal and all accrued and unpaid interest under this Note shall automatically convert into shares of the same series and class of Preferred Stock issued in the Qualified Financing at the Conversion Price.</w:t>
      </w:r>
    </w:p>
    <w:p>
      <w:pPr>
        <w:spacing w:after="120" w:line="276"/>
      </w:pPr>
      <w:r>
        <w:rPr>
          <w:rFonts w:ascii="Times New Roman" w:cs="Times New Roman" w:eastAsia="Times New Roman" w:hAnsi="Times New Roman"/>
          <w:sz w:val="24"/>
          <w:szCs w:val="24"/>
        </w:rPr>
        <w:t xml:space="preserve">(b) Optional Conversion upon Non-Qualified Financing. If the Company consummates an equity financing that does not constitute a Qualified Financing, the Holder may elect to convert the outstanding principal and accrued interest into shares of the equity securities issued in such financing on the same terms as the other investors in such financing, at a conversion price equal to the lesser of (i) the price per share paid by such investors multiplied by [Discount Percentage], and (ii) the quotient of [Valuation Cap Amount] divided by the Fully Diluted Capitalization.</w:t>
      </w:r>
    </w:p>
    <w:p>
      <w:pPr>
        <w:spacing w:after="120" w:line="276"/>
      </w:pPr>
      <w:r>
        <w:rPr>
          <w:rFonts w:ascii="Times New Roman" w:cs="Times New Roman" w:eastAsia="Times New Roman" w:hAnsi="Times New Roman"/>
          <w:sz w:val="24"/>
          <w:szCs w:val="24"/>
        </w:rPr>
        <w:t xml:space="preserve">(c) Conversion upon Change of Control. If a Change of Control (as defined below) occurs prior to the conversion or repayment of this Note, the Holder may elect either (i) to receive a cash payment equal to [Multiple, e.g., 2.0]x the outstanding principal and accrued interest, or (ii) to convert the outstanding principal and accrued interest into shares of Common Stock at a conversion price equal to [Valuation Cap Amount] divided by the Fully Diluted Capitalization.</w:t>
      </w:r>
    </w:p>
    <w:p>
      <w:pPr>
        <w:spacing w:after="120" w:line="276"/>
      </w:pPr>
      <w:r>
        <w:rPr>
          <w:rFonts w:ascii="Times New Roman" w:cs="Times New Roman" w:eastAsia="Times New Roman" w:hAnsi="Times New Roman"/>
          <w:sz w:val="24"/>
          <w:szCs w:val="24"/>
        </w:rPr>
        <w:t xml:space="preserve">"Change of Control" means (A) any acquisition of the Company by means of a merger, consolidation, or other transaction or series of related transactions in which the stockholders of the Company immediately prior to such transaction do not hold at least 50% of the voting power of the surviving entity, (B) a sale, lease, exclusive license, or other disposition of all or substantially all of the Company's assets, or (C) a liquidation, dissolution, or winding up of the Company.</w:t>
      </w:r>
    </w:p>
    <w:p>
      <w:pPr>
        <w:spacing w:after="120" w:before="240"/>
      </w:pPr>
      <w:r>
        <w:rPr>
          <w:rFonts w:ascii="Times New Roman" w:cs="Times New Roman" w:eastAsia="Times New Roman" w:hAnsi="Times New Roman"/>
          <w:b/>
          <w:bCs/>
          <w:sz w:val="24"/>
          <w:szCs w:val="24"/>
        </w:rPr>
        <w:t xml:space="preserve">5. MECHANICS OF CONVERSION</w:t>
      </w:r>
    </w:p>
    <w:p>
      <w:pPr>
        <w:spacing w:after="120" w:line="276"/>
      </w:pPr>
      <w:r>
        <w:rPr>
          <w:rFonts w:ascii="Times New Roman" w:cs="Times New Roman" w:eastAsia="Times New Roman" w:hAnsi="Times New Roman"/>
          <w:sz w:val="24"/>
          <w:szCs w:val="24"/>
        </w:rPr>
        <w:t xml:space="preserve">Upon conversion, the Company shall issue to the Holder a certificate or book-entry statement representing the number of shares issuable upon conversion and shall deliver such certificate or statement within [Number, e.g., 10] business days of the conversion event. Any fractional shares resulting from conversion shall be rounded to the nearest whole share. The issuance of shares upon conversion of this Note shall be made without charge to the Holder for any issuance tax or other costs incurred by the Company in connection with such conversion.</w:t>
      </w:r>
    </w:p>
    <w:p>
      <w:pPr>
        <w:spacing w:after="120" w:before="240"/>
      </w:pPr>
      <w:r>
        <w:rPr>
          <w:rFonts w:ascii="Times New Roman" w:cs="Times New Roman" w:eastAsia="Times New Roman" w:hAnsi="Times New Roman"/>
          <w:b/>
          <w:bCs/>
          <w:sz w:val="24"/>
          <w:szCs w:val="24"/>
        </w:rPr>
        <w:t xml:space="preserve">6. PREPAYMENT</w:t>
      </w:r>
    </w:p>
    <w:p>
      <w:pPr>
        <w:spacing w:after="120" w:line="276"/>
      </w:pPr>
      <w:r>
        <w:rPr>
          <w:rFonts w:ascii="Times New Roman" w:cs="Times New Roman" w:eastAsia="Times New Roman" w:hAnsi="Times New Roman"/>
          <w:sz w:val="24"/>
          <w:szCs w:val="24"/>
        </w:rPr>
        <w:t xml:space="preserve">This Note may not be prepaid in whole or in part without the prior written consent of the Holder.</w:t>
      </w:r>
    </w:p>
    <w:p>
      <w:pPr>
        <w:spacing w:after="120" w:before="240"/>
      </w:pPr>
      <w:r>
        <w:rPr>
          <w:rFonts w:ascii="Times New Roman" w:cs="Times New Roman" w:eastAsia="Times New Roman" w:hAnsi="Times New Roman"/>
          <w:b/>
          <w:bCs/>
          <w:sz w:val="24"/>
          <w:szCs w:val="24"/>
        </w:rPr>
        <w:t xml:space="preserve">7. SUBORDINATION</w:t>
      </w:r>
    </w:p>
    <w:p>
      <w:pPr>
        <w:spacing w:after="120" w:line="276"/>
      </w:pPr>
      <w:r>
        <w:rPr>
          <w:rFonts w:ascii="Times New Roman" w:cs="Times New Roman" w:eastAsia="Times New Roman" w:hAnsi="Times New Roman"/>
          <w:sz w:val="24"/>
          <w:szCs w:val="24"/>
        </w:rPr>
        <w:t xml:space="preserve">The indebtedness evidenced by this Note is subordinated in right of payment to the Company's existing and future Senior Indebtedness (as defined below). "Senior Indebtedness" means all indebtedness of the Company to banks, commercial finance lenders, or other institutional lending sources for money borrowed, whether or not secured, but excluding trade payables and accrued liabilities incurred in the ordinary course of business.</w:t>
      </w:r>
    </w:p>
    <w:p>
      <w:pPr>
        <w:spacing w:after="120" w:before="240"/>
      </w:pPr>
      <w:r>
        <w:rPr>
          <w:rFonts w:ascii="Times New Roman" w:cs="Times New Roman" w:eastAsia="Times New Roman" w:hAnsi="Times New Roman"/>
          <w:b/>
          <w:bCs/>
          <w:sz w:val="24"/>
          <w:szCs w:val="24"/>
        </w:rPr>
        <w:t xml:space="preserve">8. EVENTS OF DEFAULT</w:t>
      </w:r>
    </w:p>
    <w:p>
      <w:pPr>
        <w:spacing w:after="120" w:line="276"/>
      </w:pPr>
      <w:r>
        <w:rPr>
          <w:rFonts w:ascii="Times New Roman" w:cs="Times New Roman" w:eastAsia="Times New Roman" w:hAnsi="Times New Roman"/>
          <w:sz w:val="24"/>
          <w:szCs w:val="24"/>
        </w:rPr>
        <w:t xml:space="preserve">Each of the following shall constitute an "Event of Default":</w:t>
      </w:r>
    </w:p>
    <w:p>
      <w:pPr>
        <w:spacing w:after="120" w:line="276"/>
      </w:pPr>
      <w:r>
        <w:rPr>
          <w:rFonts w:ascii="Times New Roman" w:cs="Times New Roman" w:eastAsia="Times New Roman" w:hAnsi="Times New Roman"/>
          <w:sz w:val="24"/>
          <w:szCs w:val="24"/>
        </w:rPr>
        <w:t xml:space="preserve">(a) Failure to Pay. The Company fails to pay any principal or interest due under this Note within [Number, e.g., 5] business days after written notice from the Holder of such failure.</w:t>
      </w:r>
    </w:p>
    <w:p>
      <w:pPr>
        <w:spacing w:after="120" w:line="276"/>
      </w:pPr>
      <w:r>
        <w:rPr>
          <w:rFonts w:ascii="Times New Roman" w:cs="Times New Roman" w:eastAsia="Times New Roman" w:hAnsi="Times New Roman"/>
          <w:sz w:val="24"/>
          <w:szCs w:val="24"/>
        </w:rPr>
        <w:t xml:space="preserve">(b) Voluntary Bankruptcy. The Company commences a voluntary case or proceeding under any applicable federal or state bankruptcy, insolvency, reorganization, or similar law, or consents to the entry of an order for relief in an involuntary case, or makes a general assignment for the benefit of creditors.</w:t>
      </w:r>
    </w:p>
    <w:p>
      <w:pPr>
        <w:spacing w:after="120" w:line="276"/>
      </w:pPr>
      <w:r>
        <w:rPr>
          <w:rFonts w:ascii="Times New Roman" w:cs="Times New Roman" w:eastAsia="Times New Roman" w:hAnsi="Times New Roman"/>
          <w:sz w:val="24"/>
          <w:szCs w:val="24"/>
        </w:rPr>
        <w:t xml:space="preserve">(c) Involuntary Bankruptcy. A court of competent jurisdiction enters an order or decree under any applicable bankruptcy, insolvency, or similar law that remains unstayed and in effect for [Number, e.g., 60] consecutive days.</w:t>
      </w:r>
    </w:p>
    <w:p>
      <w:pPr>
        <w:spacing w:after="120" w:line="276"/>
      </w:pPr>
      <w:r>
        <w:rPr>
          <w:rFonts w:ascii="Times New Roman" w:cs="Times New Roman" w:eastAsia="Times New Roman" w:hAnsi="Times New Roman"/>
          <w:sz w:val="24"/>
          <w:szCs w:val="24"/>
        </w:rPr>
        <w:t xml:space="preserve">(d) Breach of Covenant. The Company materially breaches any covenant or obligation contained in this Note and fails to cure such breach within [Number, e.g., 30] days after written notice from the Holder.</w:t>
      </w:r>
    </w:p>
    <w:p>
      <w:pPr>
        <w:spacing w:after="120" w:line="276"/>
      </w:pPr>
      <w:r>
        <w:rPr>
          <w:rFonts w:ascii="Times New Roman" w:cs="Times New Roman" w:eastAsia="Times New Roman" w:hAnsi="Times New Roman"/>
          <w:sz w:val="24"/>
          <w:szCs w:val="24"/>
        </w:rPr>
        <w:t xml:space="preserve">Upon the occurrence of an Event of Default, the Holder may, by written notice to the Company, declare all outstanding principal and accrued interest immediately due and payable.</w:t>
      </w:r>
    </w:p>
    <w:p>
      <w:pPr>
        <w:spacing w:after="120" w:before="240"/>
      </w:pPr>
      <w:r>
        <w:rPr>
          <w:rFonts w:ascii="Times New Roman" w:cs="Times New Roman" w:eastAsia="Times New Roman" w:hAnsi="Times New Roman"/>
          <w:b/>
          <w:bCs/>
          <w:sz w:val="24"/>
          <w:szCs w:val="24"/>
        </w:rPr>
        <w:t xml:space="preserve">9. REPRESENTATIONS AND WARRANTIES OF THE COMPANY</w:t>
      </w:r>
    </w:p>
    <w:p>
      <w:pPr>
        <w:spacing w:after="120" w:line="276"/>
      </w:pPr>
      <w:r>
        <w:rPr>
          <w:rFonts w:ascii="Times New Roman" w:cs="Times New Roman" w:eastAsia="Times New Roman" w:hAnsi="Times New Roman"/>
          <w:sz w:val="24"/>
          <w:szCs w:val="24"/>
        </w:rPr>
        <w:t xml:space="preserve">The Company represents and warrants to the Holder as of the date hereof that:</w:t>
      </w:r>
    </w:p>
    <w:p>
      <w:pPr>
        <w:spacing w:after="120" w:line="276"/>
      </w:pPr>
      <w:r>
        <w:rPr>
          <w:rFonts w:ascii="Times New Roman" w:cs="Times New Roman" w:eastAsia="Times New Roman" w:hAnsi="Times New Roman"/>
          <w:sz w:val="24"/>
          <w:szCs w:val="24"/>
        </w:rPr>
        <w:t xml:space="preserve">(a) The Company is a corporation duly organized, validly existing, and in good standing under the laws of the State of [State].</w:t>
      </w:r>
    </w:p>
    <w:p>
      <w:pPr>
        <w:spacing w:after="120" w:line="276"/>
      </w:pPr>
      <w:r>
        <w:rPr>
          <w:rFonts w:ascii="Times New Roman" w:cs="Times New Roman" w:eastAsia="Times New Roman" w:hAnsi="Times New Roman"/>
          <w:sz w:val="24"/>
          <w:szCs w:val="24"/>
        </w:rPr>
        <w:t xml:space="preserve">(b) The execution, delivery, and performance of this Note are within the Company's corporate powers and have been duly authorized by all necessary corporate action.</w:t>
      </w:r>
    </w:p>
    <w:p>
      <w:pPr>
        <w:spacing w:after="120" w:line="276"/>
      </w:pPr>
      <w:r>
        <w:rPr>
          <w:rFonts w:ascii="Times New Roman" w:cs="Times New Roman" w:eastAsia="Times New Roman" w:hAnsi="Times New Roman"/>
          <w:sz w:val="24"/>
          <w:szCs w:val="24"/>
        </w:rPr>
        <w:t xml:space="preserve">(c) This Note constitutes a valid and legally binding obligation of the Company, enforceable against the Company in accordance with its terms, subject to applicable bankruptcy, insolvency, and similar laws affecting creditors' rights generally.</w:t>
      </w:r>
    </w:p>
    <w:p>
      <w:pPr>
        <w:spacing w:after="120" w:line="276"/>
      </w:pPr>
      <w:r>
        <w:rPr>
          <w:rFonts w:ascii="Times New Roman" w:cs="Times New Roman" w:eastAsia="Times New Roman" w:hAnsi="Times New Roman"/>
          <w:sz w:val="24"/>
          <w:szCs w:val="24"/>
        </w:rPr>
        <w:t xml:space="preserve">(d) The shares issuable upon conversion of this Note, when issued in compliance with the provisions of this Note, will be validly issued, fully paid, and nonassessable.</w:t>
      </w:r>
    </w:p>
    <w:p>
      <w:pPr>
        <w:spacing w:after="120" w:before="240"/>
      </w:pPr>
      <w:r>
        <w:rPr>
          <w:rFonts w:ascii="Times New Roman" w:cs="Times New Roman" w:eastAsia="Times New Roman" w:hAnsi="Times New Roman"/>
          <w:b/>
          <w:bCs/>
          <w:sz w:val="24"/>
          <w:szCs w:val="24"/>
        </w:rPr>
        <w:t xml:space="preserve">10. MOST FAVORED NATION</w:t>
      </w:r>
    </w:p>
    <w:p>
      <w:pPr>
        <w:spacing w:after="120" w:line="276"/>
      </w:pPr>
      <w:r>
        <w:rPr>
          <w:rFonts w:ascii="Times New Roman" w:cs="Times New Roman" w:eastAsia="Times New Roman" w:hAnsi="Times New Roman"/>
          <w:sz w:val="24"/>
          <w:szCs w:val="24"/>
        </w:rPr>
        <w:t xml:space="preserve">If the Company issues any subsequent convertible promissory note or simple agreement for future equity with terms more favorable to the holder thereof than the terms of this Note (including, without limitation, a lower valuation cap, a greater discount, or more favorable conversion mechanics), the Company shall promptly notify the Holder, and the Holder may elect to amend this Note to include such more favorable terms.</w:t>
      </w:r>
    </w:p>
    <w:p>
      <w:pPr>
        <w:spacing w:after="120" w:before="240"/>
      </w:pPr>
      <w:r>
        <w:rPr>
          <w:rFonts w:ascii="Times New Roman" w:cs="Times New Roman" w:eastAsia="Times New Roman" w:hAnsi="Times New Roman"/>
          <w:b/>
          <w:bCs/>
          <w:sz w:val="24"/>
          <w:szCs w:val="24"/>
        </w:rPr>
        <w:t xml:space="preserve">11. INFORMATION RIGHTS</w:t>
      </w:r>
    </w:p>
    <w:p>
      <w:pPr>
        <w:spacing w:after="120" w:line="276"/>
      </w:pPr>
      <w:r>
        <w:rPr>
          <w:rFonts w:ascii="Times New Roman" w:cs="Times New Roman" w:eastAsia="Times New Roman" w:hAnsi="Times New Roman"/>
          <w:sz w:val="24"/>
          <w:szCs w:val="24"/>
        </w:rPr>
        <w:t xml:space="preserve">Until the earlier of conversion of this Note or the Maturity Date, the Company shall provide to the Holder: (a) unaudited quarterly financial statements within [Number, e.g., 45] days after the end of each fiscal quarter, and (b) audited annual financial statements within [Number, e.g., 120] days after the end of each fiscal year, in each case prepared in accordance with GAAP applied on a consistent basis.</w:t>
      </w:r>
    </w:p>
    <w:p>
      <w:pPr>
        <w:spacing w:after="120" w:before="240"/>
      </w:pPr>
      <w:r>
        <w:rPr>
          <w:rFonts w:ascii="Times New Roman" w:cs="Times New Roman" w:eastAsia="Times New Roman" w:hAnsi="Times New Roman"/>
          <w:b/>
          <w:bCs/>
          <w:sz w:val="24"/>
          <w:szCs w:val="24"/>
        </w:rPr>
        <w:t xml:space="preserve">12. TRANSFER RESTRICTIONS</w:t>
      </w:r>
    </w:p>
    <w:p>
      <w:pPr>
        <w:spacing w:after="120" w:line="276"/>
      </w:pPr>
      <w:r>
        <w:rPr>
          <w:rFonts w:ascii="Times New Roman" w:cs="Times New Roman" w:eastAsia="Times New Roman" w:hAnsi="Times New Roman"/>
          <w:sz w:val="24"/>
          <w:szCs w:val="24"/>
        </w:rPr>
        <w:t xml:space="preserve">This Note may not be transferred or assigned by the Holder without the prior written consent of the Company, except (a) to an affiliate of the Holder, or (b) by operation of law. Any purported transfer in violation of this Section shall be void and of no effect.</w:t>
      </w:r>
    </w:p>
    <w:p>
      <w:pPr>
        <w:spacing w:after="120" w:before="240"/>
      </w:pPr>
      <w:r>
        <w:rPr>
          <w:rFonts w:ascii="Times New Roman" w:cs="Times New Roman" w:eastAsia="Times New Roman" w:hAnsi="Times New Roman"/>
          <w:b/>
          <w:bCs/>
          <w:sz w:val="24"/>
          <w:szCs w:val="24"/>
        </w:rPr>
        <w:t xml:space="preserve">13. AMENDMENT AND WAIVER</w:t>
      </w:r>
    </w:p>
    <w:p>
      <w:pPr>
        <w:spacing w:after="120" w:line="276"/>
      </w:pPr>
      <w:r>
        <w:rPr>
          <w:rFonts w:ascii="Times New Roman" w:cs="Times New Roman" w:eastAsia="Times New Roman" w:hAnsi="Times New Roman"/>
          <w:sz w:val="24"/>
          <w:szCs w:val="24"/>
        </w:rPr>
        <w:t xml:space="preserve">Any provision of this Note may be amended or waived only with the written consent of the Company and the Holder. No failure or delay by the Holder in exercising any right under this Note shall operate as a waiver thereof, nor shall any single or partial exercise of any right preclude any other or further exercise of that right or of any other right.</w:t>
      </w:r>
    </w:p>
    <w:p>
      <w:pPr>
        <w:spacing w:after="120" w:before="240"/>
      </w:pPr>
      <w:r>
        <w:rPr>
          <w:rFonts w:ascii="Times New Roman" w:cs="Times New Roman" w:eastAsia="Times New Roman" w:hAnsi="Times New Roman"/>
          <w:b/>
          <w:bCs/>
          <w:sz w:val="24"/>
          <w:szCs w:val="24"/>
        </w:rPr>
        <w:t xml:space="preserve">14. GOVERNING LAW</w:t>
      </w:r>
    </w:p>
    <w:p>
      <w:pPr>
        <w:spacing w:after="120" w:line="276"/>
      </w:pPr>
      <w:r>
        <w:rPr>
          <w:rFonts w:ascii="Times New Roman" w:cs="Times New Roman" w:eastAsia="Times New Roman" w:hAnsi="Times New Roman"/>
          <w:sz w:val="24"/>
          <w:szCs w:val="24"/>
        </w:rPr>
        <w:t xml:space="preserve">This Note shall be governed by and construed in accordance with the laws of the State of [Governing Law State], without regard to its conflict of laws principles.</w:t>
      </w:r>
    </w:p>
    <w:p>
      <w:pPr>
        <w:spacing w:after="120" w:before="240"/>
      </w:pPr>
      <w:r>
        <w:rPr>
          <w:rFonts w:ascii="Times New Roman" w:cs="Times New Roman" w:eastAsia="Times New Roman" w:hAnsi="Times New Roman"/>
          <w:b/>
          <w:bCs/>
          <w:sz w:val="24"/>
          <w:szCs w:val="24"/>
        </w:rPr>
        <w:t xml:space="preserve">15. DISPUTE RESOLUTION</w:t>
      </w:r>
    </w:p>
    <w:p>
      <w:pPr>
        <w:spacing w:after="120" w:line="276"/>
      </w:pPr>
      <w:r>
        <w:rPr>
          <w:rFonts w:ascii="Times New Roman" w:cs="Times New Roman" w:eastAsia="Times New Roman" w:hAnsi="Times New Roman"/>
          <w:sz w:val="24"/>
          <w:szCs w:val="24"/>
        </w:rPr>
        <w:t xml:space="preserve">Any dispute, claim, or controversy arising out of or relating to this Note shall be resolved by binding arbitration in [City, State] administered by [Arbitration Body, e.g., JAMS or the American Arbitration Association] under its then-applicable commercial arbitration rules. The arbitrator's award shall be final and binding and may be entered as a judgment in any court of competent jurisdiction. Notwithstanding the foregoing, either party may seek injunctive or equitable relief in any court of competent jurisdiction.</w:t>
      </w:r>
    </w:p>
    <w:p>
      <w:pPr>
        <w:spacing w:after="120" w:before="240"/>
      </w:pPr>
      <w:r>
        <w:rPr>
          <w:rFonts w:ascii="Times New Roman" w:cs="Times New Roman" w:eastAsia="Times New Roman" w:hAnsi="Times New Roman"/>
          <w:b/>
          <w:bCs/>
          <w:sz w:val="24"/>
          <w:szCs w:val="24"/>
        </w:rPr>
        <w:t xml:space="preserve">16. NOTICES</w:t>
      </w:r>
    </w:p>
    <w:p>
      <w:pPr>
        <w:spacing w:after="120" w:line="276"/>
      </w:pPr>
      <w:r>
        <w:rPr>
          <w:rFonts w:ascii="Times New Roman" w:cs="Times New Roman" w:eastAsia="Times New Roman" w:hAnsi="Times New Roman"/>
          <w:sz w:val="24"/>
          <w:szCs w:val="24"/>
        </w:rPr>
        <w:t xml:space="preserve">All notices under this Note shall be in writing and shall be deemed given (a) when delivered personally, (b) one business day after deposit with a nationally recognized overnight courier, or (c) three business days after mailing by certified or registered mail, return receipt requested, postage prepaid, to the addresses set forth on the signature page below or to such other address as a party may designate by written notice.</w:t>
      </w:r>
    </w:p>
    <w:p>
      <w:pPr>
        <w:spacing w:after="120" w:before="240"/>
      </w:pPr>
      <w:r>
        <w:rPr>
          <w:rFonts w:ascii="Times New Roman" w:cs="Times New Roman" w:eastAsia="Times New Roman" w:hAnsi="Times New Roman"/>
          <w:b/>
          <w:bCs/>
          <w:sz w:val="24"/>
          <w:szCs w:val="24"/>
        </w:rPr>
        <w:t xml:space="preserve">17. SEVERABILITY</w:t>
      </w:r>
    </w:p>
    <w:p>
      <w:pPr>
        <w:spacing w:after="120" w:line="276"/>
      </w:pPr>
      <w:r>
        <w:rPr>
          <w:rFonts w:ascii="Times New Roman" w:cs="Times New Roman" w:eastAsia="Times New Roman" w:hAnsi="Times New Roman"/>
          <w:sz w:val="24"/>
          <w:szCs w:val="24"/>
        </w:rPr>
        <w:t xml:space="preserve">If any provision of this Note is held by a court of competent jurisdiction to be invalid, illegal, or unenforceable, such provision shall be modified to the minimum extent necessary to make it valid, legal, and enforceable, and the remaining provisions shall continue in full force and effect.</w:t>
      </w:r>
    </w:p>
    <w:p>
      <w:pPr>
        <w:spacing w:after="120" w:before="240"/>
      </w:pPr>
      <w:r>
        <w:rPr>
          <w:rFonts w:ascii="Times New Roman" w:cs="Times New Roman" w:eastAsia="Times New Roman" w:hAnsi="Times New Roman"/>
          <w:b/>
          <w:bCs/>
          <w:sz w:val="24"/>
          <w:szCs w:val="24"/>
        </w:rPr>
        <w:t xml:space="preserve">18. ENTIRE AGREEMENT</w:t>
      </w:r>
    </w:p>
    <w:p>
      <w:pPr>
        <w:spacing w:after="120" w:line="276"/>
      </w:pPr>
      <w:r>
        <w:rPr>
          <w:rFonts w:ascii="Times New Roman" w:cs="Times New Roman" w:eastAsia="Times New Roman" w:hAnsi="Times New Roman"/>
          <w:sz w:val="24"/>
          <w:szCs w:val="24"/>
        </w:rPr>
        <w:t xml:space="preserve">This Note constitutes the entire agreement between the Company and the Holder with respect to the subject matter hereof and supersedes all prior and contemporaneous agreements, understandings, negotiations, and discussions, whether oral or written, relating to such subject matter.</w:t>
      </w:r>
    </w:p>
    <w:p>
      <w:pPr>
        <w:spacing w:before="360"/>
      </w:pPr>
    </w:p>
    <w:p>
      <w:pPr>
        <w:spacing w:after="120"/>
        <w:jc w:val="center"/>
      </w:pPr>
      <w:r>
        <w:rPr>
          <w:rFonts w:ascii="Times New Roman" w:cs="Times New Roman" w:eastAsia="Times New Roman" w:hAnsi="Times New Roman"/>
          <w:i/>
          <w:iCs/>
          <w:sz w:val="24"/>
          <w:szCs w:val="24"/>
        </w:rPr>
        <w:t xml:space="preserve">(Signature Page Follows)</w:t>
      </w:r>
    </w:p>
    <w:p>
      <w:r>
        <w:br w:type="page"/>
      </w:r>
    </w:p>
    <w:p>
      <w:pPr>
        <w:spacing w:after="120" w:line="276"/>
      </w:pPr>
      <w:r>
        <w:rPr>
          <w:rFonts w:ascii="Times New Roman" w:cs="Times New Roman" w:eastAsia="Times New Roman" w:hAnsi="Times New Roman"/>
          <w:sz w:val="24"/>
          <w:szCs w:val="24"/>
        </w:rPr>
        <w:t xml:space="preserve">IN WITNESS WHEREOF, the Company has executed this Convertible Promissory Note as of the date first written above.</w:t>
      </w:r>
    </w:p>
    <w:p>
      <w:pPr>
        <w:spacing w:after="60" w:before="360"/>
      </w:pPr>
    </w:p>
    <w:p>
      <w:pPr>
        <w:spacing w:after="60"/>
      </w:pPr>
      <w:r>
        <w:rPr>
          <w:rFonts w:ascii="Times New Roman" w:cs="Times New Roman" w:eastAsia="Times New Roman" w:hAnsi="Times New Roman"/>
          <w:b/>
          <w:bCs/>
          <w:sz w:val="24"/>
          <w:szCs w:val="24"/>
        </w:rPr>
        <w:t xml:space="preserve">COMPANY:</w:t>
      </w:r>
    </w:p>
    <w:p>
      <w:pPr>
        <w:spacing w:after="60"/>
      </w:pPr>
      <w:r>
        <w:rPr>
          <w:rFonts w:ascii="Times New Roman" w:cs="Times New Roman" w:eastAsia="Times New Roman" w:hAnsi="Times New Roman"/>
          <w:sz w:val="24"/>
          <w:szCs w:val="24"/>
        </w:rPr>
        <w:t xml:space="preserve">[Company Name]</w:t>
      </w:r>
    </w:p>
    <w:p>
      <w:pPr>
        <w:spacing w:after="60"/>
      </w:pPr>
    </w:p>
    <w:p>
      <w:pPr>
        <w:spacing w:after="60"/>
      </w:pPr>
      <w:r>
        <w:rPr>
          <w:rFonts w:ascii="Times New Roman" w:cs="Times New Roman" w:eastAsia="Times New Roman" w:hAnsi="Times New Roman"/>
          <w:sz w:val="24"/>
          <w:szCs w:val="24"/>
        </w:rPr>
        <w:t xml:space="preserve">By: ___________________________________</w:t>
      </w:r>
    </w:p>
    <w:p>
      <w:pPr>
        <w:spacing w:after="60"/>
      </w:pPr>
      <w:r>
        <w:rPr>
          <w:rFonts w:ascii="Times New Roman" w:cs="Times New Roman" w:eastAsia="Times New Roman" w:hAnsi="Times New Roman"/>
          <w:sz w:val="24"/>
          <w:szCs w:val="24"/>
        </w:rPr>
        <w:t xml:space="preserve">Name: [Authorized Signatory Name]</w:t>
      </w:r>
    </w:p>
    <w:p>
      <w:pPr>
        <w:spacing w:after="60"/>
      </w:pPr>
      <w:r>
        <w:rPr>
          <w:rFonts w:ascii="Times New Roman" w:cs="Times New Roman" w:eastAsia="Times New Roman" w:hAnsi="Times New Roman"/>
          <w:sz w:val="24"/>
          <w:szCs w:val="24"/>
        </w:rPr>
        <w:t xml:space="preserve">Title: [Title]</w:t>
      </w:r>
    </w:p>
    <w:p>
      <w:pPr>
        <w:spacing w:after="60"/>
      </w:pPr>
      <w:r>
        <w:rPr>
          <w:rFonts w:ascii="Times New Roman" w:cs="Times New Roman" w:eastAsia="Times New Roman" w:hAnsi="Times New Roman"/>
          <w:sz w:val="24"/>
          <w:szCs w:val="24"/>
        </w:rPr>
        <w:t xml:space="preserve">Address: [Company Address]</w:t>
      </w:r>
    </w:p>
    <w:p>
      <w:pPr>
        <w:spacing w:after="60" w:before="360"/>
      </w:pPr>
    </w:p>
    <w:p>
      <w:pPr>
        <w:spacing w:after="60"/>
      </w:pPr>
      <w:r>
        <w:rPr>
          <w:rFonts w:ascii="Times New Roman" w:cs="Times New Roman" w:eastAsia="Times New Roman" w:hAnsi="Times New Roman"/>
          <w:b/>
          <w:bCs/>
          <w:sz w:val="24"/>
          <w:szCs w:val="24"/>
        </w:rPr>
        <w:t xml:space="preserve">ACKNOWLEDGED AND AGREED:</w:t>
      </w:r>
    </w:p>
    <w:p>
      <w:pPr>
        <w:spacing w:after="60"/>
      </w:pPr>
    </w:p>
    <w:p>
      <w:pPr>
        <w:spacing w:after="60"/>
      </w:pPr>
      <w:r>
        <w:rPr>
          <w:rFonts w:ascii="Times New Roman" w:cs="Times New Roman" w:eastAsia="Times New Roman" w:hAnsi="Times New Roman"/>
          <w:b/>
          <w:bCs/>
          <w:sz w:val="24"/>
          <w:szCs w:val="24"/>
        </w:rPr>
        <w:t xml:space="preserve">HOLDER:</w:t>
      </w:r>
    </w:p>
    <w:p>
      <w:pPr>
        <w:spacing w:after="60"/>
      </w:pPr>
      <w:r>
        <w:rPr>
          <w:rFonts w:ascii="Times New Roman" w:cs="Times New Roman" w:eastAsia="Times New Roman" w:hAnsi="Times New Roman"/>
          <w:sz w:val="24"/>
          <w:szCs w:val="24"/>
        </w:rPr>
        <w:t xml:space="preserve">[Investor Name]</w:t>
      </w:r>
    </w:p>
    <w:p>
      <w:pPr>
        <w:spacing w:after="60"/>
      </w:pPr>
    </w:p>
    <w:p>
      <w:pPr>
        <w:spacing w:after="60"/>
      </w:pPr>
      <w:r>
        <w:rPr>
          <w:rFonts w:ascii="Times New Roman" w:cs="Times New Roman" w:eastAsia="Times New Roman" w:hAnsi="Times New Roman"/>
          <w:sz w:val="24"/>
          <w:szCs w:val="24"/>
        </w:rPr>
        <w:t xml:space="preserve">By: ___________________________________</w:t>
      </w:r>
    </w:p>
    <w:p>
      <w:pPr>
        <w:spacing w:after="60"/>
      </w:pPr>
      <w:r>
        <w:rPr>
          <w:rFonts w:ascii="Times New Roman" w:cs="Times New Roman" w:eastAsia="Times New Roman" w:hAnsi="Times New Roman"/>
          <w:sz w:val="24"/>
          <w:szCs w:val="24"/>
        </w:rPr>
        <w:t xml:space="preserve">Name: [Authorized Signatory Name]</w:t>
      </w:r>
    </w:p>
    <w:p>
      <w:pPr>
        <w:spacing w:after="60"/>
      </w:pPr>
      <w:r>
        <w:rPr>
          <w:rFonts w:ascii="Times New Roman" w:cs="Times New Roman" w:eastAsia="Times New Roman" w:hAnsi="Times New Roman"/>
          <w:sz w:val="24"/>
          <w:szCs w:val="24"/>
        </w:rPr>
        <w:t xml:space="preserve">Title: [Title]</w:t>
      </w:r>
    </w:p>
    <w:p>
      <w:pPr>
        <w:spacing w:after="60"/>
      </w:pPr>
      <w:r>
        <w:rPr>
          <w:rFonts w:ascii="Times New Roman" w:cs="Times New Roman" w:eastAsia="Times New Roman" w:hAnsi="Times New Roman"/>
          <w:sz w:val="24"/>
          <w:szCs w:val="24"/>
        </w:rPr>
        <w:t xml:space="preserve">Address: [Holder Address]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2026-08-23T14:14:41.294Z</dcterms:created>
  <dcterms:modified xsi:type="dcterms:W3CDTF">2026-08-23T14:14:41.294Z</dcterms:modified>
</cp:coreProperties>
</file>

<file path=docProps/custom.xml><?xml version="1.0" encoding="utf-8"?>
<Properties xmlns="http://schemas.openxmlformats.org/officeDocument/2006/custom-properties" xmlns:vt="http://schemas.openxmlformats.org/officeDocument/2006/docPropsVTypes"/>
</file>