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rFonts w:ascii="Calibri" w:cs="Calibri" w:eastAsia="Calibri" w:hAnsi="Calibri"/>
          <w:b/>
          <w:bCs/>
          <w:sz w:val="32"/>
          <w:szCs w:val="32"/>
        </w:rPr>
        <w:t xml:space="preserve">COMPENSATION COMMITTEE CHARTER</w:t>
      </w:r>
    </w:p>
    <w:p>
      <w:pPr>
        <w:spacing w:after="200" w:before="0" w:line="276"/>
        <w:jc w:val="center"/>
      </w:pPr>
      <w:r>
        <w:rPr>
          <w:rFonts w:ascii="Calibri" w:cs="Calibri" w:eastAsia="Calibri" w:hAnsi="Calibri"/>
          <w:i/>
          <w:iCs/>
          <w:color w:val="666666"/>
          <w:sz w:val="20"/>
          <w:szCs w:val="20"/>
        </w:rPr>
        <w:t xml:space="preserve">Updated with 2025–2026 Emerging Provisions</w:t>
      </w:r>
    </w:p>
    <w:p>
      <w:pPr>
        <w:spacing w:after="60" w:before="0" w:line="276"/>
        <w:jc w:val="center"/>
      </w:pPr>
      <w:r>
        <w:rPr>
          <w:rFonts w:ascii="Calibri" w:cs="Calibri" w:eastAsia="Calibri" w:hAnsi="Calibri"/>
          <w:b/>
          <w:bCs/>
          <w:sz w:val="24"/>
          <w:szCs w:val="24"/>
        </w:rPr>
        <w:t xml:space="preserve">[COMPANY NAME]</w:t>
      </w:r>
    </w:p>
    <w:p>
      <w:pPr>
        <w:spacing w:after="60" w:before="0" w:line="276"/>
        <w:jc w:val="center"/>
      </w:pPr>
      <w:r>
        <w:rPr>
          <w:rFonts w:ascii="Calibri" w:cs="Calibri" w:eastAsia="Calibri" w:hAnsi="Calibri"/>
          <w:i/>
          <w:iCs/>
          <w:sz w:val="22"/>
          <w:szCs w:val="22"/>
        </w:rPr>
        <w:t xml:space="preserve">a [State] Corporation</w:t>
      </w:r>
    </w:p>
    <w:p>
      <w:pPr>
        <w:spacing w:after="400" w:before="0" w:line="276"/>
        <w:jc w:val="center"/>
      </w:pPr>
      <w:r>
        <w:rPr>
          <w:rFonts w:ascii="Calibri" w:cs="Calibri" w:eastAsia="Calibri" w:hAnsi="Calibri"/>
          <w:i/>
          <w:iCs/>
          <w:sz w:val="22"/>
          <w:szCs w:val="22"/>
        </w:rPr>
        <w:t xml:space="preserve">Adopted by the Board of Directors on [Date]</w:t>
      </w:r>
    </w:p>
    <w:p>
      <w:pPr>
        <w:pStyle w:val="Heading2"/>
        <w:spacing w:after="120" w:before="300" w:line="276"/>
        <w:jc w:val="left"/>
      </w:pPr>
      <w:r>
        <w:rPr>
          <w:rFonts w:ascii="Calibri" w:cs="Calibri" w:eastAsia="Calibri" w:hAnsi="Calibri"/>
          <w:b/>
          <w:bCs/>
          <w:sz w:val="24"/>
          <w:szCs w:val="24"/>
        </w:rPr>
        <w:t xml:space="preserve">Section 1. Purpose</w:t>
      </w:r>
    </w:p>
    <w:p>
      <w:pPr>
        <w:spacing w:after="160" w:before="0" w:line="276"/>
        <w:jc w:val="left"/>
      </w:pPr>
      <w:r>
        <w:rPr>
          <w:rFonts w:ascii="Calibri" w:cs="Calibri" w:eastAsia="Calibri" w:hAnsi="Calibri"/>
          <w:sz w:val="22"/>
          <w:szCs w:val="22"/>
        </w:rPr>
        <w:t xml:space="preserve">The Compensation Committee (the </w:t>
      </w:r>
      <w:r>
        <w:rPr>
          <w:rFonts w:ascii="Calibri" w:cs="Calibri" w:eastAsia="Calibri" w:hAnsi="Calibri"/>
          <w:b/>
          <w:bCs/>
          <w:sz w:val="22"/>
          <w:szCs w:val="22"/>
        </w:rPr>
        <w:t xml:space="preserve">"Committee"</w:t>
      </w:r>
      <w:r>
        <w:rPr>
          <w:rFonts w:ascii="Calibri" w:cs="Calibri" w:eastAsia="Calibri" w:hAnsi="Calibri"/>
          <w:sz w:val="22"/>
          <w:szCs w:val="22"/>
        </w:rPr>
        <w:t xml:space="preserve">) of the Board of Directors (the </w:t>
      </w:r>
      <w:r>
        <w:rPr>
          <w:rFonts w:ascii="Calibri" w:cs="Calibri" w:eastAsia="Calibri" w:hAnsi="Calibri"/>
          <w:b/>
          <w:bCs/>
          <w:sz w:val="22"/>
          <w:szCs w:val="22"/>
        </w:rPr>
        <w:t xml:space="preserve">"Board"</w:t>
      </w:r>
      <w:r>
        <w:rPr>
          <w:rFonts w:ascii="Calibri" w:cs="Calibri" w:eastAsia="Calibri" w:hAnsi="Calibri"/>
          <w:sz w:val="22"/>
          <w:szCs w:val="22"/>
        </w:rPr>
        <w:t xml:space="preserve">) of [Company Name] (the </w:t>
      </w:r>
      <w:r>
        <w:rPr>
          <w:rFonts w:ascii="Calibri" w:cs="Calibri" w:eastAsia="Calibri" w:hAnsi="Calibri"/>
          <w:b/>
          <w:bCs/>
          <w:sz w:val="22"/>
          <w:szCs w:val="22"/>
        </w:rPr>
        <w:t xml:space="preserve">"Company"</w:t>
      </w:r>
      <w:r>
        <w:rPr>
          <w:rFonts w:ascii="Calibri" w:cs="Calibri" w:eastAsia="Calibri" w:hAnsi="Calibri"/>
          <w:sz w:val="22"/>
          <w:szCs w:val="22"/>
        </w:rPr>
        <w:t xml:space="preserve">) is established to:</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Discharge the Board's responsibilities relating to the compensation of the Company's executive officers and directors;</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Oversee the Company's overall compensation philosophy, policies, and programs, including equity-based compensation plans;</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Produce an annual report on executive compensation for inclusion in the Company's proxy statement or annual report, as required by applicable rules and regulations [applicable primarily to public companies or companies preparing for an IPO];</w:t>
      </w:r>
    </w:p>
    <w:p>
      <w:pPr>
        <w:spacing w:after="10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Review and approve (or recommend to the Board for approval) all compensation arrangements for the Company's Chief Executive Officer and other executive officers; and</w:t>
      </w:r>
    </w:p>
    <w:p>
      <w:pPr>
        <w:spacing w:after="200" w:before="0" w:line="276"/>
        <w:ind w:left="360"/>
        <w:jc w:val="left"/>
      </w:pPr>
      <w:r>
        <w:rPr>
          <w:rFonts w:ascii="Calibri" w:cs="Calibri" w:eastAsia="Calibri" w:hAnsi="Calibri"/>
          <w:b/>
          <w:bCs/>
          <w:sz w:val="22"/>
          <w:szCs w:val="22"/>
        </w:rPr>
        <w:t xml:space="preserve">(e) </w:t>
      </w:r>
      <w:r>
        <w:rPr>
          <w:rFonts w:ascii="Calibri" w:cs="Calibri" w:eastAsia="Calibri" w:hAnsi="Calibri"/>
          <w:sz w:val="22"/>
          <w:szCs w:val="22"/>
        </w:rPr>
        <w:t xml:space="preserve">Perform such other duties and responsibilities as are consistent with the purpose of the Committee and as the Board or the Committee deems appropriate.</w:t>
      </w:r>
    </w:p>
    <w:p>
      <w:pPr>
        <w:pStyle w:val="Heading2"/>
        <w:spacing w:after="120" w:before="300" w:line="276"/>
        <w:jc w:val="left"/>
      </w:pPr>
      <w:r>
        <w:rPr>
          <w:rFonts w:ascii="Calibri" w:cs="Calibri" w:eastAsia="Calibri" w:hAnsi="Calibri"/>
          <w:b/>
          <w:bCs/>
          <w:sz w:val="24"/>
          <w:szCs w:val="24"/>
        </w:rPr>
        <w:t xml:space="preserve">Section 2. Composition and Membership</w:t>
      </w:r>
    </w:p>
    <w:p>
      <w:pPr>
        <w:spacing w:after="120" w:before="0" w:line="276"/>
        <w:jc w:val="left"/>
      </w:pPr>
      <w:r>
        <w:rPr>
          <w:rFonts w:ascii="Calibri" w:cs="Calibri" w:eastAsia="Calibri" w:hAnsi="Calibri"/>
          <w:b/>
          <w:bCs/>
          <w:sz w:val="22"/>
          <w:szCs w:val="22"/>
        </w:rPr>
        <w:t xml:space="preserve">2.1 Size. </w:t>
      </w:r>
      <w:r>
        <w:rPr>
          <w:rFonts w:ascii="Calibri" w:cs="Calibri" w:eastAsia="Calibri" w:hAnsi="Calibri"/>
          <w:sz w:val="22"/>
          <w:szCs w:val="22"/>
        </w:rPr>
        <w:t xml:space="preserve">The Committee shall consist of no fewer than [two / three] members of the Board, each appointed by the Board on the recommendation of the [Nominating and Governance Committee / Board Chair].</w:t>
      </w:r>
    </w:p>
    <w:p>
      <w:pPr>
        <w:spacing w:after="120" w:before="0" w:line="276"/>
        <w:jc w:val="left"/>
      </w:pPr>
      <w:r>
        <w:rPr>
          <w:rFonts w:ascii="Calibri" w:cs="Calibri" w:eastAsia="Calibri" w:hAnsi="Calibri"/>
          <w:b/>
          <w:bCs/>
          <w:sz w:val="22"/>
          <w:szCs w:val="22"/>
        </w:rPr>
        <w:t xml:space="preserve">2.2 Independence. </w:t>
      </w:r>
      <w:r>
        <w:rPr>
          <w:rFonts w:ascii="Calibri" w:cs="Calibri" w:eastAsia="Calibri" w:hAnsi="Calibri"/>
          <w:sz w:val="22"/>
          <w:szCs w:val="22"/>
        </w:rPr>
        <w:t xml:space="preserve">[For public companies or companies preparing for an IPO:] Each member of the Committee shall be "independent" as defined under the applicable listing standards of [the NYSE / Nasdaq / applicable exchange] and the rules and regulations of the Securities and Exchange Commission. [For private companies:] Each member of the Committee shall be a non-employee director of the Company who does not have a material financial relationship with the Company other than as a director and stockholder.</w:t>
      </w:r>
    </w:p>
    <w:p>
      <w:pPr>
        <w:spacing w:after="120" w:before="0" w:line="276"/>
        <w:jc w:val="left"/>
      </w:pPr>
      <w:r>
        <w:rPr>
          <w:rFonts w:ascii="Calibri" w:cs="Calibri" w:eastAsia="Calibri" w:hAnsi="Calibri"/>
          <w:b/>
          <w:bCs/>
          <w:sz w:val="22"/>
          <w:szCs w:val="22"/>
        </w:rPr>
        <w:t xml:space="preserve">2.3 "Non-Employee Director" Status. </w:t>
      </w:r>
      <w:r>
        <w:rPr>
          <w:rFonts w:ascii="Calibri" w:cs="Calibri" w:eastAsia="Calibri" w:hAnsi="Calibri"/>
          <w:sz w:val="22"/>
          <w:szCs w:val="22"/>
        </w:rPr>
        <w:t xml:space="preserve">[For companies subject to Section 16 of the Exchange Act:] Each member of the Committee shall qualify as a "non-employee director" within the meaning of Rule 16b-3 under the Securities Exchange Act of 1934, as amended.</w:t>
      </w:r>
    </w:p>
    <w:p>
      <w:pPr>
        <w:spacing w:after="120" w:before="0" w:line="276"/>
        <w:jc w:val="left"/>
      </w:pPr>
      <w:r>
        <w:rPr>
          <w:rFonts w:ascii="Calibri" w:cs="Calibri" w:eastAsia="Calibri" w:hAnsi="Calibri"/>
          <w:b/>
          <w:bCs/>
          <w:sz w:val="22"/>
          <w:szCs w:val="22"/>
        </w:rPr>
        <w:t xml:space="preserve">2.4 Term. </w:t>
      </w:r>
      <w:r>
        <w:rPr>
          <w:rFonts w:ascii="Calibri" w:cs="Calibri" w:eastAsia="Calibri" w:hAnsi="Calibri"/>
          <w:sz w:val="22"/>
          <w:szCs w:val="22"/>
        </w:rPr>
        <w:t xml:space="preserve">Members of the Committee shall serve at the pleasure of the Board. The Board may remove or replace any member of the Committee at any time with or without cause. A member shall automatically cease to be a member of the Committee upon ceasing to be a director of the Company.</w:t>
      </w:r>
    </w:p>
    <w:p>
      <w:pPr>
        <w:spacing w:after="200" w:before="0" w:line="276"/>
        <w:jc w:val="left"/>
      </w:pPr>
      <w:r>
        <w:rPr>
          <w:rFonts w:ascii="Calibri" w:cs="Calibri" w:eastAsia="Calibri" w:hAnsi="Calibri"/>
          <w:b/>
          <w:bCs/>
          <w:sz w:val="22"/>
          <w:szCs w:val="22"/>
        </w:rPr>
        <w:t xml:space="preserve">2.5 Chair. </w:t>
      </w:r>
      <w:r>
        <w:rPr>
          <w:rFonts w:ascii="Calibri" w:cs="Calibri" w:eastAsia="Calibri" w:hAnsi="Calibri"/>
          <w:sz w:val="22"/>
          <w:szCs w:val="22"/>
        </w:rPr>
        <w:t xml:space="preserve">The Board shall designate one member of the Committee as the Committee Chair. The Chair shall preside at meetings, set the agenda in consultation with management and other Committee members, and report the Committee's actions to the full Board.</w:t>
      </w:r>
    </w:p>
    <w:p>
      <w:pPr>
        <w:pStyle w:val="Heading2"/>
        <w:spacing w:after="120" w:before="300" w:line="276"/>
        <w:jc w:val="left"/>
      </w:pPr>
      <w:r>
        <w:rPr>
          <w:rFonts w:ascii="Calibri" w:cs="Calibri" w:eastAsia="Calibri" w:hAnsi="Calibri"/>
          <w:b/>
          <w:bCs/>
          <w:sz w:val="24"/>
          <w:szCs w:val="24"/>
        </w:rPr>
        <w:t xml:space="preserve">Section 3. Meetings and Procedures</w:t>
      </w:r>
    </w:p>
    <w:p>
      <w:pPr>
        <w:spacing w:after="120" w:before="0" w:line="276"/>
        <w:jc w:val="left"/>
      </w:pPr>
      <w:r>
        <w:rPr>
          <w:rFonts w:ascii="Calibri" w:cs="Calibri" w:eastAsia="Calibri" w:hAnsi="Calibri"/>
          <w:b/>
          <w:bCs/>
          <w:sz w:val="22"/>
          <w:szCs w:val="22"/>
        </w:rPr>
        <w:t xml:space="preserve">3.1 Frequency. </w:t>
      </w:r>
      <w:r>
        <w:rPr>
          <w:rFonts w:ascii="Calibri" w:cs="Calibri" w:eastAsia="Calibri" w:hAnsi="Calibri"/>
          <w:sz w:val="22"/>
          <w:szCs w:val="22"/>
        </w:rPr>
        <w:t xml:space="preserve">The Committee shall meet as often as it deems necessary or advisable, but no fewer than [two / four] times per year. Additional meetings may be called by the Committee Chair, by a majority of the Committee members, or at the request of the Board Chair or the CEO.</w:t>
      </w:r>
    </w:p>
    <w:p>
      <w:pPr>
        <w:spacing w:after="120" w:before="0" w:line="276"/>
        <w:jc w:val="left"/>
      </w:pPr>
      <w:r>
        <w:rPr>
          <w:rFonts w:ascii="Calibri" w:cs="Calibri" w:eastAsia="Calibri" w:hAnsi="Calibri"/>
          <w:b/>
          <w:bCs/>
          <w:sz w:val="22"/>
          <w:szCs w:val="22"/>
        </w:rPr>
        <w:t xml:space="preserve">3.2 Quorum. </w:t>
      </w:r>
      <w:r>
        <w:rPr>
          <w:rFonts w:ascii="Calibri" w:cs="Calibri" w:eastAsia="Calibri" w:hAnsi="Calibri"/>
          <w:sz w:val="22"/>
          <w:szCs w:val="22"/>
        </w:rPr>
        <w:t xml:space="preserve">A majority of the members of the Committee shall constitute a quorum for the transaction of business. The Committee may act by a vote of a majority of the members present at a meeting at which a quorum is present or by unanimous written consent in lieu of a meeting.</w:t>
      </w:r>
    </w:p>
    <w:p>
      <w:pPr>
        <w:spacing w:after="120" w:before="0" w:line="276"/>
        <w:jc w:val="left"/>
      </w:pPr>
      <w:r>
        <w:rPr>
          <w:rFonts w:ascii="Calibri" w:cs="Calibri" w:eastAsia="Calibri" w:hAnsi="Calibri"/>
          <w:b/>
          <w:bCs/>
          <w:sz w:val="22"/>
          <w:szCs w:val="22"/>
        </w:rPr>
        <w:t xml:space="preserve">3.3 Attendance. </w:t>
      </w:r>
      <w:r>
        <w:rPr>
          <w:rFonts w:ascii="Calibri" w:cs="Calibri" w:eastAsia="Calibri" w:hAnsi="Calibri"/>
          <w:sz w:val="22"/>
          <w:szCs w:val="22"/>
        </w:rPr>
        <w:t xml:space="preserve">The Committee may invite members of management, employees, outside counsel, independent compensation consultants, and other advisors to attend meetings as it deems appropriate. The CEO may not be present during voting or deliberations regarding the CEO's own compensation.</w:t>
      </w:r>
    </w:p>
    <w:p>
      <w:pPr>
        <w:spacing w:after="120" w:before="0" w:line="276"/>
        <w:jc w:val="left"/>
      </w:pPr>
      <w:r>
        <w:rPr>
          <w:rFonts w:ascii="Calibri" w:cs="Calibri" w:eastAsia="Calibri" w:hAnsi="Calibri"/>
          <w:b/>
          <w:bCs/>
          <w:sz w:val="22"/>
          <w:szCs w:val="22"/>
        </w:rPr>
        <w:t xml:space="preserve">3.4 Minutes. </w:t>
      </w:r>
      <w:r>
        <w:rPr>
          <w:rFonts w:ascii="Calibri" w:cs="Calibri" w:eastAsia="Calibri" w:hAnsi="Calibri"/>
          <w:sz w:val="22"/>
          <w:szCs w:val="22"/>
        </w:rPr>
        <w:t xml:space="preserve">The Committee shall maintain minutes of its meetings and records of its actions and recommendations, which shall be filed with the minutes of the Board.</w:t>
      </w:r>
    </w:p>
    <w:p>
      <w:pPr>
        <w:spacing w:after="200" w:before="0" w:line="276"/>
        <w:jc w:val="left"/>
      </w:pPr>
      <w:r>
        <w:rPr>
          <w:rFonts w:ascii="Calibri" w:cs="Calibri" w:eastAsia="Calibri" w:hAnsi="Calibri"/>
          <w:b/>
          <w:bCs/>
          <w:sz w:val="22"/>
          <w:szCs w:val="22"/>
        </w:rPr>
        <w:t xml:space="preserve">3.5 Executive Sessions. </w:t>
      </w:r>
      <w:r>
        <w:rPr>
          <w:rFonts w:ascii="Calibri" w:cs="Calibri" w:eastAsia="Calibri" w:hAnsi="Calibri"/>
          <w:sz w:val="22"/>
          <w:szCs w:val="22"/>
        </w:rPr>
        <w:t xml:space="preserve">The Committee shall meet in executive session (without management present) at each regularly scheduled meeting and at such other times as the Committee deems appropriate.</w:t>
      </w:r>
    </w:p>
    <w:p>
      <w:r>
        <w:br w:type="page"/>
      </w:r>
    </w:p>
    <w:p>
      <w:pPr>
        <w:pStyle w:val="Heading2"/>
        <w:spacing w:after="120" w:before="300" w:line="276"/>
        <w:jc w:val="left"/>
      </w:pPr>
      <w:r>
        <w:rPr>
          <w:rFonts w:ascii="Calibri" w:cs="Calibri" w:eastAsia="Calibri" w:hAnsi="Calibri"/>
          <w:b/>
          <w:bCs/>
          <w:sz w:val="24"/>
          <w:szCs w:val="24"/>
        </w:rPr>
        <w:t xml:space="preserve">Section 4. Authority and Responsibilities</w:t>
      </w:r>
    </w:p>
    <w:p>
      <w:pPr>
        <w:pStyle w:val="Heading3"/>
        <w:spacing w:after="80" w:before="200" w:line="276"/>
        <w:jc w:val="left"/>
      </w:pPr>
      <w:r>
        <w:rPr>
          <w:rFonts w:ascii="Calibri" w:cs="Calibri" w:eastAsia="Calibri" w:hAnsi="Calibri"/>
          <w:b/>
          <w:bCs/>
          <w:sz w:val="22"/>
          <w:szCs w:val="22"/>
        </w:rPr>
        <w:t xml:space="preserve">A. Executive Compensation</w:t>
      </w:r>
    </w:p>
    <w:p>
      <w:pPr>
        <w:spacing w:after="120" w:before="0" w:line="276"/>
        <w:jc w:val="left"/>
      </w:pPr>
      <w:r>
        <w:rPr>
          <w:rFonts w:ascii="Calibri" w:cs="Calibri" w:eastAsia="Calibri" w:hAnsi="Calibri"/>
          <w:b/>
          <w:bCs/>
          <w:sz w:val="22"/>
          <w:szCs w:val="22"/>
        </w:rPr>
        <w:t xml:space="preserve">4.1 CEO Compensation. </w:t>
      </w:r>
      <w:r>
        <w:rPr>
          <w:rFonts w:ascii="Calibri" w:cs="Calibri" w:eastAsia="Calibri" w:hAnsi="Calibri"/>
          <w:sz w:val="22"/>
          <w:szCs w:val="22"/>
        </w:rPr>
        <w:t xml:space="preserve">The Committee shall annually review and [approve / recommend to the Board for approval] all compensation for the Company's Chief Executive Officer, including: (i) base salary; (ii) annual bonus or incentive compensation; (iii) equity-based compensation (stock options, restricted stock, RSUs); (iv) perquisites and personal benefits; (v) severance and change-in-control arrangements; and (vi) any other form of compensation. The Committee shall evaluate the CEO's performance in light of the Company's goals and objectives and set the CEO's compensation based on this evaluation.</w:t>
      </w:r>
    </w:p>
    <w:p>
      <w:pPr>
        <w:spacing w:after="120" w:before="0" w:line="276"/>
        <w:jc w:val="left"/>
      </w:pPr>
      <w:r>
        <w:rPr>
          <w:rFonts w:ascii="Calibri" w:cs="Calibri" w:eastAsia="Calibri" w:hAnsi="Calibri"/>
          <w:b/>
          <w:bCs/>
          <w:sz w:val="22"/>
          <w:szCs w:val="22"/>
        </w:rPr>
        <w:t xml:space="preserve">4.2 Other Executive Officers. </w:t>
      </w:r>
      <w:r>
        <w:rPr>
          <w:rFonts w:ascii="Calibri" w:cs="Calibri" w:eastAsia="Calibri" w:hAnsi="Calibri"/>
          <w:sz w:val="22"/>
          <w:szCs w:val="22"/>
        </w:rPr>
        <w:t xml:space="preserve">The Committee shall review and [approve / recommend to the Board for approval] the compensation of all other executive officers of the Company (as defined in Section 16 of the Exchange Act or, for private companies, officers at or above the [Vice President / Senior Vice President] level), including the components described in Section 4.1 above.</w:t>
      </w:r>
    </w:p>
    <w:p>
      <w:pPr>
        <w:spacing w:after="120" w:before="0" w:line="276"/>
        <w:jc w:val="left"/>
      </w:pPr>
      <w:r>
        <w:rPr>
          <w:rFonts w:ascii="Calibri" w:cs="Calibri" w:eastAsia="Calibri" w:hAnsi="Calibri"/>
          <w:b/>
          <w:bCs/>
          <w:sz w:val="22"/>
          <w:szCs w:val="22"/>
        </w:rPr>
        <w:t xml:space="preserve">4.3 Employment Agreements. </w:t>
      </w:r>
      <w:r>
        <w:rPr>
          <w:rFonts w:ascii="Calibri" w:cs="Calibri" w:eastAsia="Calibri" w:hAnsi="Calibri"/>
          <w:sz w:val="22"/>
          <w:szCs w:val="22"/>
        </w:rPr>
        <w:t xml:space="preserve">The Committee shall review and [approve / recommend to the Board for approval] all employment agreements, severance agreements, change-in-control agreements, consulting agreements, and other compensatory arrangements between the Company and its executive officers.</w:t>
      </w:r>
    </w:p>
    <w:p>
      <w:pPr>
        <w:pStyle w:val="Heading3"/>
        <w:spacing w:after="80" w:before="200" w:line="276"/>
        <w:jc w:val="left"/>
      </w:pPr>
      <w:r>
        <w:rPr>
          <w:rFonts w:ascii="Calibri" w:cs="Calibri" w:eastAsia="Calibri" w:hAnsi="Calibri"/>
          <w:b/>
          <w:bCs/>
          <w:sz w:val="22"/>
          <w:szCs w:val="22"/>
        </w:rPr>
        <w:t xml:space="preserve">B. Equity Compensation</w:t>
      </w:r>
    </w:p>
    <w:p>
      <w:pPr>
        <w:spacing w:after="120" w:before="0" w:line="276"/>
        <w:jc w:val="left"/>
      </w:pPr>
      <w:r>
        <w:rPr>
          <w:rFonts w:ascii="Calibri" w:cs="Calibri" w:eastAsia="Calibri" w:hAnsi="Calibri"/>
          <w:b/>
          <w:bCs/>
          <w:sz w:val="22"/>
          <w:szCs w:val="22"/>
        </w:rPr>
        <w:t xml:space="preserve">4.4 Equity Plan Administration. </w:t>
      </w:r>
      <w:r>
        <w:rPr>
          <w:rFonts w:ascii="Calibri" w:cs="Calibri" w:eastAsia="Calibri" w:hAnsi="Calibri"/>
          <w:sz w:val="22"/>
          <w:szCs w:val="22"/>
        </w:rPr>
        <w:t xml:space="preserve">The Committee shall administer the Company's equity incentive plans, including the [Company Name] [Year] Equity Incentive Plan (the </w:t>
      </w:r>
      <w:r>
        <w:rPr>
          <w:rFonts w:ascii="Calibri" w:cs="Calibri" w:eastAsia="Calibri" w:hAnsi="Calibri"/>
          <w:b/>
          <w:bCs/>
          <w:sz w:val="22"/>
          <w:szCs w:val="22"/>
        </w:rPr>
        <w:t xml:space="preserve">"Plan"</w:t>
      </w:r>
      <w:r>
        <w:rPr>
          <w:rFonts w:ascii="Calibri" w:cs="Calibri" w:eastAsia="Calibri" w:hAnsi="Calibri"/>
          <w:sz w:val="22"/>
          <w:szCs w:val="22"/>
        </w:rPr>
        <w:t xml:space="preserve">). In this capacity, the Committee shall have the authority to: (i) grant stock options, restricted stock awards, RSUs, stock appreciation rights, and other equity-based awards under the Plan; (ii) determine the terms, conditions, and restrictions of each award; (iii) interpret the Plan and make all determinations necessary for its administration; and (iv) adopt, amend, and rescind rules and regulations relating to the Plan.</w:t>
      </w:r>
    </w:p>
    <w:p>
      <w:pPr>
        <w:spacing w:after="120" w:before="0" w:line="276"/>
        <w:jc w:val="left"/>
      </w:pPr>
      <w:r>
        <w:rPr>
          <w:rFonts w:ascii="Calibri" w:cs="Calibri" w:eastAsia="Calibri" w:hAnsi="Calibri"/>
          <w:b/>
          <w:bCs/>
          <w:sz w:val="22"/>
          <w:szCs w:val="22"/>
        </w:rPr>
        <w:t xml:space="preserve">4.5 409A Fair Market Value. </w:t>
      </w:r>
      <w:r>
        <w:rPr>
          <w:rFonts w:ascii="Calibri" w:cs="Calibri" w:eastAsia="Calibri" w:hAnsi="Calibri"/>
          <w:sz w:val="22"/>
          <w:szCs w:val="22"/>
        </w:rPr>
        <w:t xml:space="preserve">The Committee shall review and adopt fair market value determinations for the Company's common stock in compliance with Section 409A of the Internal Revenue Code, based on independent valuations obtained by the Company from a qualified appraisal firm. The Committee shall ensure that a current 409A valuation (dated within the prior 12 months and not rendered materially inaccurate by subsequent events) is in effect at the time of each stock option or SAR grant.</w:t>
      </w:r>
    </w:p>
    <w:p>
      <w:pPr>
        <w:spacing w:after="120" w:before="0" w:line="276"/>
        <w:jc w:val="left"/>
      </w:pPr>
      <w:r>
        <w:rPr>
          <w:rFonts w:ascii="Calibri" w:cs="Calibri" w:eastAsia="Calibri" w:hAnsi="Calibri"/>
          <w:b/>
          <w:bCs/>
          <w:sz w:val="22"/>
          <w:szCs w:val="22"/>
        </w:rPr>
        <w:t xml:space="preserve">4.6 Equity Budget. </w:t>
      </w:r>
      <w:r>
        <w:rPr>
          <w:rFonts w:ascii="Calibri" w:cs="Calibri" w:eastAsia="Calibri" w:hAnsi="Calibri"/>
          <w:sz w:val="22"/>
          <w:szCs w:val="22"/>
        </w:rPr>
        <w:t xml:space="preserve">The Committee shall review and [approve / recommend to the Board for approval] the Company's annual equity compensation budget, including: (i) the aggregate number of shares available for grants under the Plan; (ii) any proposed increases to the share reserve; (iii) guidelines for grant levels by position or band; and (iv) policies regarding the timing, frequency, and pricing of grants.</w:t>
      </w:r>
    </w:p>
    <w:p>
      <w:pPr>
        <w:pStyle w:val="Heading3"/>
        <w:spacing w:after="80" w:before="200" w:line="276"/>
        <w:jc w:val="left"/>
      </w:pPr>
      <w:r>
        <w:rPr>
          <w:rFonts w:ascii="Calibri" w:cs="Calibri" w:eastAsia="Calibri" w:hAnsi="Calibri"/>
          <w:b/>
          <w:bCs/>
          <w:sz w:val="22"/>
          <w:szCs w:val="22"/>
        </w:rPr>
        <w:t xml:space="preserve">C. Director Compensation</w:t>
      </w:r>
    </w:p>
    <w:p>
      <w:pPr>
        <w:spacing w:after="120" w:before="0" w:line="276"/>
        <w:jc w:val="left"/>
      </w:pPr>
      <w:r>
        <w:rPr>
          <w:rFonts w:ascii="Calibri" w:cs="Calibri" w:eastAsia="Calibri" w:hAnsi="Calibri"/>
          <w:b/>
          <w:bCs/>
          <w:sz w:val="22"/>
          <w:szCs w:val="22"/>
        </w:rPr>
        <w:t xml:space="preserve">4.7 Director Compensation. </w:t>
      </w:r>
      <w:r>
        <w:rPr>
          <w:rFonts w:ascii="Calibri" w:cs="Calibri" w:eastAsia="Calibri" w:hAnsi="Calibri"/>
          <w:sz w:val="22"/>
          <w:szCs w:val="22"/>
        </w:rPr>
        <w:t xml:space="preserve">The Committee shall periodically review and [approve / recommend to the Board for approval] the compensation of non-employee directors, including cash retainers, meeting fees, committee service fees, equity grants, and expense reimbursement policies. [No member of the Committee shall act to fix his or her own compensation except as provided in a policy applicable to all non-employee directors.]</w:t>
      </w:r>
    </w:p>
    <w:p>
      <w:r>
        <w:br w:type="page"/>
      </w:r>
    </w:p>
    <w:p>
      <w:pPr>
        <w:pStyle w:val="Heading3"/>
        <w:spacing w:after="80" w:before="200" w:line="276"/>
        <w:jc w:val="left"/>
      </w:pPr>
      <w:r>
        <w:rPr>
          <w:rFonts w:ascii="Calibri" w:cs="Calibri" w:eastAsia="Calibri" w:hAnsi="Calibri"/>
          <w:b/>
          <w:bCs/>
          <w:sz w:val="22"/>
          <w:szCs w:val="22"/>
        </w:rPr>
        <w:t xml:space="preserve">D. Compensation Philosophy and Risk</w:t>
      </w:r>
    </w:p>
    <w:p>
      <w:pPr>
        <w:spacing w:after="120" w:before="0" w:line="276"/>
        <w:jc w:val="left"/>
      </w:pPr>
      <w:r>
        <w:rPr>
          <w:rFonts w:ascii="Calibri" w:cs="Calibri" w:eastAsia="Calibri" w:hAnsi="Calibri"/>
          <w:b/>
          <w:bCs/>
          <w:sz w:val="22"/>
          <w:szCs w:val="22"/>
        </w:rPr>
        <w:t xml:space="preserve">4.8 Compensation Philosophy. </w:t>
      </w:r>
      <w:r>
        <w:rPr>
          <w:rFonts w:ascii="Calibri" w:cs="Calibri" w:eastAsia="Calibri" w:hAnsi="Calibri"/>
          <w:sz w:val="22"/>
          <w:szCs w:val="22"/>
        </w:rPr>
        <w:t xml:space="preserve">The Committee shall review and [approve / recommend to the Board for approval] the Company's overall compensation philosophy, including the balance between base salary, short-term incentives, and long-term equity compensation; the Company's peer group for compensation benchmarking purposes; and the Company's approach to pay-for-performance alignment.</w:t>
      </w:r>
    </w:p>
    <w:p>
      <w:pPr>
        <w:spacing w:after="120" w:before="0" w:line="276"/>
        <w:jc w:val="left"/>
      </w:pPr>
      <w:r>
        <w:rPr>
          <w:rFonts w:ascii="Calibri" w:cs="Calibri" w:eastAsia="Calibri" w:hAnsi="Calibri"/>
          <w:b/>
          <w:bCs/>
          <w:sz w:val="22"/>
          <w:szCs w:val="22"/>
        </w:rPr>
        <w:t xml:space="preserve">4.9 Risk Assessment. </w:t>
      </w:r>
      <w:r>
        <w:rPr>
          <w:rFonts w:ascii="Calibri" w:cs="Calibri" w:eastAsia="Calibri" w:hAnsi="Calibri"/>
          <w:sz w:val="22"/>
          <w:szCs w:val="22"/>
        </w:rPr>
        <w:t xml:space="preserve">The Committee shall periodically review the Company's compensation policies and practices to assess whether they create risks that are reasonably likely to have a material adverse effect on the Company. This assessment shall consider, among other factors, the mix of fixed and variable compensation, performance metrics and goals, payout curves, clawback provisions, and the time horizon over which compensation is earned and paid.</w:t>
      </w:r>
    </w:p>
    <w:p>
      <w:pPr>
        <w:pStyle w:val="Heading3"/>
        <w:spacing w:after="80" w:before="200" w:line="276"/>
        <w:jc w:val="left"/>
      </w:pPr>
      <w:r>
        <w:rPr>
          <w:rFonts w:ascii="Calibri" w:cs="Calibri" w:eastAsia="Calibri" w:hAnsi="Calibri"/>
          <w:b/>
          <w:bCs/>
          <w:sz w:val="22"/>
          <w:szCs w:val="22"/>
        </w:rPr>
        <w:t xml:space="preserve">E. Advisors and Consultants</w:t>
      </w:r>
    </w:p>
    <w:p>
      <w:pPr>
        <w:spacing w:after="120" w:before="0" w:line="276"/>
        <w:jc w:val="left"/>
      </w:pPr>
      <w:r>
        <w:rPr>
          <w:rFonts w:ascii="Calibri" w:cs="Calibri" w:eastAsia="Calibri" w:hAnsi="Calibri"/>
          <w:b/>
          <w:bCs/>
          <w:sz w:val="22"/>
          <w:szCs w:val="22"/>
        </w:rPr>
        <w:t xml:space="preserve">4.10 Independent Compensation Consultant. </w:t>
      </w:r>
      <w:r>
        <w:rPr>
          <w:rFonts w:ascii="Calibri" w:cs="Calibri" w:eastAsia="Calibri" w:hAnsi="Calibri"/>
          <w:sz w:val="22"/>
          <w:szCs w:val="22"/>
        </w:rPr>
        <w:t xml:space="preserve">The Committee shall have the sole authority to retain and terminate any independent compensation consultant to assist in the evaluation of CEO, executive officer, or director compensation. The Committee shall have the sole authority to approve the consultant's fees and other terms of engagement. Before selecting a compensation consultant, the Committee shall assess the consultant's independence, considering all factors relevant to the consultant's independence from management, including the factors specified in [applicable exchange listing standards].</w:t>
      </w:r>
    </w:p>
    <w:p>
      <w:pPr>
        <w:spacing w:after="200" w:before="0" w:line="276"/>
        <w:jc w:val="left"/>
      </w:pPr>
      <w:r>
        <w:rPr>
          <w:rFonts w:ascii="Calibri" w:cs="Calibri" w:eastAsia="Calibri" w:hAnsi="Calibri"/>
          <w:b/>
          <w:bCs/>
          <w:sz w:val="22"/>
          <w:szCs w:val="22"/>
        </w:rPr>
        <w:t xml:space="preserve">4.11 Other Advisors. </w:t>
      </w:r>
      <w:r>
        <w:rPr>
          <w:rFonts w:ascii="Calibri" w:cs="Calibri" w:eastAsia="Calibri" w:hAnsi="Calibri"/>
          <w:sz w:val="22"/>
          <w:szCs w:val="22"/>
        </w:rPr>
        <w:t xml:space="preserve">The Committee shall have the authority to retain independent legal counsel and other advisors as it deems necessary or appropriate. The Company shall provide appropriate funding, as determined by the Committee, for the payment of reasonable compensation to any consultant, legal counsel, or other advisor retained by the Committee.</w:t>
      </w:r>
    </w:p>
    <w:p>
      <w:pPr>
        <w:pStyle w:val="Heading2"/>
        <w:spacing w:after="120" w:before="300" w:line="276"/>
        <w:jc w:val="left"/>
      </w:pPr>
      <w:r>
        <w:rPr>
          <w:rFonts w:ascii="Calibri" w:cs="Calibri" w:eastAsia="Calibri" w:hAnsi="Calibri"/>
          <w:b/>
          <w:bCs/>
          <w:sz w:val="24"/>
          <w:szCs w:val="24"/>
        </w:rPr>
        <w:t xml:space="preserve">Section 5. Delegation</w:t>
      </w:r>
    </w:p>
    <w:p>
      <w:pPr>
        <w:spacing w:after="200" w:before="0" w:line="276"/>
        <w:jc w:val="left"/>
      </w:pPr>
      <w:r>
        <w:rPr>
          <w:rFonts w:ascii="Calibri" w:cs="Calibri" w:eastAsia="Calibri" w:hAnsi="Calibri"/>
          <w:sz w:val="22"/>
          <w:szCs w:val="22"/>
        </w:rPr>
        <w:t xml:space="preserve">The Committee may delegate its authority to subcommittees or to one or more designated members of the Committee, to the extent permitted by applicable law, the Company's organizational documents, and the listing standards of any applicable exchange. [The Committee may also delegate to one or more officers of the Company the authority to grant equity awards to employees who are not executive officers, subject to guidelines and limitations established by the Committee, including: (i) the aggregate number of shares that may be subject to awards granted under such delegation; (ii) the maximum number of shares per individual award; and (iii) the vesting terms applicable to such awards.]</w:t>
      </w:r>
    </w:p>
    <w:p>
      <w:pPr>
        <w:pStyle w:val="Heading2"/>
        <w:spacing w:after="120" w:before="300" w:line="276"/>
        <w:jc w:val="left"/>
      </w:pPr>
      <w:r>
        <w:rPr>
          <w:rFonts w:ascii="Calibri" w:cs="Calibri" w:eastAsia="Calibri" w:hAnsi="Calibri"/>
          <w:b/>
          <w:bCs/>
          <w:sz w:val="24"/>
          <w:szCs w:val="24"/>
        </w:rPr>
        <w:t xml:space="preserve">Section 6. Reporting</w:t>
      </w:r>
    </w:p>
    <w:p>
      <w:pPr>
        <w:spacing w:after="120" w:before="0" w:line="276"/>
        <w:jc w:val="left"/>
      </w:pPr>
      <w:r>
        <w:rPr>
          <w:rFonts w:ascii="Calibri" w:cs="Calibri" w:eastAsia="Calibri" w:hAnsi="Calibri"/>
          <w:b/>
          <w:bCs/>
          <w:sz w:val="22"/>
          <w:szCs w:val="22"/>
        </w:rPr>
        <w:t xml:space="preserve">6.1 Board Reports. </w:t>
      </w:r>
      <w:r>
        <w:rPr>
          <w:rFonts w:ascii="Calibri" w:cs="Calibri" w:eastAsia="Calibri" w:hAnsi="Calibri"/>
          <w:sz w:val="22"/>
          <w:szCs w:val="22"/>
        </w:rPr>
        <w:t xml:space="preserve">The Committee Chair shall report to the Board on Committee activities, findings, and recommendations at the next regularly scheduled Board meeting following each Committee meeting.</w:t>
      </w:r>
    </w:p>
    <w:p>
      <w:pPr>
        <w:spacing w:after="200" w:before="0" w:line="276"/>
        <w:jc w:val="left"/>
      </w:pPr>
      <w:r>
        <w:rPr>
          <w:rFonts w:ascii="Calibri" w:cs="Calibri" w:eastAsia="Calibri" w:hAnsi="Calibri"/>
          <w:b/>
          <w:bCs/>
          <w:sz w:val="22"/>
          <w:szCs w:val="22"/>
        </w:rPr>
        <w:t xml:space="preserve">6.2 Annual Assessment. </w:t>
      </w:r>
      <w:r>
        <w:rPr>
          <w:rFonts w:ascii="Calibri" w:cs="Calibri" w:eastAsia="Calibri" w:hAnsi="Calibri"/>
          <w:sz w:val="22"/>
          <w:szCs w:val="22"/>
        </w:rPr>
        <w:t xml:space="preserve">The Committee shall annually review and assess the adequacy of this Charter and recommend any changes to the Board for approval. The Committee shall also annually evaluate its own performance and report the results of this evaluation to the Board.</w:t>
      </w:r>
    </w:p>
    <w:p>
      <w:r>
        <w:br w:type="page"/>
      </w:r>
    </w:p>
    <w:p>
      <w:pPr>
        <w:pStyle w:val="Heading2"/>
        <w:spacing w:after="120" w:before="300" w:line="276"/>
        <w:jc w:val="left"/>
      </w:pPr>
      <w:r>
        <w:rPr>
          <w:rFonts w:ascii="Calibri" w:cs="Calibri" w:eastAsia="Calibri" w:hAnsi="Calibri"/>
          <w:b/>
          <w:bCs/>
          <w:sz w:val="24"/>
          <w:szCs w:val="24"/>
        </w:rPr>
        <w:t xml:space="preserve">Section 7. Emerging Provisions (2025–2026)</w:t>
      </w:r>
    </w:p>
    <w:p>
      <w:pPr>
        <w:pStyle w:val="Heading3"/>
        <w:spacing w:after="80" w:before="200" w:line="276"/>
        <w:jc w:val="left"/>
      </w:pPr>
      <w:r>
        <w:rPr>
          <w:rFonts w:ascii="Calibri" w:cs="Calibri" w:eastAsia="Calibri" w:hAnsi="Calibri"/>
          <w:b/>
          <w:bCs/>
          <w:sz w:val="22"/>
          <w:szCs w:val="22"/>
        </w:rPr>
        <w:t xml:space="preserve">7.1 Pay Equity and Transparency</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Committee shall oversee the Company's compliance with applicable pay equity and pay transparency laws, including: (i) periodic review of compensation data across employee demographics to identify and address potential pay disparities; (ii) compliance with state and local pay transparency requirements regarding salary range disclosure in job postings; and (iii) adherence to pay equity audit protocols. The Committee shall receive at least annual reports from management on pay equity metrics and any remediation actions taken.</w:t>
      </w:r>
    </w:p>
    <w:p>
      <w:pPr>
        <w:pStyle w:val="Heading3"/>
        <w:spacing w:after="80" w:before="200" w:line="276"/>
        <w:jc w:val="left"/>
      </w:pPr>
      <w:r>
        <w:rPr>
          <w:rFonts w:ascii="Calibri" w:cs="Calibri" w:eastAsia="Calibri" w:hAnsi="Calibri"/>
          <w:b/>
          <w:bCs/>
          <w:sz w:val="22"/>
          <w:szCs w:val="22"/>
        </w:rPr>
        <w:t xml:space="preserve">7.2 AI-Assisted Compensation Decisions</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To the extent the Company uses artificial intelligence, machine learning, or algorithmic tools in connection with compensation decisions (including benchmarking analyses, equity allocation models, performance rating calibrations, or compensation recommendations), the Committee shall: (i) be informed of the tools being used and their role in the decision-making process; (ii) ensure that AI-assisted recommendations are subject to human review and judgment before implementation; (iii) periodically assess whether such tools produce outcomes that are consistent with the Company's compensation philosophy and free from prohibited bias; and (iv) maintain documentation of the Committee's oversight of AI-assisted compensation processes.</w:t>
      </w:r>
    </w:p>
    <w:p>
      <w:pPr>
        <w:pStyle w:val="Heading3"/>
        <w:spacing w:after="80" w:before="200" w:line="276"/>
        <w:jc w:val="left"/>
      </w:pPr>
      <w:r>
        <w:rPr>
          <w:rFonts w:ascii="Calibri" w:cs="Calibri" w:eastAsia="Calibri" w:hAnsi="Calibri"/>
          <w:b/>
          <w:bCs/>
          <w:sz w:val="22"/>
          <w:szCs w:val="22"/>
        </w:rPr>
        <w:t xml:space="preserve">7.3 QSBS-Aware Equity Compensation</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In administering the Company's equity compensation plans, the Committee shall consider the potential impact of equity grants on the Company's qualification as a "qualified small business" under Section 1202 of the Internal Revenue Code, including: (i) monitoring the Company's aggregate gross assets in relation to the $50 million threshold; (ii) ensuring that the exercise price of stock options is established in compliance with the most recent 409A valuation; and (iii) coordinating with the Company's tax advisors to maintain QSBS eligibility for existing stockholders where reasonably practicable.</w:t>
      </w:r>
    </w:p>
    <w:p>
      <w:pPr>
        <w:pStyle w:val="Heading3"/>
        <w:spacing w:after="80" w:before="200" w:line="276"/>
        <w:jc w:val="left"/>
      </w:pPr>
      <w:r>
        <w:rPr>
          <w:rFonts w:ascii="Calibri" w:cs="Calibri" w:eastAsia="Calibri" w:hAnsi="Calibri"/>
          <w:b/>
          <w:bCs/>
          <w:sz w:val="22"/>
          <w:szCs w:val="22"/>
        </w:rPr>
        <w:t xml:space="preserve">7.4 Clawback Policy Oversight</w:t>
      </w:r>
    </w:p>
    <w:p>
      <w:pPr>
        <w:spacing w:after="3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Committee shall oversee the Company's compliance with any applicable executive compensation clawback policy, including policies adopted pursuant to [SEC Rule 10D-1 / applicable exchange listing standards]. The Committee shall: (i) review and approve the Company's clawback policy and any amendments thereto; (ii) determine the applicability of the policy to specific compensation recovery events; (iii) oversee the recovery of erroneously awarded incentive-based compensation; and (iv) report to the Board on clawback policy matters as appropriate. [For private companies: The Committee shall consider the adoption of a voluntary clawback policy as a governance best practice in anticipation of potential future public company obligations.]</w:t>
      </w:r>
    </w:p>
    <w:p>
      <w:pPr>
        <w:pStyle w:val="Heading2"/>
        <w:spacing w:after="120" w:before="300" w:line="276"/>
        <w:jc w:val="left"/>
      </w:pPr>
      <w:r>
        <w:rPr>
          <w:rFonts w:ascii="Calibri" w:cs="Calibri" w:eastAsia="Calibri" w:hAnsi="Calibri"/>
          <w:b/>
          <w:bCs/>
          <w:sz w:val="24"/>
          <w:szCs w:val="24"/>
        </w:rPr>
        <w:t xml:space="preserve">Section 8. General Provisions</w:t>
      </w:r>
    </w:p>
    <w:p>
      <w:pPr>
        <w:spacing w:after="120" w:before="0" w:line="276"/>
        <w:jc w:val="left"/>
      </w:pPr>
      <w:r>
        <w:rPr>
          <w:rFonts w:ascii="Calibri" w:cs="Calibri" w:eastAsia="Calibri" w:hAnsi="Calibri"/>
          <w:b/>
          <w:bCs/>
          <w:sz w:val="22"/>
          <w:szCs w:val="22"/>
        </w:rPr>
        <w:t xml:space="preserve">8.1 Resources. </w:t>
      </w:r>
      <w:r>
        <w:rPr>
          <w:rFonts w:ascii="Calibri" w:cs="Calibri" w:eastAsia="Calibri" w:hAnsi="Calibri"/>
          <w:sz w:val="22"/>
          <w:szCs w:val="22"/>
        </w:rPr>
        <w:t xml:space="preserve">The Committee shall have access to all books, records, facilities, and personnel of the Company as it deems necessary or appropriate to carry out its responsibilities. The Company shall provide the Committee with adequate resources and authority to discharge its duties and responsibilities.</w:t>
      </w:r>
    </w:p>
    <w:p>
      <w:pPr>
        <w:spacing w:after="120" w:before="0" w:line="276"/>
        <w:jc w:val="left"/>
      </w:pPr>
      <w:r>
        <w:rPr>
          <w:rFonts w:ascii="Calibri" w:cs="Calibri" w:eastAsia="Calibri" w:hAnsi="Calibri"/>
          <w:b/>
          <w:bCs/>
          <w:sz w:val="22"/>
          <w:szCs w:val="22"/>
        </w:rPr>
        <w:t xml:space="preserve">8.2 Limitation. </w:t>
      </w:r>
      <w:r>
        <w:rPr>
          <w:rFonts w:ascii="Calibri" w:cs="Calibri" w:eastAsia="Calibri" w:hAnsi="Calibri"/>
          <w:sz w:val="22"/>
          <w:szCs w:val="22"/>
        </w:rPr>
        <w:t xml:space="preserve">While the Committee has the authority and responsibilities set forth in this Charter, it is not the duty of the Committee to conduct compensation analyses or set compensation levels on its own. The Committee's role is one of oversight, and it relies on management and its independent advisors to provide information, recommendations, and analyses on which the Committee bases its decisions.</w:t>
      </w:r>
    </w:p>
    <w:p>
      <w:pPr>
        <w:spacing w:after="300" w:before="0" w:line="276"/>
        <w:jc w:val="left"/>
      </w:pPr>
      <w:r>
        <w:rPr>
          <w:rFonts w:ascii="Calibri" w:cs="Calibri" w:eastAsia="Calibri" w:hAnsi="Calibri"/>
          <w:b/>
          <w:bCs/>
          <w:sz w:val="22"/>
          <w:szCs w:val="22"/>
        </w:rPr>
        <w:t xml:space="preserve">8.3 Governing Law. </w:t>
      </w:r>
      <w:r>
        <w:rPr>
          <w:rFonts w:ascii="Calibri" w:cs="Calibri" w:eastAsia="Calibri" w:hAnsi="Calibri"/>
          <w:sz w:val="22"/>
          <w:szCs w:val="22"/>
        </w:rPr>
        <w:t xml:space="preserve">This Charter shall be interpreted in accordance with the laws of [State], the Company's Certificate of Incorporation, and its Bylaws.</w:t>
      </w:r>
    </w:p>
    <w:p>
      <w:pPr>
        <w:spacing w:after="200" w:before="0" w:line="276"/>
        <w:jc w:val="center"/>
      </w:pPr>
      <w:r>
        <w:rPr>
          <w:rFonts w:ascii="Calibri" w:cs="Calibri" w:eastAsia="Calibri" w:hAnsi="Calibri"/>
          <w:sz w:val="22"/>
          <w:szCs w:val="22"/>
        </w:rPr>
        <w:t xml:space="preserve">────────────────────────────────────────────────────────────</w:t>
      </w:r>
    </w:p>
    <w:p>
      <w:pPr>
        <w:spacing w:after="100" w:before="0" w:line="276"/>
        <w:jc w:val="center"/>
      </w:pPr>
      <w:r>
        <w:rPr>
          <w:rFonts w:ascii="Calibri" w:cs="Calibri" w:eastAsia="Calibri" w:hAnsi="Calibri"/>
          <w:b/>
          <w:bCs/>
          <w:sz w:val="22"/>
          <w:szCs w:val="22"/>
        </w:rPr>
        <w:t xml:space="preserve">ADOPTED AND APPROVED</w:t>
      </w:r>
    </w:p>
    <w:p>
      <w:pPr>
        <w:spacing w:after="60" w:before="0" w:line="276"/>
        <w:jc w:val="center"/>
      </w:pPr>
      <w:r>
        <w:rPr>
          <w:rFonts w:ascii="Calibri" w:cs="Calibri" w:eastAsia="Calibri" w:hAnsi="Calibri"/>
          <w:sz w:val="22"/>
          <w:szCs w:val="22"/>
        </w:rPr>
        <w:t xml:space="preserve">by the Board of Directors of [Company Name]</w:t>
      </w:r>
    </w:p>
    <w:p>
      <w:pPr>
        <w:spacing w:after="300" w:before="0" w:line="276"/>
        <w:jc w:val="center"/>
      </w:pPr>
      <w:r>
        <w:rPr>
          <w:rFonts w:ascii="Calibri" w:cs="Calibri" w:eastAsia="Calibri" w:hAnsi="Calibri"/>
          <w:sz w:val="22"/>
          <w:szCs w:val="22"/>
        </w:rPr>
        <w:t xml:space="preserve">on this ___ day of ___________, 20__</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[Board Chair / Secretary]</w:t>
      </w:r>
    </w:p>
    <w:p>
      <w:pPr>
        <w:spacing w:after="300" w:before="0" w:line="276"/>
        <w:jc w:val="left"/>
      </w:pPr>
      <w:r>
        <w:rPr>
          <w:rFonts w:ascii="Calibri" w:cs="Calibri" w:eastAsia="Calibri" w:hAnsi="Calibri"/>
          <w:sz w:val="22"/>
          <w:szCs w:val="22"/>
        </w:rPr>
        <w:t xml:space="preserve">Title: [Chair of the Board / Secretary]</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A compensation committee charter must be tailored to the company's size, stage, organizational structure, and governance needs. Public companies and companies preparing for an IPO must comply with specific SEC rules and exchange listing standards regarding compensation committee composition and responsibilities.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Compensation Committee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2026-08-18T18:44:35.710Z</dcterms:created>
  <dcterms:modified xsi:type="dcterms:W3CDTF">2026-08-18T18:44:35.711Z</dcterms:modified>
</cp:coreProperties>
</file>

<file path=docProps/custom.xml><?xml version="1.0" encoding="utf-8"?>
<Properties xmlns="http://schemas.openxmlformats.org/officeDocument/2006/custom-properties" xmlns:vt="http://schemas.openxmlformats.org/officeDocument/2006/docPropsVTypes"/>
</file>