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Calibri" w:cs="Calibri" w:eastAsia="Calibri" w:hAnsi="Calibri"/>
          <w:b/>
          <w:bCs/>
          <w:color w:val="1a1a2e"/>
          <w:sz w:val="30"/>
          <w:szCs w:val="30"/>
        </w:rPr>
        <w:t xml:space="preserve">COMMERCIAL AI SERVICE TERMS</w:t>
      </w:r>
    </w:p>
    <w:p>
      <w:pPr>
        <w:spacing w:after="360"/>
        <w:jc w:val="center"/>
      </w:pPr>
      <w:r>
        <w:rPr>
          <w:rFonts w:ascii="Calibri" w:cs="Calibri" w:eastAsia="Calibri" w:hAnsi="Calibri"/>
          <w:i/>
          <w:iCs/>
          <w:color w:val="555555"/>
          <w:sz w:val="24"/>
          <w:szCs w:val="24"/>
        </w:rPr>
        <w:t xml:space="preserve">Enterprise AI Platform Agreement</w:t>
      </w:r>
    </w:p>
    <w:p>
      <w:pPr>
        <w:pStyle w:val="Heading2"/>
        <w:spacing w:after="120" w:before="240"/>
      </w:pPr>
      <w:r>
        <w:rPr>
          <w:rFonts w:ascii="Calibri" w:cs="Calibri" w:eastAsia="Calibri" w:hAnsi="Calibri"/>
          <w:b/>
          <w:bCs/>
          <w:color w:val="1a1a2e"/>
          <w:sz w:val="24"/>
          <w:szCs w:val="24"/>
        </w:rPr>
        <w:t xml:space="preserve">Order 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Effective Date:</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[DATE]</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Provider:</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[PROVIDER LEGAL NAME]</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Customer:</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[CUSTOMER LEGAL NAME]</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AI Service:</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[SERVICE NAME AND DESCRIPTION]</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Training Policy:</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[No Training / Express Opt-In / Order-Specific]</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Output IP Defense:</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[None / Limited Qualifying Output / Negotiated]</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High-Impact Use:</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[Prohibited / Approval Module / Sector-Specific]</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Agentic Actions:</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[Prohibited / Separate Module / Included with Limits]</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Governing Law:</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[STATE]</w:t>
            </w:r>
          </w:p>
        </w:tc>
      </w:tr>
    </w:tbl>
    <w:p>
      <w:pPr>
        <w:spacing w:after="240"/>
      </w:pPr>
    </w:p>
    <w:p>
      <w:pPr>
        <w:spacing w:after="160"/>
        <w:jc w:val="left"/>
      </w:pPr>
      <w:r>
        <w:rPr>
          <w:rFonts w:ascii="Calibri" w:cs="Calibri" w:eastAsia="Calibri" w:hAnsi="Calibri"/>
          <w:color w:val="333333"/>
          <w:sz w:val="22"/>
          <w:szCs w:val="22"/>
        </w:rPr>
        <w:t xml:space="preserve">These Commercial AI Service Terms ("Terms"), together with any Order and the Schedules referenced herein, govern Customer's use of the AI Service provided by Provider. By executing an Order that references these Terms, Customer agrees to be bound by them.</w:t>
      </w:r>
    </w:p>
    <w:p>
      <w:pPr>
        <w:pStyle w:val="Heading2"/>
        <w:spacing w:after="120" w:before="240"/>
      </w:pPr>
      <w:r>
        <w:rPr>
          <w:rFonts w:ascii="Calibri" w:cs="Calibri" w:eastAsia="Calibri" w:hAnsi="Calibri"/>
          <w:b/>
          <w:bCs/>
          <w:color w:val="1a1a2e"/>
          <w:sz w:val="24"/>
          <w:szCs w:val="24"/>
        </w:rPr>
        <w:t xml:space="preserve">1. Definitions</w:t>
      </w:r>
    </w:p>
    <w:p>
      <w:pPr>
        <w:spacing w:after="160"/>
        <w:jc w:val="left"/>
      </w:pPr>
      <w:r>
        <w:rPr>
          <w:rFonts w:ascii="Calibri" w:cs="Calibri" w:eastAsia="Calibri" w:hAnsi="Calibri"/>
          <w:color w:val="333333"/>
          <w:sz w:val="22"/>
          <w:szCs w:val="22"/>
        </w:rPr>
        <w:t xml:space="preserve">"Applicable Law" means all laws, regulations, and binding guidance applicable to a party's performance under these Terms, including data-protection, AI, consumer-protection, export-control, and sector-specific requirements.</w:t>
      </w:r>
    </w:p>
    <w:p>
      <w:pPr>
        <w:spacing w:after="160"/>
        <w:jc w:val="left"/>
      </w:pPr>
      <w:r>
        <w:rPr>
          <w:rFonts w:ascii="Calibri" w:cs="Calibri" w:eastAsia="Calibri" w:hAnsi="Calibri"/>
          <w:color w:val="333333"/>
          <w:sz w:val="22"/>
          <w:szCs w:val="22"/>
        </w:rPr>
        <w:t xml:space="preserve">"Authorized User" means an individual whom Customer permits to access and use the Service under Customer's account.</w:t>
      </w:r>
    </w:p>
    <w:p>
      <w:pPr>
        <w:spacing w:after="160"/>
        <w:jc w:val="left"/>
      </w:pPr>
      <w:r>
        <w:rPr>
          <w:rFonts w:ascii="Calibri" w:cs="Calibri" w:eastAsia="Calibri" w:hAnsi="Calibri"/>
          <w:color w:val="333333"/>
          <w:sz w:val="22"/>
          <w:szCs w:val="22"/>
        </w:rPr>
        <w:t xml:space="preserve">"Customer Data" means Input and other data Customer provides to the Service, excluding Usage Data that has been lawfully aggregated and deidentified in accordance with Section 6.</w:t>
      </w:r>
    </w:p>
    <w:p>
      <w:pPr>
        <w:spacing w:after="160"/>
        <w:jc w:val="left"/>
      </w:pPr>
      <w:r>
        <w:rPr>
          <w:rFonts w:ascii="Calibri" w:cs="Calibri" w:eastAsia="Calibri" w:hAnsi="Calibri"/>
          <w:color w:val="333333"/>
          <w:sz w:val="22"/>
          <w:szCs w:val="22"/>
        </w:rPr>
        <w:t xml:space="preserve">"Deidentified Data" means data that has been processed so that it cannot reasonably be used to identify Customer, any Authorized User, or any individual, and for which Provider maintains technical and organizational safeguards against reidentification.</w:t>
      </w:r>
    </w:p>
    <w:p>
      <w:pPr>
        <w:spacing w:after="160"/>
        <w:jc w:val="left"/>
      </w:pPr>
      <w:r>
        <w:rPr>
          <w:rFonts w:ascii="Calibri" w:cs="Calibri" w:eastAsia="Calibri" w:hAnsi="Calibri"/>
          <w:color w:val="333333"/>
          <w:sz w:val="22"/>
          <w:szCs w:val="22"/>
        </w:rPr>
        <w:t xml:space="preserve">"Documentation" means Provider's current published technical documentation, user guides, API references, and specifications for the Service.</w:t>
      </w:r>
    </w:p>
    <w:p>
      <w:pPr>
        <w:spacing w:after="160"/>
        <w:jc w:val="left"/>
      </w:pPr>
      <w:r>
        <w:rPr>
          <w:rFonts w:ascii="Calibri" w:cs="Calibri" w:eastAsia="Calibri" w:hAnsi="Calibri"/>
          <w:color w:val="333333"/>
          <w:sz w:val="22"/>
          <w:szCs w:val="22"/>
        </w:rPr>
        <w:t xml:space="preserve">"High-Impact Use" means use of the Service as a substantial factor in decisions affecting legal rights, employment, credit, housing, insurance, healthcare, safety-critical systems, or other areas identified in Schedule 3.</w:t>
      </w:r>
    </w:p>
    <w:p>
      <w:pPr>
        <w:spacing w:after="160"/>
        <w:jc w:val="left"/>
      </w:pPr>
      <w:r>
        <w:rPr>
          <w:rFonts w:ascii="Calibri" w:cs="Calibri" w:eastAsia="Calibri" w:hAnsi="Calibri"/>
          <w:color w:val="333333"/>
          <w:sz w:val="22"/>
          <w:szCs w:val="22"/>
        </w:rPr>
        <w:t xml:space="preserve">"Input" means content, data, prompts, instructions, files, and other materials submitted by or on behalf of Customer to the Service.</w:t>
      </w:r>
    </w:p>
    <w:p>
      <w:pPr>
        <w:spacing w:after="160"/>
        <w:jc w:val="left"/>
      </w:pPr>
      <w:r>
        <w:rPr>
          <w:rFonts w:ascii="Calibri" w:cs="Calibri" w:eastAsia="Calibri" w:hAnsi="Calibri"/>
          <w:color w:val="333333"/>
          <w:sz w:val="22"/>
          <w:szCs w:val="22"/>
        </w:rPr>
        <w:t xml:space="preserve">"Model" means an artificial intelligence or machine-learning model, including foundation models, fine-tuned models, and embedded models, used to provide the Service.</w:t>
      </w:r>
    </w:p>
    <w:p>
      <w:pPr>
        <w:spacing w:after="160"/>
        <w:jc w:val="left"/>
      </w:pPr>
      <w:r>
        <w:rPr>
          <w:rFonts w:ascii="Calibri" w:cs="Calibri" w:eastAsia="Calibri" w:hAnsi="Calibri"/>
          <w:color w:val="333333"/>
          <w:sz w:val="22"/>
          <w:szCs w:val="22"/>
        </w:rPr>
        <w:t xml:space="preserve">"Model Change" means a material change to the Model's version, architecture, training data, capabilities, or behavior that could affect the accuracy, safety, or performance of Output for Customer's approved use cases.</w:t>
      </w:r>
    </w:p>
    <w:p>
      <w:pPr>
        <w:spacing w:after="160"/>
        <w:jc w:val="left"/>
      </w:pPr>
      <w:r>
        <w:rPr>
          <w:rFonts w:ascii="Calibri" w:cs="Calibri" w:eastAsia="Calibri" w:hAnsi="Calibri"/>
          <w:color w:val="333333"/>
          <w:sz w:val="22"/>
          <w:szCs w:val="22"/>
        </w:rPr>
        <w:t xml:space="preserve">"Order" means a signed ordering document that references these Terms and specifies the Service, fees, usage limits, term, and any Service-specific elections.</w:t>
      </w:r>
    </w:p>
    <w:p>
      <w:pPr>
        <w:spacing w:after="160"/>
        <w:jc w:val="left"/>
      </w:pPr>
      <w:r>
        <w:rPr>
          <w:rFonts w:ascii="Calibri" w:cs="Calibri" w:eastAsia="Calibri" w:hAnsi="Calibri"/>
          <w:color w:val="333333"/>
          <w:sz w:val="22"/>
          <w:szCs w:val="22"/>
        </w:rPr>
        <w:t xml:space="preserve">"Output" means content, predictions, classifications, recommendations, code, text, images, or other materials generated by the Service in response to Input.</w:t>
      </w:r>
    </w:p>
    <w:p>
      <w:pPr>
        <w:spacing w:after="160"/>
        <w:jc w:val="left"/>
      </w:pPr>
      <w:r>
        <w:rPr>
          <w:rFonts w:ascii="Calibri" w:cs="Calibri" w:eastAsia="Calibri" w:hAnsi="Calibri"/>
          <w:color w:val="333333"/>
          <w:sz w:val="22"/>
          <w:szCs w:val="22"/>
        </w:rPr>
        <w:t xml:space="preserve">"Provider IP" means the Service, Models, software, algorithms, documentation, and improvements, together with all intellectual property rights therein, excluding Customer Data.</w:t>
      </w:r>
    </w:p>
    <w:p>
      <w:pPr>
        <w:spacing w:after="160"/>
        <w:jc w:val="left"/>
      </w:pPr>
      <w:r>
        <w:rPr>
          <w:rFonts w:ascii="Calibri" w:cs="Calibri" w:eastAsia="Calibri" w:hAnsi="Calibri"/>
          <w:color w:val="333333"/>
          <w:sz w:val="22"/>
          <w:szCs w:val="22"/>
        </w:rPr>
        <w:t xml:space="preserve">"Security Incident" means unauthorized access to, acquisition of, or disclosure of Customer Data, or unauthorized access to Service infrastructure that could affect Customer Data.</w:t>
      </w:r>
    </w:p>
    <w:p>
      <w:pPr>
        <w:spacing w:after="160"/>
        <w:jc w:val="left"/>
      </w:pPr>
      <w:r>
        <w:rPr>
          <w:rFonts w:ascii="Calibri" w:cs="Calibri" w:eastAsia="Calibri" w:hAnsi="Calibri"/>
          <w:color w:val="333333"/>
          <w:sz w:val="22"/>
          <w:szCs w:val="22"/>
        </w:rPr>
        <w:t xml:space="preserve">"Service" means the AI service identified in the Order.</w:t>
      </w:r>
    </w:p>
    <w:p>
      <w:pPr>
        <w:spacing w:after="160"/>
        <w:jc w:val="left"/>
      </w:pPr>
      <w:r>
        <w:rPr>
          <w:rFonts w:ascii="Calibri" w:cs="Calibri" w:eastAsia="Calibri" w:hAnsi="Calibri"/>
          <w:color w:val="333333"/>
          <w:sz w:val="22"/>
          <w:szCs w:val="22"/>
        </w:rPr>
        <w:t xml:space="preserve">"Usage Data" means telemetry, performance metrics, and operational data generated by the Service that does not identify Customer, any Authorized User, or any individual, and does not reveal the substance of Customer Data.</w:t>
      </w:r>
    </w:p>
    <w:p>
      <w:r>
        <w:br w:type="page"/>
      </w:r>
    </w:p>
    <w:p>
      <w:pPr>
        <w:pStyle w:val="Heading2"/>
        <w:spacing w:after="120" w:before="240"/>
      </w:pPr>
      <w:r>
        <w:rPr>
          <w:rFonts w:ascii="Calibri" w:cs="Calibri" w:eastAsia="Calibri" w:hAnsi="Calibri"/>
          <w:b/>
          <w:bCs/>
          <w:color w:val="1a1a2e"/>
          <w:sz w:val="24"/>
          <w:szCs w:val="24"/>
        </w:rPr>
        <w:t xml:space="preserve">2. Access and Use</w:t>
      </w:r>
    </w:p>
    <w:p>
      <w:pPr>
        <w:spacing w:after="160"/>
        <w:jc w:val="left"/>
      </w:pPr>
      <w:r>
        <w:rPr>
          <w:rFonts w:ascii="Calibri" w:cs="Calibri" w:eastAsia="Calibri" w:hAnsi="Calibri"/>
          <w:color w:val="333333"/>
          <w:sz w:val="22"/>
          <w:szCs w:val="22"/>
        </w:rPr>
        <w:t xml:space="preserve">2.1 License. Provider grants Customer a nonexclusive, nontransferable right during the Order term for Authorized Users to access and use the Service for Customer's internal business purposes within the usage limits stated in the Order.</w:t>
      </w:r>
    </w:p>
    <w:p>
      <w:pPr>
        <w:spacing w:after="160"/>
        <w:jc w:val="left"/>
      </w:pPr>
      <w:r>
        <w:rPr>
          <w:rFonts w:ascii="Calibri" w:cs="Calibri" w:eastAsia="Calibri" w:hAnsi="Calibri"/>
          <w:color w:val="333333"/>
          <w:sz w:val="22"/>
          <w:szCs w:val="22"/>
        </w:rPr>
        <w:t xml:space="preserve">2.2 Accounts and Credentials. Customer is responsible for managing Authorized User accounts, maintaining credential security, and ensuring that Authorized Users comply with these Terms. Customer shall promptly notify Provider of any unauthorized access.</w:t>
      </w:r>
    </w:p>
    <w:p>
      <w:pPr>
        <w:spacing w:after="160"/>
        <w:jc w:val="left"/>
      </w:pPr>
      <w:r>
        <w:rPr>
          <w:rFonts w:ascii="Calibri" w:cs="Calibri" w:eastAsia="Calibri" w:hAnsi="Calibri"/>
          <w:color w:val="333333"/>
          <w:sz w:val="22"/>
          <w:szCs w:val="22"/>
        </w:rPr>
        <w:t xml:space="preserve">2.3 Lawful Instructions. Customer is responsible for ensuring that Input complies with Applicable Law and does not contain material that would cause the Service to generate unlawful Output.</w:t>
      </w:r>
    </w:p>
    <w:p>
      <w:pPr>
        <w:spacing w:after="160"/>
        <w:jc w:val="left"/>
      </w:pPr>
      <w:r>
        <w:rPr>
          <w:rFonts w:ascii="Calibri" w:cs="Calibri" w:eastAsia="Calibri" w:hAnsi="Calibri"/>
          <w:color w:val="333333"/>
          <w:sz w:val="22"/>
          <w:szCs w:val="22"/>
        </w:rPr>
        <w:t xml:space="preserve">2.4 Suspension. Provider may suspend access to the extent reasonably necessary to address: (a) a security threat to the Service or its users; (b) use that violates Applicable Law or Section 3; (c) material nonpayment after notice; or (d) a legal or regulatory requirement. Provider shall provide advance notice where practicable, limit the scope and duration of any suspension, and restore access promptly when the cause is resolved.</w:t>
      </w:r>
    </w:p>
    <w:p>
      <w:pPr>
        <w:pStyle w:val="Heading2"/>
        <w:spacing w:after="120" w:before="240"/>
      </w:pPr>
      <w:r>
        <w:rPr>
          <w:rFonts w:ascii="Calibri" w:cs="Calibri" w:eastAsia="Calibri" w:hAnsi="Calibri"/>
          <w:b/>
          <w:bCs/>
          <w:color w:val="1a1a2e"/>
          <w:sz w:val="24"/>
          <w:szCs w:val="24"/>
        </w:rPr>
        <w:t xml:space="preserve">3. Use Restrictions and High-Impact Uses</w:t>
      </w:r>
    </w:p>
    <w:p>
      <w:pPr>
        <w:spacing w:after="160"/>
        <w:jc w:val="left"/>
      </w:pPr>
      <w:r>
        <w:rPr>
          <w:rFonts w:ascii="Calibri" w:cs="Calibri" w:eastAsia="Calibri" w:hAnsi="Calibri"/>
          <w:color w:val="333333"/>
          <w:sz w:val="22"/>
          <w:szCs w:val="22"/>
        </w:rPr>
        <w:t xml:space="preserve">3.1 General Restrictions. Customer shall not: (a) extract, distill, or reverse engineer Models or their weights; (b) circumvent usage limits, rate controls, or safety filters; (c) introduce malicious code or adversarial inputs designed to compromise the Service; (d) use the Service to infringe third-party intellectual property or privacy rights; (e) conduct unlawful surveillance or profiling; (f) impersonate individuals or entities without disclosure; or (g) use the Service to develop a directly competing foundation model, provided this restriction does not prevent Customer from using Output in its own products and services.</w:t>
      </w:r>
    </w:p>
    <w:p>
      <w:pPr>
        <w:spacing w:after="160"/>
        <w:jc w:val="left"/>
      </w:pPr>
      <w:r>
        <w:rPr>
          <w:rFonts w:ascii="Calibri" w:cs="Calibri" w:eastAsia="Calibri" w:hAnsi="Calibri"/>
          <w:color w:val="333333"/>
          <w:sz w:val="22"/>
          <w:szCs w:val="22"/>
        </w:rPr>
        <w:t xml:space="preserve">3.2 High-Impact Use Restrictions. Customer shall not use Output as the sole or determinative basis for decisions classified as High-Impact Use unless: (a) the specific use case is approved in the Order or Schedule 3; (b) Customer has completed a use-case impact assessment documenting applicable legal requirements, validation results, and risk mitigation measures; (c) qualified human review is implemented with authority and practical ability to override the Service's output; (d) affected individuals receive notice and, where required by law, an opportunity to contest decisions; and (e) a named individual within Customer's organization is accountable for compliance.</w:t>
      </w:r>
    </w:p>
    <w:p>
      <w:pPr>
        <w:spacing w:after="160"/>
        <w:jc w:val="left"/>
      </w:pPr>
      <w:r>
        <w:rPr>
          <w:rFonts w:ascii="Calibri" w:cs="Calibri" w:eastAsia="Calibri" w:hAnsi="Calibri"/>
          <w:color w:val="333333"/>
          <w:sz w:val="22"/>
          <w:szCs w:val="22"/>
        </w:rPr>
        <w:t xml:space="preserve">3.3 Agentic Use. If the Order authorizes the Service to take actions, execute code, call APIs, or interact with external systems ("Agentic Actions"), Schedule 3 shall specify: permitted action types, scope and transaction limits, human-confirmation requirements, credential management, logging, rollback procedures, and disablement controls. Agentic Actions are prohibited unless expressly authorized in the Order.</w:t>
      </w:r>
    </w:p>
    <w:p>
      <w:pPr>
        <w:pStyle w:val="Heading2"/>
        <w:spacing w:after="120" w:before="240"/>
      </w:pPr>
      <w:r>
        <w:rPr>
          <w:rFonts w:ascii="Calibri" w:cs="Calibri" w:eastAsia="Calibri" w:hAnsi="Calibri"/>
          <w:b/>
          <w:bCs/>
          <w:color w:val="1a1a2e"/>
          <w:sz w:val="24"/>
          <w:szCs w:val="24"/>
        </w:rPr>
        <w:t xml:space="preserve">4. AI Disclosures, Accuracy, and Human Review</w:t>
      </w:r>
    </w:p>
    <w:p>
      <w:pPr>
        <w:spacing w:after="160"/>
        <w:jc w:val="left"/>
      </w:pPr>
      <w:r>
        <w:rPr>
          <w:rFonts w:ascii="Calibri" w:cs="Calibri" w:eastAsia="Calibri" w:hAnsi="Calibri"/>
          <w:color w:val="333333"/>
          <w:sz w:val="22"/>
          <w:szCs w:val="22"/>
        </w:rPr>
        <w:t xml:space="preserve">4.1 No Accuracy Guarantee. Output may be inaccurate, incomplete, biased, outdated, nonunique, or unsuitable for a particular purpose. Provider does not warrant the accuracy, completeness, originality, or legal suitability of Output.</w:t>
      </w:r>
    </w:p>
    <w:p>
      <w:pPr>
        <w:spacing w:after="160"/>
        <w:jc w:val="left"/>
      </w:pPr>
      <w:r>
        <w:rPr>
          <w:rFonts w:ascii="Calibri" w:cs="Calibri" w:eastAsia="Calibri" w:hAnsi="Calibri"/>
          <w:color w:val="333333"/>
          <w:sz w:val="22"/>
          <w:szCs w:val="22"/>
        </w:rPr>
        <w:t xml:space="preserve">4.2 Customer Responsibility. Customer shall implement qualified human review of Output before relying on it for material business decisions, external communications, legal filings, financial reporting, or any High-Impact Use. Customer shall independently verify material facts, test generated code for functionality and security, and determine whether use of Output complies with Applicable Law.</w:t>
      </w:r>
    </w:p>
    <w:p>
      <w:pPr>
        <w:spacing w:after="160"/>
        <w:jc w:val="left"/>
      </w:pPr>
      <w:r>
        <w:rPr>
          <w:rFonts w:ascii="Calibri" w:cs="Calibri" w:eastAsia="Calibri" w:hAnsi="Calibri"/>
          <w:color w:val="333333"/>
          <w:sz w:val="22"/>
          <w:szCs w:val="22"/>
        </w:rPr>
        <w:t xml:space="preserve">4.3 Provenance. If the Order specifies provenance features (such as citations, source references, or content metadata), Provider shall make commercially reasonable efforts to provide them. Provenance features are informational aids and do not constitute a warranty of source accuracy.</w:t>
      </w:r>
    </w:p>
    <w:p>
      <w:pPr>
        <w:spacing w:after="160"/>
        <w:jc w:val="left"/>
      </w:pPr>
      <w:r>
        <w:rPr>
          <w:rFonts w:ascii="Calibri" w:cs="Calibri" w:eastAsia="Calibri" w:hAnsi="Calibri"/>
          <w:color w:val="333333"/>
          <w:sz w:val="22"/>
          <w:szCs w:val="22"/>
        </w:rPr>
        <w:t xml:space="preserve">4.4 Performance Commitments. Provider warrants that the Service will materially conform to the performance benchmarks documented in the Order or Schedule 2, measured according to the stated methodology. Provider shall provide updated benchmark results upon material Model Changes.</w:t>
      </w:r>
    </w:p>
    <w:p>
      <w:r>
        <w:br w:type="page"/>
      </w:r>
    </w:p>
    <w:p>
      <w:pPr>
        <w:pStyle w:val="Heading2"/>
        <w:spacing w:after="120" w:before="240"/>
      </w:pPr>
      <w:r>
        <w:rPr>
          <w:rFonts w:ascii="Calibri" w:cs="Calibri" w:eastAsia="Calibri" w:hAnsi="Calibri"/>
          <w:b/>
          <w:bCs/>
          <w:color w:val="1a1a2e"/>
          <w:sz w:val="24"/>
          <w:szCs w:val="24"/>
        </w:rPr>
        <w:t xml:space="preserve">5. Input and Output Rights</w:t>
      </w:r>
    </w:p>
    <w:p>
      <w:pPr>
        <w:spacing w:after="160"/>
        <w:jc w:val="left"/>
      </w:pPr>
      <w:r>
        <w:rPr>
          <w:rFonts w:ascii="Calibri" w:cs="Calibri" w:eastAsia="Calibri" w:hAnsi="Calibri"/>
          <w:color w:val="333333"/>
          <w:sz w:val="22"/>
          <w:szCs w:val="22"/>
        </w:rPr>
        <w:t xml:space="preserve">5.1 Input Ownership. Customer retains all right, title, and interest in Input.</w:t>
      </w:r>
    </w:p>
    <w:p>
      <w:pPr>
        <w:spacing w:after="160"/>
        <w:jc w:val="left"/>
      </w:pPr>
      <w:r>
        <w:rPr>
          <w:rFonts w:ascii="Calibri" w:cs="Calibri" w:eastAsia="Calibri" w:hAnsi="Calibri"/>
          <w:color w:val="333333"/>
          <w:sz w:val="22"/>
          <w:szCs w:val="22"/>
        </w:rPr>
        <w:t xml:space="preserve">5.2 Output Assignment. As between the parties, and to the extent that rights in Output can exist and be transferred under Applicable Law, Provider assigns to Customer all of Provider's right, title, and interest in Output generated specifically for Customer. This assignment is subject to: (a) Provider's retained rights in Provider IP; (b) third-party rights that may exist in Output; and (c) the fact that the Service may generate similar or identical Output for other customers using different Input.</w:t>
      </w:r>
    </w:p>
    <w:p>
      <w:pPr>
        <w:spacing w:after="160"/>
        <w:jc w:val="left"/>
      </w:pPr>
      <w:r>
        <w:rPr>
          <w:rFonts w:ascii="Calibri" w:cs="Calibri" w:eastAsia="Calibri" w:hAnsi="Calibri"/>
          <w:color w:val="333333"/>
          <w:sz w:val="22"/>
          <w:szCs w:val="22"/>
        </w:rPr>
        <w:t xml:space="preserve">5.3 License to Provider. Customer grants Provider a limited, nonexclusive license to process Customer Data solely to: (a) provide and operate the Service; (b) maintain security and prevent abuse; (c) provide support; and (d) comply with Applicable Law. This license terminates upon the expiration or termination of the Order, subject to the data-retention provisions in Section 12.</w:t>
      </w:r>
    </w:p>
    <w:p>
      <w:pPr>
        <w:spacing w:after="160"/>
        <w:jc w:val="left"/>
      </w:pPr>
      <w:r>
        <w:rPr>
          <w:rFonts w:ascii="Calibri" w:cs="Calibri" w:eastAsia="Calibri" w:hAnsi="Calibri"/>
          <w:color w:val="333333"/>
          <w:sz w:val="22"/>
          <w:szCs w:val="22"/>
        </w:rPr>
        <w:t xml:space="preserve">5.4 Training Election. The parties select one of the following as indicated in the Order Summary:</w:t>
      </w:r>
    </w:p>
    <w:p>
      <w:pPr>
        <w:spacing w:after="160"/>
        <w:jc w:val="left"/>
      </w:pPr>
      <w:r>
        <w:rPr>
          <w:rFonts w:ascii="Calibri" w:cs="Calibri" w:eastAsia="Calibri" w:hAnsi="Calibri"/>
          <w:i/>
          <w:iCs/>
          <w:color w:val="333333"/>
          <w:sz w:val="22"/>
          <w:szCs w:val="22"/>
        </w:rPr>
        <w:t xml:space="preserve">Option A — No Training. Provider shall not use Customer Data (including Input, Output, prompts, or files) to train, fine-tune, or improve shared Models. Safety and abuse-prevention processing is permitted only to the extent necessary to operate the Service and shall not be used to improve Model capabilities.</w:t>
      </w:r>
    </w:p>
    <w:p>
      <w:pPr>
        <w:spacing w:after="160"/>
        <w:jc w:val="left"/>
      </w:pPr>
      <w:r>
        <w:rPr>
          <w:rFonts w:ascii="Calibri" w:cs="Calibri" w:eastAsia="Calibri" w:hAnsi="Calibri"/>
          <w:i/>
          <w:iCs/>
          <w:color w:val="333333"/>
          <w:sz w:val="22"/>
          <w:szCs w:val="22"/>
        </w:rPr>
        <w:t xml:space="preserve">Option B — Express Opt-In. Provider may use Customer Data for shared-Model training only if Customer provides express, recorded opt-in in the Order. Opt-in specifies the categories of data, the purpose, and the right to withdraw.</w:t>
      </w:r>
    </w:p>
    <w:p>
      <w:pPr>
        <w:spacing w:after="160"/>
        <w:jc w:val="left"/>
      </w:pPr>
      <w:r>
        <w:rPr>
          <w:rFonts w:ascii="Calibri" w:cs="Calibri" w:eastAsia="Calibri" w:hAnsi="Calibri"/>
          <w:i/>
          <w:iCs/>
          <w:color w:val="333333"/>
          <w:sz w:val="22"/>
          <w:szCs w:val="22"/>
        </w:rPr>
        <w:t xml:space="preserve">Option C — Order-Specific. Training use is governed by the terms specified in the Order, which shall include categories, purpose, safeguards, and withdrawal rights.</w:t>
      </w:r>
    </w:p>
    <w:p>
      <w:pPr>
        <w:spacing w:after="160"/>
        <w:jc w:val="left"/>
      </w:pPr>
      <w:r>
        <w:rPr>
          <w:rFonts w:ascii="Calibri" w:cs="Calibri" w:eastAsia="Calibri" w:hAnsi="Calibri"/>
          <w:color w:val="333333"/>
          <w:sz w:val="22"/>
          <w:szCs w:val="22"/>
        </w:rPr>
        <w:t xml:space="preserve">5.5 Anti-Circumvention. Provider shall not reclassify Input, Output, prompts, or Customer Data as Usage Data, feedback, abuse data, safety data, or Deidentified Data to circumvent the training election in Section 5.4.</w:t>
      </w:r>
    </w:p>
    <w:p>
      <w:pPr>
        <w:pStyle w:val="Heading2"/>
        <w:spacing w:after="120" w:before="240"/>
      </w:pPr>
      <w:r>
        <w:rPr>
          <w:rFonts w:ascii="Calibri" w:cs="Calibri" w:eastAsia="Calibri" w:hAnsi="Calibri"/>
          <w:b/>
          <w:bCs/>
          <w:color w:val="1a1a2e"/>
          <w:sz w:val="24"/>
          <w:szCs w:val="24"/>
        </w:rPr>
        <w:t xml:space="preserve">6. Usage Data and Feedback</w:t>
      </w:r>
    </w:p>
    <w:p>
      <w:pPr>
        <w:spacing w:after="160"/>
        <w:jc w:val="left"/>
      </w:pPr>
      <w:r>
        <w:rPr>
          <w:rFonts w:ascii="Calibri" w:cs="Calibri" w:eastAsia="Calibri" w:hAnsi="Calibri"/>
          <w:color w:val="333333"/>
          <w:sz w:val="22"/>
          <w:szCs w:val="22"/>
        </w:rPr>
        <w:t xml:space="preserve">6.1 Usage Data. Provider may collect and use Usage Data to operate, secure, analyze, and improve the Service, provided that: (a) Usage Data does not identify Customer, any Authorized User, or any individual; (b) Usage Data does not reveal the substance of Customer Data; and (c) Provider maintains technical and organizational safeguards against reidentification.</w:t>
      </w:r>
    </w:p>
    <w:p>
      <w:pPr>
        <w:spacing w:after="160"/>
        <w:jc w:val="left"/>
      </w:pPr>
      <w:r>
        <w:rPr>
          <w:rFonts w:ascii="Calibri" w:cs="Calibri" w:eastAsia="Calibri" w:hAnsi="Calibri"/>
          <w:color w:val="333333"/>
          <w:sz w:val="22"/>
          <w:szCs w:val="22"/>
        </w:rPr>
        <w:t xml:space="preserve">6.2 Feedback. If Customer voluntarily provides suggestions, enhancement requests, or other feedback regarding the Service, Provider may use such feedback without restriction or obligation. Feedback does not include Customer Data, Confidential Information, or Input/Output.</w:t>
      </w:r>
    </w:p>
    <w:p>
      <w:r>
        <w:br w:type="page"/>
      </w:r>
    </w:p>
    <w:p>
      <w:pPr>
        <w:pStyle w:val="Heading2"/>
        <w:spacing w:after="120" w:before="240"/>
      </w:pPr>
      <w:r>
        <w:rPr>
          <w:rFonts w:ascii="Calibri" w:cs="Calibri" w:eastAsia="Calibri" w:hAnsi="Calibri"/>
          <w:b/>
          <w:bCs/>
          <w:color w:val="1a1a2e"/>
          <w:sz w:val="24"/>
          <w:szCs w:val="24"/>
        </w:rPr>
        <w:t xml:space="preserve">7. Data Protection, Security, and Model Supply Chain</w:t>
      </w:r>
    </w:p>
    <w:p>
      <w:pPr>
        <w:spacing w:after="160"/>
        <w:jc w:val="left"/>
      </w:pPr>
      <w:r>
        <w:rPr>
          <w:rFonts w:ascii="Calibri" w:cs="Calibri" w:eastAsia="Calibri" w:hAnsi="Calibri"/>
          <w:color w:val="333333"/>
          <w:sz w:val="22"/>
          <w:szCs w:val="22"/>
        </w:rPr>
        <w:t xml:space="preserve">7.1 DPA. If Provider processes personal data on Customer's behalf, the parties shall execute a Data Processing Addendum or the DPA referenced in Schedule 4, governing processing instructions, security measures, breach notification, subprocessor management, data-subject rights, cross-border transfers, and return/deletion.</w:t>
      </w:r>
    </w:p>
    <w:p>
      <w:pPr>
        <w:spacing w:after="160"/>
        <w:jc w:val="left"/>
      </w:pPr>
      <w:r>
        <w:rPr>
          <w:rFonts w:ascii="Calibri" w:cs="Calibri" w:eastAsia="Calibri" w:hAnsi="Calibri"/>
          <w:color w:val="333333"/>
          <w:sz w:val="22"/>
          <w:szCs w:val="22"/>
        </w:rPr>
        <w:t xml:space="preserve">7.2 Security. Provider shall maintain commercially reasonable administrative, technical, and physical security controls appropriate to the sensitivity of Customer Data, as described in Schedule 4. Provider shall notify Customer of a confirmed Security Incident within [48] hours and provide commercially reasonable cooperation in investigation and remediation.</w:t>
      </w:r>
    </w:p>
    <w:p>
      <w:pPr>
        <w:spacing w:after="160"/>
        <w:jc w:val="left"/>
      </w:pPr>
      <w:r>
        <w:rPr>
          <w:rFonts w:ascii="Calibri" w:cs="Calibri" w:eastAsia="Calibri" w:hAnsi="Calibri"/>
          <w:color w:val="333333"/>
          <w:sz w:val="22"/>
          <w:szCs w:val="22"/>
        </w:rPr>
        <w:t xml:space="preserve">7.3 Model and Subprocessor Transparency. Schedule 1 shall identify: (a) each material Model and version used in the Service; (b) Model providers and subprocessors; (c) categories of data sent to each; (d) data location and retention; (e) human-access controls; and (f) the purpose of each data flow. Provider shall update Schedule 1 upon material changes and provide [30] days' advance notice of new subprocessors, with Customer's right to object and terminate the affected Service if the objection cannot be resolved.</w:t>
      </w:r>
    </w:p>
    <w:p>
      <w:pPr>
        <w:spacing w:after="160"/>
        <w:jc w:val="left"/>
      </w:pPr>
      <w:r>
        <w:rPr>
          <w:rFonts w:ascii="Calibri" w:cs="Calibri" w:eastAsia="Calibri" w:hAnsi="Calibri"/>
          <w:color w:val="333333"/>
          <w:sz w:val="22"/>
          <w:szCs w:val="22"/>
        </w:rPr>
        <w:t xml:space="preserve">7.4 Model Changes. Provider shall provide Customer with [30] days' advance notice of any Model Change, including updated documentation, expected impact, and a reasonable test window. If Customer determines that a Model Change materially degrades performance for its approved use cases, Customer may: (a) request that Provider maintain the prior version for a commercially reasonable transition period; or (b) terminate the affected Service and receive a pro-rata refund of prepaid fees.</w:t>
      </w:r>
    </w:p>
    <w:p>
      <w:pPr>
        <w:pStyle w:val="Heading2"/>
        <w:spacing w:after="120" w:before="240"/>
      </w:pPr>
      <w:r>
        <w:rPr>
          <w:rFonts w:ascii="Calibri" w:cs="Calibri" w:eastAsia="Calibri" w:hAnsi="Calibri"/>
          <w:b/>
          <w:bCs/>
          <w:color w:val="1a1a2e"/>
          <w:sz w:val="24"/>
          <w:szCs w:val="24"/>
        </w:rPr>
        <w:t xml:space="preserve">8. Confidentiality</w:t>
      </w:r>
    </w:p>
    <w:p>
      <w:pPr>
        <w:spacing w:after="160"/>
        <w:jc w:val="left"/>
      </w:pPr>
      <w:r>
        <w:rPr>
          <w:rFonts w:ascii="Calibri" w:cs="Calibri" w:eastAsia="Calibri" w:hAnsi="Calibri"/>
          <w:color w:val="333333"/>
          <w:sz w:val="22"/>
          <w:szCs w:val="22"/>
        </w:rPr>
        <w:t xml:space="preserve">8.1 Obligations. Each party shall: (a) use the other's Confidential Information only for performing under these Terms; (b) protect it with at least the same care used for its own confidential information (and no less than reasonable care); and (c) disclose it only to employees, contractors, and advisors bound by confidentiality obligations and with a need to know. Source code, algorithms, model architectures, pricing, and security configurations are Confidential Information whether or not marked.</w:t>
      </w:r>
    </w:p>
    <w:p>
      <w:pPr>
        <w:spacing w:after="160"/>
        <w:jc w:val="left"/>
      </w:pPr>
      <w:r>
        <w:rPr>
          <w:rFonts w:ascii="Calibri" w:cs="Calibri" w:eastAsia="Calibri" w:hAnsi="Calibri"/>
          <w:color w:val="333333"/>
          <w:sz w:val="22"/>
          <w:szCs w:val="22"/>
        </w:rPr>
        <w:t xml:space="preserve">8.2 Exclusions. Information is not Confidential Information if it: (a) becomes publicly available without breach; (b) was known before disclosure; (c) is independently developed; or (d) is received from a third party without restriction.</w:t>
      </w:r>
    </w:p>
    <w:p>
      <w:pPr>
        <w:spacing w:after="160"/>
        <w:jc w:val="left"/>
      </w:pPr>
      <w:r>
        <w:rPr>
          <w:rFonts w:ascii="Calibri" w:cs="Calibri" w:eastAsia="Calibri" w:hAnsi="Calibri"/>
          <w:color w:val="333333"/>
          <w:sz w:val="22"/>
          <w:szCs w:val="22"/>
        </w:rPr>
        <w:t xml:space="preserve">8.3 Compelled Disclosure. Disclosure is permitted if compelled by law, provided the disclosing party gives prompt notice (where legally permitted), cooperates with protective measures, and limits disclosure to what is legally required.</w:t>
      </w:r>
    </w:p>
    <w:p>
      <w:pPr>
        <w:pStyle w:val="Heading2"/>
        <w:spacing w:after="120" w:before="240"/>
      </w:pPr>
      <w:r>
        <w:rPr>
          <w:rFonts w:ascii="Calibri" w:cs="Calibri" w:eastAsia="Calibri" w:hAnsi="Calibri"/>
          <w:b/>
          <w:bCs/>
          <w:color w:val="1a1a2e"/>
          <w:sz w:val="24"/>
          <w:szCs w:val="24"/>
        </w:rPr>
        <w:t xml:space="preserve">9. Fees, Service Levels, and Support</w:t>
      </w:r>
    </w:p>
    <w:p>
      <w:pPr>
        <w:spacing w:after="160"/>
        <w:jc w:val="left"/>
      </w:pPr>
      <w:r>
        <w:rPr>
          <w:rFonts w:ascii="Calibri" w:cs="Calibri" w:eastAsia="Calibri" w:hAnsi="Calibri"/>
          <w:color w:val="333333"/>
          <w:sz w:val="22"/>
          <w:szCs w:val="22"/>
        </w:rPr>
        <w:t xml:space="preserve">9.1 Fees. Customer shall pay the fees specified in the Order within [30] days of invoice. Customer is responsible for applicable taxes other than Provider's income taxes.</w:t>
      </w:r>
    </w:p>
    <w:p>
      <w:pPr>
        <w:spacing w:after="160"/>
        <w:jc w:val="left"/>
      </w:pPr>
      <w:r>
        <w:rPr>
          <w:rFonts w:ascii="Calibri" w:cs="Calibri" w:eastAsia="Calibri" w:hAnsi="Calibri"/>
          <w:color w:val="333333"/>
          <w:sz w:val="22"/>
          <w:szCs w:val="22"/>
        </w:rPr>
        <w:t xml:space="preserve">9.2 Usage and Overages. Usage measurement, overage rates, and billing mechanics are specified in Schedule 2.</w:t>
      </w:r>
    </w:p>
    <w:p>
      <w:pPr>
        <w:spacing w:after="160"/>
        <w:jc w:val="left"/>
      </w:pPr>
      <w:r>
        <w:rPr>
          <w:rFonts w:ascii="Calibri" w:cs="Calibri" w:eastAsia="Calibri" w:hAnsi="Calibri"/>
          <w:color w:val="333333"/>
          <w:sz w:val="22"/>
          <w:szCs w:val="22"/>
        </w:rPr>
        <w:t xml:space="preserve">9.3 Service Levels. Provider's uptime commitments, maintenance windows, performance metrics, and service-credit remedies are specified in Schedule 2. Service credits are Customer's sole and exclusive remedy for failure to meet service levels, unless the failure constitutes a material breach.</w:t>
      </w:r>
    </w:p>
    <w:p>
      <w:pPr>
        <w:spacing w:after="160"/>
        <w:jc w:val="left"/>
      </w:pPr>
      <w:r>
        <w:rPr>
          <w:rFonts w:ascii="Calibri" w:cs="Calibri" w:eastAsia="Calibri" w:hAnsi="Calibri"/>
          <w:color w:val="333333"/>
          <w:sz w:val="22"/>
          <w:szCs w:val="22"/>
        </w:rPr>
        <w:t xml:space="preserve">9.4 Suspension for Nonpayment. Provider may suspend access upon [15] days' written notice for undisputed amounts more than [30] days overdue. Provider shall restore access within [1] Business Day of payment.</w:t>
      </w:r>
    </w:p>
    <w:p>
      <w:r>
        <w:br w:type="page"/>
      </w:r>
    </w:p>
    <w:p>
      <w:pPr>
        <w:pStyle w:val="Heading2"/>
        <w:spacing w:after="120" w:before="240"/>
      </w:pPr>
      <w:r>
        <w:rPr>
          <w:rFonts w:ascii="Calibri" w:cs="Calibri" w:eastAsia="Calibri" w:hAnsi="Calibri"/>
          <w:b/>
          <w:bCs/>
          <w:color w:val="1a1a2e"/>
          <w:sz w:val="24"/>
          <w:szCs w:val="24"/>
        </w:rPr>
        <w:t xml:space="preserve">10. Representations, Warranties, and Indemnification</w:t>
      </w:r>
    </w:p>
    <w:p>
      <w:pPr>
        <w:spacing w:after="160"/>
        <w:jc w:val="left"/>
      </w:pPr>
      <w:r>
        <w:rPr>
          <w:rFonts w:ascii="Calibri" w:cs="Calibri" w:eastAsia="Calibri" w:hAnsi="Calibri"/>
          <w:color w:val="333333"/>
          <w:sz w:val="22"/>
          <w:szCs w:val="22"/>
        </w:rPr>
        <w:t xml:space="preserve">10.1 Provider Warranties. Provider represents and warrants that: (a) the Service will materially conform to the Documentation during the Order term; (b) professional services will be performed in a professional manner; (c) Provider has the right to grant the access rights contemplated by these Terms; and (d) Provider will comply with Applicable Law in providing the Service.</w:t>
      </w:r>
    </w:p>
    <w:p>
      <w:pPr>
        <w:spacing w:after="160"/>
        <w:jc w:val="left"/>
      </w:pPr>
      <w:r>
        <w:rPr>
          <w:rFonts w:ascii="Calibri" w:cs="Calibri" w:eastAsia="Calibri" w:hAnsi="Calibri"/>
          <w:color w:val="333333"/>
          <w:sz w:val="22"/>
          <w:szCs w:val="22"/>
        </w:rPr>
        <w:t xml:space="preserve">10.2 Warranty Remedy. If the Service fails to materially conform to the Documentation, Provider shall, at no additional charge, correct the nonconformity. If Provider is unable to correct it within a commercially reasonable period, Customer may terminate the affected Order and receive a pro-rata refund of prepaid fees for the remaining term.</w:t>
      </w:r>
    </w:p>
    <w:p>
      <w:pPr>
        <w:spacing w:after="160"/>
        <w:jc w:val="left"/>
      </w:pPr>
      <w:r>
        <w:rPr>
          <w:rFonts w:ascii="Calibri" w:cs="Calibri" w:eastAsia="Calibri" w:hAnsi="Calibri"/>
          <w:color w:val="333333"/>
          <w:sz w:val="22"/>
          <w:szCs w:val="22"/>
        </w:rPr>
        <w:t xml:space="preserve">10.3 Disclaimer. EXCEPT AS EXPRESSLY SET FORTH IN THESE TERMS, PROVIDER DISCLAIMS ALL WARRANTIES, EXPRESS, IMPLIED, OR STATUTORY, INCLUDING WARRANTIES OF MERCHANTABILITY, FITNESS FOR A PARTICULAR PURPOSE, ACCURACY, AND NON-INFRINGEMENT. PROVIDER DOES NOT WARRANT THAT OUTPUT WILL BE ACCURATE, COMPLETE, ORIGINAL, COPYRIGHTABLE, OR SUITABLE FOR ANY PARTICULAR PURPOSE.</w:t>
      </w:r>
    </w:p>
    <w:p>
      <w:pPr>
        <w:spacing w:after="160"/>
        <w:jc w:val="left"/>
      </w:pPr>
      <w:r>
        <w:rPr>
          <w:rFonts w:ascii="Calibri" w:cs="Calibri" w:eastAsia="Calibri" w:hAnsi="Calibri"/>
          <w:color w:val="333333"/>
          <w:sz w:val="22"/>
          <w:szCs w:val="22"/>
        </w:rPr>
        <w:t xml:space="preserve">10.4 Provider Indemnity. Provider shall defend, indemnify, and hold harmless Customer from third-party claims alleging that the unmodified Service infringes a United States patent, copyright, or trade secret. [IF OUTPUT DEFENSE ELECTED: Provider shall also defend qualifying claims alleging that Output, generated in the ordinary course of Customer's approved use and without modification, infringes a third-party copyright, subject to the exclusions below.] Provider may: (a) procure the right to continue use; (b) modify the Service to be non-infringing; (c) replace it; or (d) terminate and refund prepaid fees.</w:t>
      </w:r>
    </w:p>
    <w:p>
      <w:pPr>
        <w:spacing w:after="160"/>
        <w:jc w:val="left"/>
      </w:pPr>
      <w:r>
        <w:rPr>
          <w:rFonts w:ascii="Calibri" w:cs="Calibri" w:eastAsia="Calibri" w:hAnsi="Calibri"/>
          <w:color w:val="333333"/>
          <w:sz w:val="22"/>
          <w:szCs w:val="22"/>
        </w:rPr>
        <w:t xml:space="preserve">10.5 Provider Indemnity Exclusions. Provider has no obligation for claims arising from: (a) Customer's Input or instructions; (b) modifications not made or approved by Provider; (c) combinations with non-Provider products; (d) continued use after Provider provides a non-infringing alternative; (e) Customer's prohibited uses under Section 3; or (f) High-Impact Use decisions.</w:t>
      </w:r>
    </w:p>
    <w:p>
      <w:pPr>
        <w:spacing w:after="160"/>
        <w:jc w:val="left"/>
      </w:pPr>
      <w:r>
        <w:rPr>
          <w:rFonts w:ascii="Calibri" w:cs="Calibri" w:eastAsia="Calibri" w:hAnsi="Calibri"/>
          <w:color w:val="333333"/>
          <w:sz w:val="22"/>
          <w:szCs w:val="22"/>
        </w:rPr>
        <w:t xml:space="preserve">10.6 Customer Indemnity. Customer shall defend, indemnify, and hold harmless Provider from third-party claims arising from: (a) Customer's Input; (b) Customer's prohibited use of the Service; (c) Customer's products or services that incorporate Output; or (d) Customer's decisions based on Output, including High-Impact Use decisions.</w:t>
      </w:r>
    </w:p>
    <w:p>
      <w:pPr>
        <w:spacing w:after="160"/>
        <w:jc w:val="left"/>
      </w:pPr>
      <w:r>
        <w:rPr>
          <w:rFonts w:ascii="Calibri" w:cs="Calibri" w:eastAsia="Calibri" w:hAnsi="Calibri"/>
          <w:color w:val="333333"/>
          <w:sz w:val="22"/>
          <w:szCs w:val="22"/>
        </w:rPr>
        <w:t xml:space="preserve">10.7 Indemnity Procedures. The indemnified party shall give prompt written notice, grant sole control of the defense (no settlement imposing nonmonetary obligations without consent), and provide reasonable cooperation at the indemnifying party's expense.</w:t>
      </w:r>
    </w:p>
    <w:p>
      <w:pPr>
        <w:pStyle w:val="Heading2"/>
        <w:spacing w:after="120" w:before="240"/>
      </w:pPr>
      <w:r>
        <w:rPr>
          <w:rFonts w:ascii="Calibri" w:cs="Calibri" w:eastAsia="Calibri" w:hAnsi="Calibri"/>
          <w:b/>
          <w:bCs/>
          <w:color w:val="1a1a2e"/>
          <w:sz w:val="24"/>
          <w:szCs w:val="24"/>
        </w:rPr>
        <w:t xml:space="preserve">11. Limitation of Liability</w:t>
      </w:r>
    </w:p>
    <w:p>
      <w:pPr>
        <w:spacing w:after="160"/>
        <w:jc w:val="left"/>
      </w:pPr>
      <w:r>
        <w:rPr>
          <w:rFonts w:ascii="Calibri" w:cs="Calibri" w:eastAsia="Calibri" w:hAnsi="Calibri"/>
          <w:color w:val="333333"/>
          <w:sz w:val="22"/>
          <w:szCs w:val="22"/>
        </w:rPr>
        <w:t xml:space="preserve">11.1 Consequential Damages. NEITHER PARTY SHALL BE LIABLE FOR INDIRECT, INCIDENTAL, SPECIAL, CONSEQUENTIAL, EXEMPLARY, OR PUNITIVE DAMAGES, OR LOSS OF PROFITS, REVENUE, DATA, OR BUSINESS OPPORTUNITY, ARISING FROM THESE TERMS, REGARDLESS OF THE THEORY OF LIABILITY.</w:t>
      </w:r>
    </w:p>
    <w:p>
      <w:pPr>
        <w:spacing w:after="160"/>
        <w:jc w:val="left"/>
      </w:pPr>
      <w:r>
        <w:rPr>
          <w:rFonts w:ascii="Calibri" w:cs="Calibri" w:eastAsia="Calibri" w:hAnsi="Calibri"/>
          <w:color w:val="333333"/>
          <w:sz w:val="22"/>
          <w:szCs w:val="22"/>
        </w:rPr>
        <w:t xml:space="preserve">11.2 Aggregate Cap. EACH PARTY'S TOTAL AGGREGATE LIABILITY SHALL NOT EXCEED THE FEES PAID OR PAYABLE BY CUSTOMER IN THE [12]-MONTH PERIOD PRECEDING THE EVENT GIVING RISE TO THE CLAIM.</w:t>
      </w:r>
    </w:p>
    <w:p>
      <w:pPr>
        <w:spacing w:after="160"/>
        <w:jc w:val="left"/>
      </w:pPr>
      <w:r>
        <w:rPr>
          <w:rFonts w:ascii="Calibri" w:cs="Calibri" w:eastAsia="Calibri" w:hAnsi="Calibri"/>
          <w:color w:val="333333"/>
          <w:sz w:val="22"/>
          <w:szCs w:val="22"/>
        </w:rPr>
        <w:t xml:space="preserve">11.3 Carve-Outs. The limitations in Sections 11.1 and 11.2 do not apply to: (a) payment obligations; (b) breach of confidentiality obligations (subject to a super-cap of [2x] the aggregate cap); (c) Security Incidents and data-protection obligations (subject to a super-cap of [2x] the aggregate cap); (d) indemnification obligations under Section 10; (e) liability arising from gross negligence or willful misconduct; or (f) violations of the training restrictions in Section 5.4, to the extent such carve-outs are enforceable.</w:t>
      </w:r>
    </w:p>
    <w:p>
      <w:r>
        <w:br w:type="page"/>
      </w:r>
    </w:p>
    <w:p>
      <w:pPr>
        <w:pStyle w:val="Heading2"/>
        <w:spacing w:after="120" w:before="240"/>
      </w:pPr>
      <w:r>
        <w:rPr>
          <w:rFonts w:ascii="Calibri" w:cs="Calibri" w:eastAsia="Calibri" w:hAnsi="Calibri"/>
          <w:b/>
          <w:bCs/>
          <w:color w:val="1a1a2e"/>
          <w:sz w:val="24"/>
          <w:szCs w:val="24"/>
        </w:rPr>
        <w:t xml:space="preserve">12. Term, Termination, and Data Exit</w:t>
      </w:r>
    </w:p>
    <w:p>
      <w:pPr>
        <w:spacing w:after="160"/>
        <w:jc w:val="left"/>
      </w:pPr>
      <w:r>
        <w:rPr>
          <w:rFonts w:ascii="Calibri" w:cs="Calibri" w:eastAsia="Calibri" w:hAnsi="Calibri"/>
          <w:color w:val="333333"/>
          <w:sz w:val="22"/>
          <w:szCs w:val="22"/>
        </w:rPr>
        <w:t xml:space="preserve">12.1 Term. These Terms remain in effect as long as any Order is active. Each Order has the term stated therein.</w:t>
      </w:r>
    </w:p>
    <w:p>
      <w:pPr>
        <w:spacing w:after="160"/>
        <w:jc w:val="left"/>
      </w:pPr>
      <w:r>
        <w:rPr>
          <w:rFonts w:ascii="Calibri" w:cs="Calibri" w:eastAsia="Calibri" w:hAnsi="Calibri"/>
          <w:color w:val="333333"/>
          <w:sz w:val="22"/>
          <w:szCs w:val="22"/>
        </w:rPr>
        <w:t xml:space="preserve">12.2 Termination for Cause. Either party may terminate an Order upon [30] days' written notice if the other party materially breaches these Terms and fails to cure within the notice period. Either party may terminate immediately upon the other party's insolvency, bankruptcy, or assignment for benefit of creditors, to the extent permitted by law.</w:t>
      </w:r>
    </w:p>
    <w:p>
      <w:pPr>
        <w:spacing w:after="160"/>
        <w:jc w:val="left"/>
      </w:pPr>
      <w:r>
        <w:rPr>
          <w:rFonts w:ascii="Calibri" w:cs="Calibri" w:eastAsia="Calibri" w:hAnsi="Calibri"/>
          <w:color w:val="333333"/>
          <w:sz w:val="22"/>
          <w:szCs w:val="22"/>
        </w:rPr>
        <w:t xml:space="preserve">12.3 Termination for Model Change. Customer may terminate the affected Service upon [30] days' notice if a Model Change materially degrades performance for Customer's approved use cases and Provider is unable to remediate within the test window described in Section 7.4.</w:t>
      </w:r>
    </w:p>
    <w:p>
      <w:pPr>
        <w:spacing w:after="160"/>
        <w:jc w:val="left"/>
      </w:pPr>
      <w:r>
        <w:rPr>
          <w:rFonts w:ascii="Calibri" w:cs="Calibri" w:eastAsia="Calibri" w:hAnsi="Calibri"/>
          <w:color w:val="333333"/>
          <w:sz w:val="22"/>
          <w:szCs w:val="22"/>
        </w:rPr>
        <w:t xml:space="preserve">12.4 Data Export. Upon expiration or termination, Provider shall make Customer Data available for export in a standard, machine-readable format for [30] days. Customer shall retrieve its data within that period.</w:t>
      </w:r>
    </w:p>
    <w:p>
      <w:pPr>
        <w:spacing w:after="160"/>
        <w:jc w:val="left"/>
      </w:pPr>
      <w:r>
        <w:rPr>
          <w:rFonts w:ascii="Calibri" w:cs="Calibri" w:eastAsia="Calibri" w:hAnsi="Calibri"/>
          <w:color w:val="333333"/>
          <w:sz w:val="22"/>
          <w:szCs w:val="22"/>
        </w:rPr>
        <w:t xml:space="preserve">12.5 Deletion. After the export period, Provider shall delete Customer Data from active systems within [30] days and from backup systems within [90] days, and provide a deletion certificate upon request. Deletion is subject to legal retention requirements and reasonable backup practices, provided retained data remains subject to confidentiality and use restrictions.</w:t>
      </w:r>
    </w:p>
    <w:p>
      <w:pPr>
        <w:spacing w:after="160"/>
        <w:jc w:val="left"/>
      </w:pPr>
      <w:r>
        <w:rPr>
          <w:rFonts w:ascii="Calibri" w:cs="Calibri" w:eastAsia="Calibri" w:hAnsi="Calibri"/>
          <w:color w:val="333333"/>
          <w:sz w:val="22"/>
          <w:szCs w:val="22"/>
        </w:rPr>
        <w:t xml:space="preserve">12.6 Survival. Sections 1, 5 (IP), 6 (Usage Data), 8 (Confidentiality), 10.3–10.7 (Disclaimer, Indemnity), 11 (Liability), 12.4–12.6 (Data Exit, Deletion, Survival), and 13 (General) survive termination.</w:t>
      </w:r>
    </w:p>
    <w:p>
      <w:pPr>
        <w:pStyle w:val="Heading2"/>
        <w:spacing w:after="120" w:before="240"/>
      </w:pPr>
      <w:r>
        <w:rPr>
          <w:rFonts w:ascii="Calibri" w:cs="Calibri" w:eastAsia="Calibri" w:hAnsi="Calibri"/>
          <w:b/>
          <w:bCs/>
          <w:color w:val="1a1a2e"/>
          <w:sz w:val="24"/>
          <w:szCs w:val="24"/>
        </w:rPr>
        <w:t xml:space="preserve">13. Changes and General Provisions</w:t>
      </w:r>
    </w:p>
    <w:p>
      <w:pPr>
        <w:spacing w:after="160"/>
        <w:jc w:val="left"/>
      </w:pPr>
      <w:r>
        <w:rPr>
          <w:rFonts w:ascii="Calibri" w:cs="Calibri" w:eastAsia="Calibri" w:hAnsi="Calibri"/>
          <w:color w:val="333333"/>
          <w:sz w:val="22"/>
          <w:szCs w:val="22"/>
        </w:rPr>
        <w:t xml:space="preserve">13.1 Changes to Terms. Material changes to legal obligations, data practices, training policy, or fee terms require [30] days' advance written notice and, where required by law or the Order, Customer's affirmative assent. Operational changes (documentation updates, security improvements, UI changes) that do not materially reduce Provider's commitments may be communicated through the Service or Documentation. No unilateral change to an online policy may override negotiated terms in an Order.</w:t>
      </w:r>
    </w:p>
    <w:p>
      <w:pPr>
        <w:spacing w:after="160"/>
        <w:jc w:val="left"/>
      </w:pPr>
      <w:r>
        <w:rPr>
          <w:rFonts w:ascii="Calibri" w:cs="Calibri" w:eastAsia="Calibri" w:hAnsi="Calibri"/>
          <w:color w:val="333333"/>
          <w:sz w:val="22"/>
          <w:szCs w:val="22"/>
        </w:rPr>
        <w:t xml:space="preserve">13.2 Order of Precedence. In the event of conflict: (1) Schedule 4 (DPA/Security); (2) the Order; (3) these Terms; (4) Schedule 3 (AI Use-Case Controls); (5) Schedule 1 (Model/Subprocessor Matrix); (6) Schedule 2 (SLA/Support/Fees). Online policies and documentation are reference materials and do not override negotiated terms.</w:t>
      </w:r>
    </w:p>
    <w:p>
      <w:pPr>
        <w:spacing w:after="160"/>
        <w:jc w:val="left"/>
      </w:pPr>
      <w:r>
        <w:rPr>
          <w:rFonts w:ascii="Calibri" w:cs="Calibri" w:eastAsia="Calibri" w:hAnsi="Calibri"/>
          <w:color w:val="333333"/>
          <w:sz w:val="22"/>
          <w:szCs w:val="22"/>
        </w:rPr>
        <w:t xml:space="preserve">13.3 Export Compliance. Each party shall comply with applicable export-control and economic-sanctions laws.</w:t>
      </w:r>
    </w:p>
    <w:p>
      <w:pPr>
        <w:spacing w:after="160"/>
        <w:jc w:val="left"/>
      </w:pPr>
      <w:r>
        <w:rPr>
          <w:rFonts w:ascii="Calibri" w:cs="Calibri" w:eastAsia="Calibri" w:hAnsi="Calibri"/>
          <w:color w:val="333333"/>
          <w:sz w:val="22"/>
          <w:szCs w:val="22"/>
        </w:rPr>
        <w:t xml:space="preserve">13.4 Assignment. Neither party may assign without prior written consent, except in connection with a merger, acquisition, or sale of substantially all relevant assets, provided the successor assumes all obligations.</w:t>
      </w:r>
    </w:p>
    <w:p>
      <w:pPr>
        <w:spacing w:after="160"/>
        <w:jc w:val="left"/>
      </w:pPr>
      <w:r>
        <w:rPr>
          <w:rFonts w:ascii="Calibri" w:cs="Calibri" w:eastAsia="Calibri" w:hAnsi="Calibri"/>
          <w:color w:val="333333"/>
          <w:sz w:val="22"/>
          <w:szCs w:val="22"/>
        </w:rPr>
        <w:t xml:space="preserve">13.5 Force Majeure. Neither party is liable for delay beyond reasonable control, provided prompt notice and reasonable mitigation. Force majeure does not excuse payment or data-protection obligations.</w:t>
      </w:r>
    </w:p>
    <w:p>
      <w:pPr>
        <w:spacing w:after="160"/>
        <w:jc w:val="left"/>
      </w:pPr>
      <w:r>
        <w:rPr>
          <w:rFonts w:ascii="Calibri" w:cs="Calibri" w:eastAsia="Calibri" w:hAnsi="Calibri"/>
          <w:color w:val="333333"/>
          <w:sz w:val="22"/>
          <w:szCs w:val="22"/>
        </w:rPr>
        <w:t xml:space="preserve">13.6 Governing Law. These Terms are governed by the laws of the State of [STATE], without conflict-of-laws principles. The parties consent to exclusive jurisdiction in [COUNTY, STATE] courts.</w:t>
      </w:r>
    </w:p>
    <w:p>
      <w:pPr>
        <w:spacing w:after="160"/>
        <w:jc w:val="left"/>
      </w:pPr>
      <w:r>
        <w:rPr>
          <w:rFonts w:ascii="Calibri" w:cs="Calibri" w:eastAsia="Calibri" w:hAnsi="Calibri"/>
          <w:color w:val="333333"/>
          <w:sz w:val="22"/>
          <w:szCs w:val="22"/>
        </w:rPr>
        <w:t xml:space="preserve">13.7 Notices. Written notices to addresses in the Order by personal delivery, overnight courier, or email with confirmation.</w:t>
      </w:r>
    </w:p>
    <w:p>
      <w:pPr>
        <w:spacing w:after="160"/>
        <w:jc w:val="left"/>
      </w:pPr>
      <w:r>
        <w:rPr>
          <w:rFonts w:ascii="Calibri" w:cs="Calibri" w:eastAsia="Calibri" w:hAnsi="Calibri"/>
          <w:color w:val="333333"/>
          <w:sz w:val="22"/>
          <w:szCs w:val="22"/>
        </w:rPr>
        <w:t xml:space="preserve">13.8 Entire Agreement. These Terms, the Order, and Schedules constitute the entire agreement. Amendments require signed writing.</w:t>
      </w:r>
    </w:p>
    <w:p>
      <w:pPr>
        <w:spacing w:after="160"/>
        <w:jc w:val="left"/>
      </w:pPr>
      <w:r>
        <w:rPr>
          <w:rFonts w:ascii="Calibri" w:cs="Calibri" w:eastAsia="Calibri" w:hAnsi="Calibri"/>
          <w:color w:val="333333"/>
          <w:sz w:val="22"/>
          <w:szCs w:val="22"/>
        </w:rPr>
        <w:t xml:space="preserve">13.9 Severability; Waiver; Counterparts. Standard provisions apply. Electronic signatures are effective.</w:t>
      </w:r>
    </w:p>
    <w:p>
      <w:pPr>
        <w:spacing w:before="480"/>
      </w:pPr>
    </w:p>
    <w:p>
      <w:pPr>
        <w:pStyle w:val="Heading2"/>
        <w:spacing w:after="120" w:before="240"/>
      </w:pPr>
      <w:r>
        <w:rPr>
          <w:rFonts w:ascii="Calibri" w:cs="Calibri" w:eastAsia="Calibri" w:hAnsi="Calibri"/>
          <w:b/>
          <w:bCs/>
          <w:color w:val="1a1a2e"/>
          <w:sz w:val="24"/>
          <w:szCs w:val="24"/>
        </w:rPr>
        <w:t xml:space="preserve">Signatures</w:t>
      </w:r>
    </w:p>
    <w:p>
      <w:pPr>
        <w:spacing w:before="240"/>
      </w:pPr>
    </w:p>
    <w:p>
      <w:pPr>
        <w:spacing w:after="160"/>
        <w:jc w:val="left"/>
      </w:pPr>
      <w:r>
        <w:rPr>
          <w:rFonts w:ascii="Calibri" w:cs="Calibri" w:eastAsia="Calibri" w:hAnsi="Calibri"/>
          <w:b/>
          <w:bCs/>
          <w:color w:val="333333"/>
          <w:sz w:val="22"/>
          <w:szCs w:val="22"/>
        </w:rPr>
        <w:t xml:space="preserve">PROVIDER</w:t>
      </w:r>
    </w:p>
    <w:p>
      <w:pPr>
        <w:spacing w:before="240"/>
      </w:pPr>
      <w:r>
        <w:rPr>
          <w:rFonts w:ascii="Calibri" w:cs="Calibri" w:eastAsia="Calibri" w:hAnsi="Calibri"/>
          <w:sz w:val="22"/>
          <w:szCs w:val="22"/>
        </w:rPr>
        <w:t xml:space="preserve">____________________________________</w:t>
      </w:r>
    </w:p>
    <w:p>
      <w:pPr>
        <w:spacing w:after="160"/>
        <w:jc w:val="left"/>
      </w:pPr>
      <w:r>
        <w:rPr>
          <w:rFonts w:ascii="Calibri" w:cs="Calibri" w:eastAsia="Calibri" w:hAnsi="Calibri"/>
          <w:i/>
          <w:iCs/>
          <w:color w:val="555555"/>
          <w:sz w:val="22"/>
          <w:szCs w:val="22"/>
        </w:rPr>
        <w:t xml:space="preserve">Name: [NAME]  |  Title: [TITLE]  |  Date: [DATE]</w:t>
      </w:r>
    </w:p>
    <w:p>
      <w:pPr>
        <w:spacing w:before="360"/>
      </w:pPr>
    </w:p>
    <w:p>
      <w:pPr>
        <w:spacing w:after="160"/>
        <w:jc w:val="left"/>
      </w:pPr>
      <w:r>
        <w:rPr>
          <w:rFonts w:ascii="Calibri" w:cs="Calibri" w:eastAsia="Calibri" w:hAnsi="Calibri"/>
          <w:b/>
          <w:bCs/>
          <w:color w:val="333333"/>
          <w:sz w:val="22"/>
          <w:szCs w:val="22"/>
        </w:rPr>
        <w:t xml:space="preserve">CUSTOMER</w:t>
      </w:r>
    </w:p>
    <w:p>
      <w:pPr>
        <w:spacing w:before="240"/>
      </w:pPr>
      <w:r>
        <w:rPr>
          <w:rFonts w:ascii="Calibri" w:cs="Calibri" w:eastAsia="Calibri" w:hAnsi="Calibri"/>
          <w:sz w:val="22"/>
          <w:szCs w:val="22"/>
        </w:rPr>
        <w:t xml:space="preserve">____________________________________</w:t>
      </w:r>
    </w:p>
    <w:p>
      <w:pPr>
        <w:spacing w:after="160"/>
        <w:jc w:val="left"/>
      </w:pPr>
      <w:r>
        <w:rPr>
          <w:rFonts w:ascii="Calibri" w:cs="Calibri" w:eastAsia="Calibri" w:hAnsi="Calibri"/>
          <w:i/>
          <w:iCs/>
          <w:color w:val="555555"/>
          <w:sz w:val="22"/>
          <w:szCs w:val="22"/>
        </w:rPr>
        <w:t xml:space="preserve">Name: [NAME]  |  Title: [TITLE]  |  Date: [DATE]</w:t>
      </w:r>
    </w:p>
    <w:p>
      <w:r>
        <w:br w:type="page"/>
      </w:r>
    </w:p>
    <w:p>
      <w:pPr>
        <w:pStyle w:val="Heading2"/>
        <w:spacing w:after="120" w:before="240"/>
      </w:pPr>
      <w:r>
        <w:rPr>
          <w:rFonts w:ascii="Calibri" w:cs="Calibri" w:eastAsia="Calibri" w:hAnsi="Calibri"/>
          <w:b/>
          <w:bCs/>
          <w:color w:val="1a1a2e"/>
          <w:sz w:val="24"/>
          <w:szCs w:val="24"/>
        </w:rPr>
        <w:t xml:space="preserve">Schedule 1 — Model and Subprocessor Matrix</w:t>
      </w:r>
    </w:p>
    <w:p>
      <w:pPr>
        <w:spacing w:after="160"/>
        <w:jc w:val="left"/>
      </w:pPr>
      <w:r>
        <w:rPr>
          <w:rFonts w:ascii="Calibri" w:cs="Calibri" w:eastAsia="Calibri" w:hAnsi="Calibri"/>
          <w:color w:val="333333"/>
          <w:sz w:val="22"/>
          <w:szCs w:val="22"/>
        </w:rPr>
        <w:t xml:space="preserve">[For each Model and subprocessor, include:]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Model/Provider:</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[NAME, VERSION]</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Hosting Location:</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[REGION / DATA CENTER]</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Data Sent:</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[Categories of Input/data transmitted]</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Retention:</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[Duration and deletion policy]</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Human Access:</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[Who can access Customer Data and under what controls]</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Purpose:</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[Why this Model/subprocessor processes data]</w:t>
            </w:r>
          </w:p>
        </w:tc>
      </w:tr>
      <w:tr>
        <w:tc>
          <w:tcPr>
            <w:tcW w:type="dxa" w:w="3600"/>
            <w:tcMar>
              <w:top w:type="dxa" w:w="60"/>
              <w:left w:type="dxa" w:w="120"/>
              <w:bottom w:type="dxa" w:w="60"/>
              <w:right w:type="dxa" w:w="120"/>
            </w:tcMar>
          </w:tcPr>
          <w:p>
            <w:r>
              <w:rPr>
                <w:rFonts w:ascii="Calibri" w:cs="Calibri" w:eastAsia="Calibri" w:hAnsi="Calibri"/>
                <w:b/>
                <w:bCs/>
                <w:color w:val="1a1a2e"/>
                <w:sz w:val="22"/>
                <w:szCs w:val="22"/>
              </w:rPr>
              <w:t xml:space="preserve">Training Use:</w:t>
            </w:r>
          </w:p>
        </w:tc>
        <w:tc>
          <w:tcPr>
            <w:tcW w:type="dxa" w:w="5760"/>
            <w:tcMar>
              <w:top w:type="dxa" w:w="60"/>
              <w:left w:type="dxa" w:w="120"/>
              <w:bottom w:type="dxa" w:w="60"/>
              <w:right w:type="dxa" w:w="120"/>
            </w:tcMar>
          </w:tcPr>
          <w:p>
            <w:r>
              <w:rPr>
                <w:rFonts w:ascii="Calibri" w:cs="Calibri" w:eastAsia="Calibri" w:hAnsi="Calibri"/>
                <w:color w:val="333333"/>
                <w:sz w:val="22"/>
                <w:szCs w:val="22"/>
              </w:rPr>
              <w:t xml:space="preserve">[None / Per Section 5.4 election]</w:t>
            </w:r>
          </w:p>
        </w:tc>
      </w:tr>
    </w:tbl>
    <w:p>
      <w:pPr>
        <w:spacing w:after="200"/>
      </w:pPr>
    </w:p>
    <w:p>
      <w:pPr>
        <w:spacing w:after="160"/>
        <w:jc w:val="left"/>
      </w:pPr>
      <w:r>
        <w:rPr>
          <w:rFonts w:ascii="Calibri" w:cs="Calibri" w:eastAsia="Calibri" w:hAnsi="Calibri"/>
          <w:color w:val="333333"/>
          <w:sz w:val="22"/>
          <w:szCs w:val="22"/>
        </w:rPr>
        <w:t xml:space="preserve">[Repeat for each Model and subprocessor.]</w:t>
      </w:r>
    </w:p>
    <w:p>
      <w:pPr>
        <w:spacing w:before="360"/>
      </w:pPr>
    </w:p>
    <w:p>
      <w:pPr>
        <w:pStyle w:val="Heading2"/>
        <w:spacing w:after="120" w:before="240"/>
      </w:pPr>
      <w:r>
        <w:rPr>
          <w:rFonts w:ascii="Calibri" w:cs="Calibri" w:eastAsia="Calibri" w:hAnsi="Calibri"/>
          <w:b/>
          <w:bCs/>
          <w:color w:val="1a1a2e"/>
          <w:sz w:val="24"/>
          <w:szCs w:val="24"/>
        </w:rPr>
        <w:t xml:space="preserve">Schedule 2 — Service Levels, Support, and Fees</w:t>
      </w:r>
    </w:p>
    <w:p>
      <w:pPr>
        <w:spacing w:after="160"/>
        <w:jc w:val="left"/>
      </w:pPr>
      <w:r>
        <w:rPr>
          <w:rFonts w:ascii="Calibri" w:cs="Calibri" w:eastAsia="Calibri" w:hAnsi="Calibri"/>
          <w:color w:val="333333"/>
          <w:sz w:val="22"/>
          <w:szCs w:val="22"/>
        </w:rPr>
        <w:t xml:space="preserve">[Include: uptime commitment and measurement methodology; maintenance windows; support tiers and response times by severity; performance benchmarks and measurement; service-credit calculation and claim process; usage measurement and overage rates; billing frequency; fee schedule.]</w:t>
      </w:r>
    </w:p>
    <w:p>
      <w:pPr>
        <w:spacing w:before="360"/>
      </w:pPr>
    </w:p>
    <w:p>
      <w:pPr>
        <w:pStyle w:val="Heading2"/>
        <w:spacing w:after="120" w:before="240"/>
      </w:pPr>
      <w:r>
        <w:rPr>
          <w:rFonts w:ascii="Calibri" w:cs="Calibri" w:eastAsia="Calibri" w:hAnsi="Calibri"/>
          <w:b/>
          <w:bCs/>
          <w:color w:val="1a1a2e"/>
          <w:sz w:val="24"/>
          <w:szCs w:val="24"/>
        </w:rPr>
        <w:t xml:space="preserve">Schedule 3 — Acceptable Use and High-Impact Use Controls</w:t>
      </w:r>
    </w:p>
    <w:p>
      <w:pPr>
        <w:spacing w:after="160"/>
        <w:jc w:val="left"/>
      </w:pPr>
      <w:r>
        <w:rPr>
          <w:rFonts w:ascii="Calibri" w:cs="Calibri" w:eastAsia="Calibri" w:hAnsi="Calibri"/>
          <w:color w:val="333333"/>
          <w:sz w:val="22"/>
          <w:szCs w:val="22"/>
        </w:rPr>
        <w:t xml:space="preserve">[Include: approved use cases with descriptions; prohibited use cases; High-Impact Use approval requirements and documentation; human-review requirements by use-case type; agentic-action controls (if authorized) including scope, limits, confirmation requirements, logging, and disablement; monitoring and audit-log requirements; escalation and appeal procedures; named accountable individuals.]</w:t>
      </w:r>
    </w:p>
    <w:p>
      <w:pPr>
        <w:spacing w:before="360"/>
      </w:pPr>
    </w:p>
    <w:p>
      <w:pPr>
        <w:pStyle w:val="Heading2"/>
        <w:spacing w:after="120" w:before="240"/>
      </w:pPr>
      <w:r>
        <w:rPr>
          <w:rFonts w:ascii="Calibri" w:cs="Calibri" w:eastAsia="Calibri" w:hAnsi="Calibri"/>
          <w:b/>
          <w:bCs/>
          <w:color w:val="1a1a2e"/>
          <w:sz w:val="24"/>
          <w:szCs w:val="24"/>
        </w:rPr>
        <w:t xml:space="preserve">Schedule 4 — Data Protection and Security</w:t>
      </w:r>
    </w:p>
    <w:p>
      <w:pPr>
        <w:spacing w:after="160"/>
        <w:jc w:val="left"/>
      </w:pPr>
      <w:r>
        <w:rPr>
          <w:rFonts w:ascii="Calibri" w:cs="Calibri" w:eastAsia="Calibri" w:hAnsi="Calibri"/>
          <w:color w:val="333333"/>
          <w:sz w:val="22"/>
          <w:szCs w:val="22"/>
        </w:rPr>
        <w:t xml:space="preserve">[Include: Data Processing Addendum or DPA reference; processing instructions; security controls and standards (encryption, access control, vulnerability management); Security Incident notification procedures and timelines; subprocessor approval process; data-subject rights handling; cross-border transfer mechanisms; audit rights; data return and deletion procedures; deletion certificate; government-request handling.]</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55555"/>
        <w:sz w:val="16"/>
        <w:szCs w:val="16"/>
      </w:rPr>
      <w:t xml:space="preserve">Montague Law  |  montague.law  |  Page </w:t>
    </w:r>
    <w:r>
      <w:rPr>
        <w:rFonts w:ascii="Calibri" w:cs="Calibri" w:eastAsia="Calibri" w:hAnsi="Calibri"/>
        <w:color w:val="555555"/>
        <w:sz w:val="16"/>
        <w:szCs w:val="16"/>
      </w:rPr>
      <w:fldChar w:fldCharType="begin"/>
      <w:instrText xml:space="preserve">PAGE</w:instrText>
      <w:fldChar w:fldCharType="separate"/>
      <w:fldChar w:fldCharType="end"/>
    </w:r>
    <w:r>
      <w:rPr>
        <w:rFonts w:ascii="Calibri" w:cs="Calibri" w:eastAsia="Calibri" w:hAnsi="Calibri"/>
        <w:color w:val="555555"/>
        <w:sz w:val="16"/>
        <w:szCs w:val="16"/>
      </w:rPr>
      <w:t xml:space="preserve"> of </w:t>
    </w:r>
    <w:r>
      <w:rPr>
        <w:rFonts w:ascii="Calibri" w:cs="Calibri" w:eastAsia="Calibri" w:hAnsi="Calibri"/>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555555"/>
        <w:sz w:val="18"/>
        <w:szCs w:val="18"/>
      </w:rPr>
      <w:t xml:space="preserve">Commercial AI Service Terms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333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2026-08-22T17:34:57.510Z</dcterms:created>
  <dcterms:modified xsi:type="dcterms:W3CDTF">2026-08-22T17:34:57.510Z</dcterms:modified>
</cp:coreProperties>
</file>

<file path=docProps/custom.xml><?xml version="1.0" encoding="utf-8"?>
<Properties xmlns="http://schemas.openxmlformats.org/officeDocument/2006/custom-properties" xmlns:vt="http://schemas.openxmlformats.org/officeDocument/2006/docPropsVTypes"/>
</file>