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0" w:line="240"/>
        <w:jc w:val="center"/>
      </w:pPr>
      <w:r>
        <w:rPr>
          <w:rFonts w:ascii="Calibri" w:cs="Calibri" w:eastAsia="Calibri" w:hAnsi="Calibri"/>
          <w:b/>
          <w:bCs/>
          <w:color w:val="1a1a2e"/>
          <w:sz w:val="32"/>
          <w:szCs w:val="32"/>
        </w:rPr>
        <w:t xml:space="preserve">CO-BRANDING TRADEMARK CROSS-LICENSE AGREEMENT</w:t>
      </w:r>
    </w:p>
    <w:p>
      <w:pPr>
        <w:spacing w:line="240"/>
        <w:jc w:val="center"/>
      </w:pPr>
      <w:r>
        <w:rPr>
          <w:rFonts w:ascii="Calibri" w:cs="Calibri" w:eastAsia="Calibri" w:hAnsi="Calibri"/>
          <w:i/>
          <w:iCs/>
          <w:color w:val="999999"/>
          <w:sz w:val="20"/>
          <w:szCs w:val="20"/>
        </w:rPr>
        <w:t xml:space="preserve">For Informational Purposes Only</w:t>
      </w:r>
    </w:p>
    <w:p>
      <w:pPr>
        <w:spacing w:after="80" w:before="0" w:line="240"/>
        <w:jc w:val="both"/>
      </w:pPr>
      <w:r>
        <w:rPr>
          <w:rFonts w:ascii="Calibri" w:cs="Calibri" w:eastAsia="Calibri" w:hAnsi="Calibri"/>
          <w:sz w:val="22"/>
          <w:szCs w:val="22"/>
        </w:rPr>
        <w:t xml:space="preserve">This Co-Branding Trademark Cross-License Agreement (this </w:t>
      </w:r>
      <w:r>
        <w:rPr>
          <w:rFonts w:ascii="Calibri" w:cs="Calibri" w:eastAsia="Calibri" w:hAnsi="Calibri"/>
          <w:b/>
          <w:bCs/>
          <w:sz w:val="22"/>
          <w:szCs w:val="22"/>
        </w:rPr>
        <w:t xml:space="preserve">"Agreement"</w:t>
      </w:r>
      <w:r>
        <w:rPr>
          <w:rFonts w:ascii="Calibri" w:cs="Calibri" w:eastAsia="Calibri" w:hAnsi="Calibri"/>
          <w:sz w:val="22"/>
          <w:szCs w:val="22"/>
        </w:rPr>
        <w:t xml:space="preserve">) is entered into as of [EFFECTIVE DATE] (the </w:t>
      </w:r>
      <w:r>
        <w:rPr>
          <w:rFonts w:ascii="Calibri" w:cs="Calibri" w:eastAsia="Calibri" w:hAnsi="Calibri"/>
          <w:b/>
          <w:bCs/>
          <w:sz w:val="22"/>
          <w:szCs w:val="22"/>
        </w:rPr>
        <w:t xml:space="preserve">"Effective Date"</w:t>
      </w:r>
      <w:r>
        <w:rPr>
          <w:rFonts w:ascii="Calibri" w:cs="Calibri" w:eastAsia="Calibri" w:hAnsi="Calibri"/>
          <w:sz w:val="22"/>
          <w:szCs w:val="22"/>
        </w:rPr>
        <w:t xml:space="preserve">), by and between:</w:t>
      </w:r>
    </w:p>
    <w:p>
      <w:pPr>
        <w:spacing w:after="80" w:before="0" w:line="240"/>
        <w:jc w:val="both"/>
      </w:pPr>
      <w:r>
        <w:rPr>
          <w:rFonts w:ascii="Calibri" w:cs="Calibri" w:eastAsia="Calibri" w:hAnsi="Calibri"/>
          <w:b/>
          <w:bCs/>
          <w:sz w:val="22"/>
          <w:szCs w:val="22"/>
        </w:rPr>
        <w:t xml:space="preserve">[PARTY A LEGAL NAME]</w:t>
      </w:r>
      <w:r>
        <w:rPr>
          <w:rFonts w:ascii="Calibri" w:cs="Calibri" w:eastAsia="Calibri" w:hAnsi="Calibri"/>
          <w:sz w:val="22"/>
          <w:szCs w:val="22"/>
        </w:rPr>
        <w:t xml:space="preserve">, a [STATE/JURISDICTION] [ENTITY TYPE], with its principal place of business at [ADDRESS] (</w:t>
      </w:r>
      <w:r>
        <w:rPr>
          <w:rFonts w:ascii="Calibri" w:cs="Calibri" w:eastAsia="Calibri" w:hAnsi="Calibri"/>
          <w:b/>
          <w:bCs/>
          <w:sz w:val="22"/>
          <w:szCs w:val="22"/>
        </w:rPr>
        <w:t xml:space="preserve">"Party A"</w:t>
      </w:r>
      <w:r>
        <w:rPr>
          <w:rFonts w:ascii="Calibri" w:cs="Calibri" w:eastAsia="Calibri" w:hAnsi="Calibri"/>
          <w:sz w:val="22"/>
          <w:szCs w:val="22"/>
        </w:rPr>
        <w:t xml:space="preserve">); and</w:t>
      </w:r>
    </w:p>
    <w:p>
      <w:pPr>
        <w:spacing w:after="80" w:before="0" w:line="240"/>
        <w:jc w:val="both"/>
      </w:pPr>
      <w:r>
        <w:rPr>
          <w:rFonts w:ascii="Calibri" w:cs="Calibri" w:eastAsia="Calibri" w:hAnsi="Calibri"/>
          <w:b/>
          <w:bCs/>
          <w:sz w:val="22"/>
          <w:szCs w:val="22"/>
        </w:rPr>
        <w:t xml:space="preserve">[PARTY B LEGAL NAME]</w:t>
      </w:r>
      <w:r>
        <w:rPr>
          <w:rFonts w:ascii="Calibri" w:cs="Calibri" w:eastAsia="Calibri" w:hAnsi="Calibri"/>
          <w:sz w:val="22"/>
          <w:szCs w:val="22"/>
        </w:rPr>
        <w:t xml:space="preserve">, a [STATE/JURISDICTION] [ENTITY TYPE], with its principal place of business at [ADDRESS] (</w:t>
      </w:r>
      <w:r>
        <w:rPr>
          <w:rFonts w:ascii="Calibri" w:cs="Calibri" w:eastAsia="Calibri" w:hAnsi="Calibri"/>
          <w:b/>
          <w:bCs/>
          <w:sz w:val="22"/>
          <w:szCs w:val="22"/>
        </w:rPr>
        <w:t xml:space="preserve">"Party B"</w:t>
      </w:r>
      <w:r>
        <w:rPr>
          <w:rFonts w:ascii="Calibri" w:cs="Calibri" w:eastAsia="Calibri" w:hAnsi="Calibri"/>
          <w:sz w:val="22"/>
          <w:szCs w:val="22"/>
        </w:rPr>
        <w:t xml:space="preserve">), each a "Party" and collectively the "Parties."</w:t>
      </w:r>
    </w:p>
    <w:p>
      <w:pPr>
        <w:spacing w:after="80" w:before="140" w:line="240"/>
        <w:jc w:val="center"/>
      </w:pPr>
      <w:r>
        <w:rPr>
          <w:rFonts w:ascii="Calibri" w:cs="Calibri" w:eastAsia="Calibri" w:hAnsi="Calibri"/>
          <w:b/>
          <w:bCs/>
          <w:color w:val="1a1a2e"/>
          <w:sz w:val="23"/>
          <w:szCs w:val="23"/>
        </w:rPr>
        <w:t xml:space="preserve">RECITALS</w:t>
      </w:r>
    </w:p>
    <w:p>
      <w:pPr>
        <w:spacing w:after="80" w:before="0" w:line="240"/>
        <w:jc w:val="both"/>
      </w:pPr>
      <w:r>
        <w:rPr>
          <w:rFonts w:ascii="Calibri" w:cs="Calibri" w:eastAsia="Calibri" w:hAnsi="Calibri"/>
          <w:b/>
          <w:bCs/>
          <w:i/>
          <w:iCs/>
          <w:sz w:val="22"/>
          <w:szCs w:val="22"/>
        </w:rPr>
        <w:t xml:space="preserve">WHEREAS</w:t>
      </w:r>
      <w:r>
        <w:rPr>
          <w:rFonts w:ascii="Calibri" w:cs="Calibri" w:eastAsia="Calibri" w:hAnsi="Calibri"/>
          <w:sz w:val="22"/>
          <w:szCs w:val="22"/>
        </w:rPr>
        <w:t xml:space="preserve">, Party A owns certain trademarks, service marks, trade names, logos, and related brand indicia identified on Exhibit A (the "Party A Marks"); and</w:t>
      </w:r>
    </w:p>
    <w:p>
      <w:pPr>
        <w:spacing w:after="80" w:before="0" w:line="240"/>
        <w:jc w:val="both"/>
      </w:pPr>
      <w:r>
        <w:rPr>
          <w:rFonts w:ascii="Calibri" w:cs="Calibri" w:eastAsia="Calibri" w:hAnsi="Calibri"/>
          <w:b/>
          <w:bCs/>
          <w:i/>
          <w:iCs/>
          <w:sz w:val="22"/>
          <w:szCs w:val="22"/>
        </w:rPr>
        <w:t xml:space="preserve">WHEREAS</w:t>
      </w:r>
      <w:r>
        <w:rPr>
          <w:rFonts w:ascii="Calibri" w:cs="Calibri" w:eastAsia="Calibri" w:hAnsi="Calibri"/>
          <w:sz w:val="22"/>
          <w:szCs w:val="22"/>
        </w:rPr>
        <w:t xml:space="preserve">, Party B owns certain trademarks, service marks, trade names, logos, and related brand indicia identified on Exhibit A (the "Party B Marks"); and</w:t>
      </w:r>
    </w:p>
    <w:p>
      <w:pPr>
        <w:spacing w:after="80" w:before="0" w:line="240"/>
        <w:jc w:val="both"/>
      </w:pPr>
      <w:r>
        <w:rPr>
          <w:rFonts w:ascii="Calibri" w:cs="Calibri" w:eastAsia="Calibri" w:hAnsi="Calibri"/>
          <w:b/>
          <w:bCs/>
          <w:i/>
          <w:iCs/>
          <w:sz w:val="22"/>
          <w:szCs w:val="22"/>
        </w:rPr>
        <w:t xml:space="preserve">WHEREAS</w:t>
      </w:r>
      <w:r>
        <w:rPr>
          <w:rFonts w:ascii="Calibri" w:cs="Calibri" w:eastAsia="Calibri" w:hAnsi="Calibri"/>
          <w:sz w:val="22"/>
          <w:szCs w:val="22"/>
        </w:rPr>
        <w:t xml:space="preserve">, the Parties desire to engage in a co-branding collaboration and to grant each other limited, reciprocal licenses to use their respective Marks in connection therewith, subject to the terms herein.</w:t>
      </w:r>
    </w:p>
    <w:p>
      <w:pPr>
        <w:spacing w:after="120" w:before="0" w:line="240"/>
        <w:jc w:val="both"/>
      </w:pPr>
      <w:r>
        <w:rPr>
          <w:rFonts w:ascii="Calibri" w:cs="Calibri" w:eastAsia="Calibri" w:hAnsi="Calibri"/>
          <w:b/>
          <w:bCs/>
          <w:i/>
          <w:iCs/>
          <w:sz w:val="22"/>
          <w:szCs w:val="22"/>
        </w:rPr>
        <w:t xml:space="preserve">NOW, THEREFORE</w:t>
      </w:r>
      <w:r>
        <w:rPr>
          <w:rFonts w:ascii="Calibri" w:cs="Calibri" w:eastAsia="Calibri" w:hAnsi="Calibri"/>
          <w:sz w:val="22"/>
          <w:szCs w:val="22"/>
        </w:rPr>
        <w:t xml:space="preserve">, in consideration of the mutual covenants contained herein and for other good and valuable consideration, the receipt and sufficiency of which are hereby acknowledged, the Parties agree as follows:</w:t>
      </w:r>
    </w:p>
    <w:p>
      <w:pPr>
        <w:spacing w:after="80" w:before="200" w:line="240"/>
        <w:jc w:val="left"/>
      </w:pPr>
      <w:r>
        <w:rPr>
          <w:rFonts w:ascii="Calibri" w:cs="Calibri" w:eastAsia="Calibri" w:hAnsi="Calibri"/>
          <w:b/>
          <w:bCs/>
          <w:color w:val="1a1a2e"/>
          <w:sz w:val="23"/>
          <w:szCs w:val="23"/>
        </w:rPr>
        <w:t xml:space="preserve">1. CO-BRANDED OFFERING AND MARKS</w:t>
      </w:r>
    </w:p>
    <w:p>
      <w:pPr>
        <w:spacing w:after="60" w:before="40" w:line="240"/>
        <w:ind w:left="460"/>
        <w:jc w:val="both"/>
      </w:pPr>
      <w:r>
        <w:rPr>
          <w:rFonts w:ascii="Calibri" w:cs="Calibri" w:eastAsia="Calibri" w:hAnsi="Calibri"/>
          <w:b/>
          <w:bCs/>
          <w:sz w:val="22"/>
          <w:szCs w:val="22"/>
        </w:rPr>
        <w:t xml:space="preserve">1.1 </w:t>
      </w:r>
      <w:r>
        <w:rPr>
          <w:rFonts w:ascii="Calibri" w:cs="Calibri" w:eastAsia="Calibri" w:hAnsi="Calibri"/>
          <w:sz w:val="22"/>
          <w:szCs w:val="22"/>
        </w:rPr>
        <w:t xml:space="preserve">The Parties shall collaborate on the design, development, marketing, distribution, and promotion of [DESCRIPTION OF CO-BRANDED OFFERING/CAMPAIGN] (the "Co-Branded Offering") within the geographic territory and through the distribution channels specified in Exhibit A (the "Territory" and "Approved Channels," respectively).</w:t>
      </w:r>
    </w:p>
    <w:p>
      <w:pPr>
        <w:spacing w:after="60" w:before="40" w:line="240"/>
        <w:ind w:left="460"/>
        <w:jc w:val="both"/>
      </w:pPr>
      <w:r>
        <w:rPr>
          <w:rFonts w:ascii="Calibri" w:cs="Calibri" w:eastAsia="Calibri" w:hAnsi="Calibri"/>
          <w:b/>
          <w:bCs/>
          <w:sz w:val="22"/>
          <w:szCs w:val="22"/>
        </w:rPr>
        <w:t xml:space="preserve">1.2 </w:t>
      </w:r>
      <w:r>
        <w:rPr>
          <w:rFonts w:ascii="Calibri" w:cs="Calibri" w:eastAsia="Calibri" w:hAnsi="Calibri"/>
          <w:sz w:val="22"/>
          <w:szCs w:val="22"/>
        </w:rPr>
        <w:t xml:space="preserve">The trademarks, service marks, trade names, logos, trade dress elements, domain names, social-media handles, and other source identifiers licensed under this Agreement are collectively the "Marks." Party A's Marks and Party B's Marks are each as described in Exhibit A, setting forth for each Mark: (a) registration or application number and jurisdiction; (b) approved forms of use, including minimum size, color specifications, and clear-space requirements; and (c) any restrictions on territory or channel.</w:t>
      </w:r>
    </w:p>
    <w:p>
      <w:pPr>
        <w:spacing w:after="60" w:before="40" w:line="240"/>
        <w:ind w:left="460"/>
        <w:jc w:val="both"/>
      </w:pPr>
      <w:r>
        <w:rPr>
          <w:rFonts w:ascii="Calibri" w:cs="Calibri" w:eastAsia="Calibri" w:hAnsi="Calibri"/>
          <w:b/>
          <w:bCs/>
          <w:sz w:val="22"/>
          <w:szCs w:val="22"/>
        </w:rPr>
        <w:t xml:space="preserve">1.3 </w:t>
      </w:r>
      <w:r>
        <w:rPr>
          <w:rFonts w:ascii="Calibri" w:cs="Calibri" w:eastAsia="Calibri" w:hAnsi="Calibri"/>
          <w:sz w:val="22"/>
          <w:szCs w:val="22"/>
        </w:rPr>
        <w:t xml:space="preserve">If the Parties create a Combined Mark (as defined in Exhibit A) incorporating elements of both Party A Marks and Party B Marks, the Combined Mark shall be subject to the ownership and usage provisions in Section 3.5 and shall not be used independently of the Co-Branded Offering without the other Party's prior written consent.</w:t>
      </w:r>
    </w:p>
    <w:p>
      <w:pPr>
        <w:spacing w:after="60" w:before="40" w:line="240"/>
        <w:ind w:left="460"/>
        <w:jc w:val="both"/>
      </w:pPr>
      <w:r>
        <w:rPr>
          <w:rFonts w:ascii="Calibri" w:cs="Calibri" w:eastAsia="Calibri" w:hAnsi="Calibri"/>
          <w:b/>
          <w:bCs/>
          <w:sz w:val="22"/>
          <w:szCs w:val="22"/>
        </w:rPr>
        <w:t xml:space="preserve">1.4 </w:t>
      </w:r>
      <w:r>
        <w:rPr>
          <w:rFonts w:ascii="Calibri" w:cs="Calibri" w:eastAsia="Calibri" w:hAnsi="Calibri"/>
          <w:sz w:val="22"/>
          <w:szCs w:val="22"/>
        </w:rPr>
        <w:t xml:space="preserve">"Business Day" means any day other than a Saturday, Sunday, or federal holiday in [JURISDICTION]. "Approved Materials" means all marketing collateral, packaging, advertising, digital content, promotional materials, and other materials bearing one or more of the Marks that have been approved in accordance with Section 4.</w:t>
      </w:r>
    </w:p>
    <w:p>
      <w:pPr>
        <w:spacing w:after="80" w:before="200" w:line="240"/>
        <w:jc w:val="left"/>
      </w:pPr>
      <w:r>
        <w:rPr>
          <w:rFonts w:ascii="Calibri" w:cs="Calibri" w:eastAsia="Calibri" w:hAnsi="Calibri"/>
          <w:b/>
          <w:bCs/>
          <w:color w:val="1a1a2e"/>
          <w:sz w:val="23"/>
          <w:szCs w:val="23"/>
        </w:rPr>
        <w:t xml:space="preserve">2. RECIPROCAL LICENSES</w:t>
      </w:r>
    </w:p>
    <w:p>
      <w:pPr>
        <w:spacing w:after="60" w:before="40" w:line="240"/>
        <w:ind w:left="460"/>
        <w:jc w:val="both"/>
      </w:pPr>
      <w:r>
        <w:rPr>
          <w:rFonts w:ascii="Calibri" w:cs="Calibri" w:eastAsia="Calibri" w:hAnsi="Calibri"/>
          <w:b/>
          <w:bCs/>
          <w:sz w:val="22"/>
          <w:szCs w:val="22"/>
        </w:rPr>
        <w:t xml:space="preserve">2.1 </w:t>
      </w:r>
      <w:r>
        <w:rPr>
          <w:rFonts w:ascii="Calibri" w:cs="Calibri" w:eastAsia="Calibri" w:hAnsi="Calibri"/>
          <w:sz w:val="22"/>
          <w:szCs w:val="22"/>
        </w:rPr>
        <w:t xml:space="preserve">Grant to Party B. Party A hereby grants to Party B a limited, nonexclusive, nontransferable, revocable, royalty-free license during the Term to reproduce, display, and distribute the Party A Marks solely in connection with the Co-Branded Offering and solely in Approved Materials within the Territory and through the Approved Channels.</w:t>
      </w:r>
    </w:p>
    <w:p>
      <w:pPr>
        <w:spacing w:after="60" w:before="40" w:line="240"/>
        <w:ind w:left="460"/>
        <w:jc w:val="both"/>
      </w:pPr>
      <w:r>
        <w:rPr>
          <w:rFonts w:ascii="Calibri" w:cs="Calibri" w:eastAsia="Calibri" w:hAnsi="Calibri"/>
          <w:b/>
          <w:bCs/>
          <w:sz w:val="22"/>
          <w:szCs w:val="22"/>
        </w:rPr>
        <w:t xml:space="preserve">2.2 </w:t>
      </w:r>
      <w:r>
        <w:rPr>
          <w:rFonts w:ascii="Calibri" w:cs="Calibri" w:eastAsia="Calibri" w:hAnsi="Calibri"/>
          <w:sz w:val="22"/>
          <w:szCs w:val="22"/>
        </w:rPr>
        <w:t xml:space="preserve">Grant to Party A. Party B hereby grants to Party A a limited, nonexclusive, nontransferable, revocable, royalty-free license during the Term to reproduce, display, and distribute the Party B Marks solely in connection with the Co-Branded Offering and solely in Approved Materials within the Territory and through the Approved Channels.</w:t>
      </w:r>
    </w:p>
    <w:p>
      <w:pPr>
        <w:spacing w:after="60" w:before="40" w:line="240"/>
        <w:ind w:left="460"/>
        <w:jc w:val="both"/>
      </w:pPr>
      <w:r>
        <w:rPr>
          <w:rFonts w:ascii="Calibri" w:cs="Calibri" w:eastAsia="Calibri" w:hAnsi="Calibri"/>
          <w:b/>
          <w:bCs/>
          <w:sz w:val="22"/>
          <w:szCs w:val="22"/>
        </w:rPr>
        <w:t xml:space="preserve">2.3 </w:t>
      </w:r>
      <w:r>
        <w:rPr>
          <w:rFonts w:ascii="Calibri" w:cs="Calibri" w:eastAsia="Calibri" w:hAnsi="Calibri"/>
          <w:sz w:val="22"/>
          <w:szCs w:val="22"/>
        </w:rPr>
        <w:t xml:space="preserve">Sublicensing. Neither Party may sublicense its rights except to: (a) third-party advertising or marketing agencies that have executed written confidentiality and trademark-use agreements no less protective than this Agreement; (b) printers, manufacturers, and fulfillment vendors producing Approved Materials; and (c) digital advertising platforms acting under the sublicensing Party's direct supervision. The sublicensing Party remains fully responsible for all sublicensee acts and omissions.</w:t>
      </w:r>
    </w:p>
    <w:p>
      <w:pPr>
        <w:spacing w:after="60" w:before="40" w:line="240"/>
        <w:ind w:left="460"/>
        <w:jc w:val="both"/>
      </w:pPr>
      <w:r>
        <w:rPr>
          <w:rFonts w:ascii="Calibri" w:cs="Calibri" w:eastAsia="Calibri" w:hAnsi="Calibri"/>
          <w:b/>
          <w:bCs/>
          <w:sz w:val="22"/>
          <w:szCs w:val="22"/>
        </w:rPr>
        <w:t xml:space="preserve">2.4 </w:t>
      </w:r>
      <w:r>
        <w:rPr>
          <w:rFonts w:ascii="Calibri" w:cs="Calibri" w:eastAsia="Calibri" w:hAnsi="Calibri"/>
          <w:sz w:val="22"/>
          <w:szCs w:val="22"/>
        </w:rPr>
        <w:t xml:space="preserve">Reservation of Rights. All rights not expressly granted are reserved by the Mark owner. Nothing herein grants either Party any right, title, or interest in the other Party's Marks except for the limited license expressly set forth. No implied license is granted by estoppel, course of dealing, course of performance, or otherwise.</w:t>
      </w:r>
    </w:p>
    <w:p>
      <w:pPr>
        <w:spacing w:after="80" w:before="200" w:line="240"/>
        <w:jc w:val="left"/>
      </w:pPr>
      <w:r>
        <w:rPr>
          <w:rFonts w:ascii="Calibri" w:cs="Calibri" w:eastAsia="Calibri" w:hAnsi="Calibri"/>
          <w:b/>
          <w:bCs/>
          <w:color w:val="1a1a2e"/>
          <w:sz w:val="23"/>
          <w:szCs w:val="23"/>
        </w:rPr>
        <w:t xml:space="preserve">3. OWNERSHIP AND GOODWILL</w:t>
      </w:r>
    </w:p>
    <w:p>
      <w:pPr>
        <w:spacing w:after="60" w:before="40" w:line="240"/>
        <w:ind w:left="460"/>
        <w:jc w:val="both"/>
      </w:pPr>
      <w:r>
        <w:rPr>
          <w:rFonts w:ascii="Calibri" w:cs="Calibri" w:eastAsia="Calibri" w:hAnsi="Calibri"/>
          <w:b/>
          <w:bCs/>
          <w:sz w:val="22"/>
          <w:szCs w:val="22"/>
        </w:rPr>
        <w:t xml:space="preserve">3.1 </w:t>
      </w:r>
      <w:r>
        <w:rPr>
          <w:rFonts w:ascii="Calibri" w:cs="Calibri" w:eastAsia="Calibri" w:hAnsi="Calibri"/>
          <w:sz w:val="22"/>
          <w:szCs w:val="22"/>
        </w:rPr>
        <w:t xml:space="preserve">Each Party retains all right, title, and interest in and to its own Marks, including all registrations, applications, and common-law rights. Each Party acknowledges that its use of the other Party's Marks shall inure to the benefit of, and be on behalf of, the owner of such Marks.</w:t>
      </w:r>
    </w:p>
    <w:p>
      <w:pPr>
        <w:spacing w:after="60" w:before="40" w:line="240"/>
        <w:ind w:left="460"/>
        <w:jc w:val="both"/>
      </w:pPr>
      <w:r>
        <w:rPr>
          <w:rFonts w:ascii="Calibri" w:cs="Calibri" w:eastAsia="Calibri" w:hAnsi="Calibri"/>
          <w:b/>
          <w:bCs/>
          <w:sz w:val="22"/>
          <w:szCs w:val="22"/>
        </w:rPr>
        <w:t xml:space="preserve">3.2 </w:t>
      </w:r>
      <w:r>
        <w:rPr>
          <w:rFonts w:ascii="Calibri" w:cs="Calibri" w:eastAsia="Calibri" w:hAnsi="Calibri"/>
          <w:sz w:val="22"/>
          <w:szCs w:val="22"/>
        </w:rPr>
        <w:t xml:space="preserve">All goodwill arising from either Party's use of the other Party's Marks under this Agreement shall inure exclusively to the benefit of the Mark owner. Upon termination, the licensee shall not claim any interest in goodwill associated with the licensor's Marks.</w:t>
      </w:r>
    </w:p>
    <w:p>
      <w:pPr>
        <w:spacing w:after="60" w:before="40" w:line="240"/>
        <w:ind w:left="460"/>
        <w:jc w:val="both"/>
      </w:pPr>
      <w:r>
        <w:rPr>
          <w:rFonts w:ascii="Calibri" w:cs="Calibri" w:eastAsia="Calibri" w:hAnsi="Calibri"/>
          <w:b/>
          <w:bCs/>
          <w:sz w:val="22"/>
          <w:szCs w:val="22"/>
        </w:rPr>
        <w:t xml:space="preserve">3.3 </w:t>
      </w:r>
      <w:r>
        <w:rPr>
          <w:rFonts w:ascii="Calibri" w:cs="Calibri" w:eastAsia="Calibri" w:hAnsi="Calibri"/>
          <w:sz w:val="22"/>
          <w:szCs w:val="22"/>
        </w:rPr>
        <w:t xml:space="preserve">During the Term and for [TWO (2)] years thereafter, neither Party shall: (a) challenge the validity, enforceability, or ownership of any of the other Party's Marks; (b) file any application to register any trademark, domain name, or social-media handle identical to, confusingly similar to, or dilutive of the other Party's Marks; or (c) assist any third party in the foregoing.</w:t>
      </w:r>
    </w:p>
    <w:p>
      <w:pPr>
        <w:spacing w:after="60" w:before="40" w:line="240"/>
        <w:ind w:left="460"/>
        <w:jc w:val="both"/>
      </w:pPr>
      <w:r>
        <w:rPr>
          <w:rFonts w:ascii="Calibri" w:cs="Calibri" w:eastAsia="Calibri" w:hAnsi="Calibri"/>
          <w:b/>
          <w:bCs/>
          <w:sz w:val="22"/>
          <w:szCs w:val="22"/>
        </w:rPr>
        <w:t xml:space="preserve">3.4 </w:t>
      </w:r>
      <w:r>
        <w:rPr>
          <w:rFonts w:ascii="Calibri" w:cs="Calibri" w:eastAsia="Calibri" w:hAnsi="Calibri"/>
          <w:sz w:val="22"/>
          <w:szCs w:val="22"/>
        </w:rPr>
        <w:t xml:space="preserve">Copyright ownership of creative assets developed in connection with the Co-Branded Offering shall be governed by Exhibit B. Copyright ownership of a creative asset does not transfer or convey any trademark ownership in the Marks depicted within such asset.</w:t>
      </w:r>
    </w:p>
    <w:p>
      <w:pPr>
        <w:spacing w:after="60" w:before="40" w:line="240"/>
        <w:ind w:left="460"/>
        <w:jc w:val="both"/>
      </w:pPr>
      <w:r>
        <w:rPr>
          <w:rFonts w:ascii="Calibri" w:cs="Calibri" w:eastAsia="Calibri" w:hAnsi="Calibri"/>
          <w:b/>
          <w:bCs/>
          <w:sz w:val="22"/>
          <w:szCs w:val="22"/>
        </w:rPr>
        <w:t xml:space="preserve">3.5 </w:t>
      </w:r>
      <w:r>
        <w:rPr>
          <w:rFonts w:ascii="Calibri" w:cs="Calibri" w:eastAsia="Calibri" w:hAnsi="Calibri"/>
          <w:sz w:val="22"/>
          <w:szCs w:val="22"/>
        </w:rPr>
        <w:t xml:space="preserve">If the Parties develop a Combined Mark per Section 1.3, ownership shall be jointly held unless otherwise specified in a separate written agreement. Neither Party shall license, assign, or transfer its interest in the Combined Mark without the other's prior written consent. Upon termination, neither Party shall continue to use the Combined Mark absent a separate license agreement.</w:t>
      </w:r>
    </w:p>
    <w:p>
      <w:pPr>
        <w:spacing w:after="80" w:before="200" w:line="240"/>
        <w:jc w:val="left"/>
      </w:pPr>
      <w:r>
        <w:rPr>
          <w:rFonts w:ascii="Calibri" w:cs="Calibri" w:eastAsia="Calibri" w:hAnsi="Calibri"/>
          <w:b/>
          <w:bCs/>
          <w:color w:val="1a1a2e"/>
          <w:sz w:val="23"/>
          <w:szCs w:val="23"/>
        </w:rPr>
        <w:t xml:space="preserve">4. GUIDELINES AND APPROVALS</w:t>
      </w:r>
    </w:p>
    <w:p>
      <w:pPr>
        <w:spacing w:after="60" w:before="40" w:line="240"/>
        <w:ind w:left="460"/>
        <w:jc w:val="both"/>
      </w:pPr>
      <w:r>
        <w:rPr>
          <w:rFonts w:ascii="Calibri" w:cs="Calibri" w:eastAsia="Calibri" w:hAnsi="Calibri"/>
          <w:b/>
          <w:bCs/>
          <w:sz w:val="22"/>
          <w:szCs w:val="22"/>
        </w:rPr>
        <w:t xml:space="preserve">4.1 </w:t>
      </w:r>
      <w:r>
        <w:rPr>
          <w:rFonts w:ascii="Calibri" w:cs="Calibri" w:eastAsia="Calibri" w:hAnsi="Calibri"/>
          <w:sz w:val="22"/>
          <w:szCs w:val="22"/>
        </w:rPr>
        <w:t xml:space="preserve">Each Party shall use the other Party's Marks in strict compliance with the brand guidelines attached as Exhibit C, as updated by the Mark owner from time to time upon [THIRTY (30)] days' prior written notice, including minimum size, color specifications (Pantone, CMYK, RGB, hex), clear-space requirements, prohibited modifications, and placement hierarchy.</w:t>
      </w:r>
    </w:p>
    <w:p>
      <w:pPr>
        <w:spacing w:after="60" w:before="40" w:line="240"/>
        <w:ind w:left="460"/>
        <w:jc w:val="both"/>
      </w:pPr>
      <w:r>
        <w:rPr>
          <w:rFonts w:ascii="Calibri" w:cs="Calibri" w:eastAsia="Calibri" w:hAnsi="Calibri"/>
          <w:b/>
          <w:bCs/>
          <w:sz w:val="22"/>
          <w:szCs w:val="22"/>
        </w:rPr>
        <w:t xml:space="preserve">4.2 </w:t>
      </w:r>
      <w:r>
        <w:rPr>
          <w:rFonts w:ascii="Calibri" w:cs="Calibri" w:eastAsia="Calibri" w:hAnsi="Calibri"/>
          <w:sz w:val="22"/>
          <w:szCs w:val="22"/>
        </w:rPr>
        <w:t xml:space="preserve">Prior to any first use or material modification of Approved Materials, the preparing Party shall submit complete specimens (final artwork, copy, and layout) to the other Party for approval. The reviewing Party shall approve or provide specific written objections within [FIVE (5)] Business Days (the "Review Period"). Failure to respond within the Review Period shall constitute disapproval.</w:t>
      </w:r>
    </w:p>
    <w:p>
      <w:pPr>
        <w:spacing w:after="60" w:before="40" w:line="240"/>
        <w:ind w:left="460"/>
        <w:jc w:val="both"/>
      </w:pPr>
      <w:r>
        <w:rPr>
          <w:rFonts w:ascii="Calibri" w:cs="Calibri" w:eastAsia="Calibri" w:hAnsi="Calibri"/>
          <w:b/>
          <w:bCs/>
          <w:sz w:val="22"/>
          <w:szCs w:val="22"/>
        </w:rPr>
        <w:t xml:space="preserve">4.3 </w:t>
      </w:r>
      <w:r>
        <w:rPr>
          <w:rFonts w:ascii="Calibri" w:cs="Calibri" w:eastAsia="Calibri" w:hAnsi="Calibri"/>
          <w:sz w:val="22"/>
          <w:szCs w:val="22"/>
        </w:rPr>
        <w:t xml:space="preserve">If the reviewing Party objects, it shall describe the basis and suggest corrections where practicable. Materials shall not be used until written approval is received. The Mark owner may require immediate correction or withdrawal of any nonconforming use at the other Party's sole cost within [THREE (3)] Business Days.</w:t>
      </w:r>
    </w:p>
    <w:p>
      <w:pPr>
        <w:spacing w:after="80" w:before="200" w:line="240"/>
        <w:jc w:val="left"/>
      </w:pPr>
      <w:r>
        <w:rPr>
          <w:rFonts w:ascii="Calibri" w:cs="Calibri" w:eastAsia="Calibri" w:hAnsi="Calibri"/>
          <w:b/>
          <w:bCs/>
          <w:color w:val="1a1a2e"/>
          <w:sz w:val="23"/>
          <w:szCs w:val="23"/>
        </w:rPr>
        <w:t xml:space="preserve">5. QUALITY CONTROL</w:t>
      </w:r>
    </w:p>
    <w:p>
      <w:pPr>
        <w:spacing w:after="60" w:before="40" w:line="240"/>
        <w:ind w:left="460"/>
        <w:jc w:val="both"/>
      </w:pPr>
      <w:r>
        <w:rPr>
          <w:rFonts w:ascii="Calibri" w:cs="Calibri" w:eastAsia="Calibri" w:hAnsi="Calibri"/>
          <w:b/>
          <w:bCs/>
          <w:sz w:val="22"/>
          <w:szCs w:val="22"/>
        </w:rPr>
        <w:t xml:space="preserve">5.1 </w:t>
      </w:r>
      <w:r>
        <w:rPr>
          <w:rFonts w:ascii="Calibri" w:cs="Calibri" w:eastAsia="Calibri" w:hAnsi="Calibri"/>
          <w:sz w:val="22"/>
          <w:szCs w:val="22"/>
        </w:rPr>
        <w:t xml:space="preserve">Each Party shall maintain the quality of all products, services, and advertising associated with the other Party's Marks at a level at least equal to the standards in Exhibit D and consistent with the standards maintained by the Mark owner for its own offerings. Neither Party shall take any action that could diminish, tarnish, or adversely affect the reputation, image, or goodwill associated with the other Party's Marks.</w:t>
      </w:r>
    </w:p>
    <w:p>
      <w:pPr>
        <w:spacing w:after="60" w:before="40" w:line="240"/>
        <w:ind w:left="460"/>
        <w:jc w:val="both"/>
      </w:pPr>
      <w:r>
        <w:rPr>
          <w:rFonts w:ascii="Calibri" w:cs="Calibri" w:eastAsia="Calibri" w:hAnsi="Calibri"/>
          <w:b/>
          <w:bCs/>
          <w:sz w:val="22"/>
          <w:szCs w:val="22"/>
        </w:rPr>
        <w:t xml:space="preserve">5.2 </w:t>
      </w:r>
      <w:r>
        <w:rPr>
          <w:rFonts w:ascii="Calibri" w:cs="Calibri" w:eastAsia="Calibri" w:hAnsi="Calibri"/>
          <w:sz w:val="22"/>
          <w:szCs w:val="22"/>
        </w:rPr>
        <w:t xml:space="preserve">Upon reasonable written request (not more than [ONCE PER CALENDAR QUARTER]), each licensee shall provide the Mark owner with: (a) representative samples of products and materials bearing the Marks; (b) summaries of consumer complaints related thereto; (c) records of corrective actions; and (d) certifications of compliance with applicable laws including consumer protection, advertising, labeling, and product safety.</w:t>
      </w:r>
    </w:p>
    <w:p>
      <w:pPr>
        <w:spacing w:after="60" w:before="40" w:line="240"/>
        <w:ind w:left="460"/>
        <w:jc w:val="both"/>
      </w:pPr>
      <w:r>
        <w:rPr>
          <w:rFonts w:ascii="Calibri" w:cs="Calibri" w:eastAsia="Calibri" w:hAnsi="Calibri"/>
          <w:b/>
          <w:bCs/>
          <w:sz w:val="22"/>
          <w:szCs w:val="22"/>
        </w:rPr>
        <w:t xml:space="preserve">5.3 </w:t>
      </w:r>
      <w:r>
        <w:rPr>
          <w:rFonts w:ascii="Calibri" w:cs="Calibri" w:eastAsia="Calibri" w:hAnsi="Calibri"/>
          <w:sz w:val="22"/>
          <w:szCs w:val="22"/>
        </w:rPr>
        <w:t xml:space="preserve">The Mark owner may immediately suspend the licensee's right to use the Marks upon written notice (including email) if it reasonably determines that the licensee's use: (a) poses an imminent risk to consumer health or safety; (b) is illegal or violates applicable law; (c) is deceptive or misleading; or (d) poses an imminent and material risk of reputational harm. Suspension remains in effect until the condition is cured to the Mark owner's reasonable satisfaction.</w:t>
      </w:r>
    </w:p>
    <w:p>
      <w:pPr>
        <w:spacing w:after="80" w:before="200" w:line="240"/>
        <w:jc w:val="left"/>
      </w:pPr>
      <w:r>
        <w:rPr>
          <w:rFonts w:ascii="Calibri" w:cs="Calibri" w:eastAsia="Calibri" w:hAnsi="Calibri"/>
          <w:b/>
          <w:bCs/>
          <w:color w:val="1a1a2e"/>
          <w:sz w:val="23"/>
          <w:szCs w:val="23"/>
        </w:rPr>
        <w:t xml:space="preserve">6. REGISTRATION AND ENFORCEMENT</w:t>
      </w:r>
    </w:p>
    <w:p>
      <w:pPr>
        <w:spacing w:after="60" w:before="40" w:line="240"/>
        <w:ind w:left="460"/>
        <w:jc w:val="both"/>
      </w:pPr>
      <w:r>
        <w:rPr>
          <w:rFonts w:ascii="Calibri" w:cs="Calibri" w:eastAsia="Calibri" w:hAnsi="Calibri"/>
          <w:b/>
          <w:bCs/>
          <w:sz w:val="22"/>
          <w:szCs w:val="22"/>
        </w:rPr>
        <w:t xml:space="preserve">6.1 </w:t>
      </w:r>
      <w:r>
        <w:rPr>
          <w:rFonts w:ascii="Calibri" w:cs="Calibri" w:eastAsia="Calibri" w:hAnsi="Calibri"/>
          <w:sz w:val="22"/>
          <w:szCs w:val="22"/>
        </w:rPr>
        <w:t xml:space="preserve">Each Party shall, at its own cost, be solely responsible for filing, prosecuting, maintaining, and renewing all registrations of its own Marks. Neither Party shall file any application to register the other's Marks or the Combined Mark without prior written consent.</w:t>
      </w:r>
    </w:p>
    <w:p>
      <w:pPr>
        <w:spacing w:after="60" w:before="40" w:line="240"/>
        <w:ind w:left="460"/>
        <w:jc w:val="both"/>
      </w:pPr>
      <w:r>
        <w:rPr>
          <w:rFonts w:ascii="Calibri" w:cs="Calibri" w:eastAsia="Calibri" w:hAnsi="Calibri"/>
          <w:b/>
          <w:bCs/>
          <w:sz w:val="22"/>
          <w:szCs w:val="22"/>
        </w:rPr>
        <w:t xml:space="preserve">6.2 </w:t>
      </w:r>
      <w:r>
        <w:rPr>
          <w:rFonts w:ascii="Calibri" w:cs="Calibri" w:eastAsia="Calibri" w:hAnsi="Calibri"/>
          <w:sz w:val="22"/>
          <w:szCs w:val="22"/>
        </w:rPr>
        <w:t xml:space="preserve">Each Party shall promptly notify the other in writing of any known or suspected: (a) infringement, dilution, or unauthorized use of the other's Marks; (b) claim that the Co-Branded Offering infringes third-party rights; or (c) legal proceeding, demand, or governmental inquiry relating to the Marks.</w:t>
      </w:r>
    </w:p>
    <w:p>
      <w:pPr>
        <w:spacing w:after="60" w:before="40" w:line="240"/>
        <w:ind w:left="460"/>
        <w:jc w:val="both"/>
      </w:pPr>
      <w:r>
        <w:rPr>
          <w:rFonts w:ascii="Calibri" w:cs="Calibri" w:eastAsia="Calibri" w:hAnsi="Calibri"/>
          <w:b/>
          <w:bCs/>
          <w:sz w:val="22"/>
          <w:szCs w:val="22"/>
        </w:rPr>
        <w:t xml:space="preserve">6.3 </w:t>
      </w:r>
      <w:r>
        <w:rPr>
          <w:rFonts w:ascii="Calibri" w:cs="Calibri" w:eastAsia="Calibri" w:hAnsi="Calibri"/>
          <w:sz w:val="22"/>
          <w:szCs w:val="22"/>
        </w:rPr>
        <w:t xml:space="preserve">Each Mark owner has the sole right and discretion to enforce its own Marks, including selection of counsel and control of proceedings. Before initiating any enforcement action relating to the Co-Branded Offering, the owner shall consult the other Party in good faith. The non-owning Party shall cooperate at the owner's cost.</w:t>
      </w:r>
    </w:p>
    <w:p>
      <w:pPr>
        <w:spacing w:after="60" w:before="40" w:line="240"/>
        <w:ind w:left="460"/>
        <w:jc w:val="both"/>
      </w:pPr>
      <w:r>
        <w:rPr>
          <w:rFonts w:ascii="Calibri" w:cs="Calibri" w:eastAsia="Calibri" w:hAnsi="Calibri"/>
          <w:b/>
          <w:bCs/>
          <w:sz w:val="22"/>
          <w:szCs w:val="22"/>
        </w:rPr>
        <w:t xml:space="preserve">6.4 </w:t>
      </w:r>
      <w:r>
        <w:rPr>
          <w:rFonts w:ascii="Calibri" w:cs="Calibri" w:eastAsia="Calibri" w:hAnsi="Calibri"/>
          <w:sz w:val="22"/>
          <w:szCs w:val="22"/>
        </w:rPr>
        <w:t xml:space="preserve">Neither Party shall enter into any settlement that: (a) imposes obligations on the other Party without consent; (b) admits invalidity or non-ownership of any of the other's Marks; or (c) grants third-party rights in the other's Marks, without prior written consent.</w:t>
      </w:r>
    </w:p>
    <w:p>
      <w:pPr>
        <w:spacing w:after="80" w:before="200" w:line="240"/>
        <w:jc w:val="left"/>
      </w:pPr>
      <w:r>
        <w:rPr>
          <w:rFonts w:ascii="Calibri" w:cs="Calibri" w:eastAsia="Calibri" w:hAnsi="Calibri"/>
          <w:b/>
          <w:bCs/>
          <w:color w:val="1a1a2e"/>
          <w:sz w:val="23"/>
          <w:szCs w:val="23"/>
        </w:rPr>
        <w:t xml:space="preserve">7. MARKETING AND LEGAL COMPLIANCE</w:t>
      </w:r>
    </w:p>
    <w:p>
      <w:pPr>
        <w:spacing w:after="60" w:before="40" w:line="240"/>
        <w:ind w:left="460"/>
        <w:jc w:val="both"/>
      </w:pPr>
      <w:r>
        <w:rPr>
          <w:rFonts w:ascii="Calibri" w:cs="Calibri" w:eastAsia="Calibri" w:hAnsi="Calibri"/>
          <w:b/>
          <w:bCs/>
          <w:sz w:val="22"/>
          <w:szCs w:val="22"/>
        </w:rPr>
        <w:t xml:space="preserve">7.1 </w:t>
      </w:r>
      <w:r>
        <w:rPr>
          <w:rFonts w:ascii="Calibri" w:cs="Calibri" w:eastAsia="Calibri" w:hAnsi="Calibri"/>
          <w:sz w:val="22"/>
          <w:szCs w:val="22"/>
        </w:rPr>
        <w:t xml:space="preserve">Each Party is solely responsible for accuracy, truthfulness, and substantiation of all claims about its own products and services in connection with the Co-Branded Offering, including compliance with FTC guidelines, state consumer-protection laws, and industry advertising standards.</w:t>
      </w:r>
    </w:p>
    <w:p>
      <w:pPr>
        <w:spacing w:after="60" w:before="40" w:line="240"/>
        <w:ind w:left="460"/>
        <w:jc w:val="both"/>
      </w:pPr>
      <w:r>
        <w:rPr>
          <w:rFonts w:ascii="Calibri" w:cs="Calibri" w:eastAsia="Calibri" w:hAnsi="Calibri"/>
          <w:b/>
          <w:bCs/>
          <w:sz w:val="22"/>
          <w:szCs w:val="22"/>
        </w:rPr>
        <w:t xml:space="preserve">7.2 </w:t>
      </w:r>
      <w:r>
        <w:rPr>
          <w:rFonts w:ascii="Calibri" w:cs="Calibri" w:eastAsia="Calibri" w:hAnsi="Calibri"/>
          <w:sz w:val="22"/>
          <w:szCs w:val="22"/>
        </w:rPr>
        <w:t xml:space="preserve">Any advertising claim relating to both Parties' products or implying endorsement beyond the scope of this Agreement (a "Joint Claim") requires prior written approval of both Parties. Each Party shall provide substantiation for its portion of any Joint Claim upon request.</w:t>
      </w:r>
    </w:p>
    <w:p>
      <w:pPr>
        <w:spacing w:after="60" w:before="40" w:line="240"/>
        <w:ind w:left="460"/>
        <w:jc w:val="both"/>
      </w:pPr>
      <w:r>
        <w:rPr>
          <w:rFonts w:ascii="Calibri" w:cs="Calibri" w:eastAsia="Calibri" w:hAnsi="Calibri"/>
          <w:b/>
          <w:bCs/>
          <w:sz w:val="22"/>
          <w:szCs w:val="22"/>
        </w:rPr>
        <w:t xml:space="preserve">7.3 </w:t>
      </w:r>
      <w:r>
        <w:rPr>
          <w:rFonts w:ascii="Calibri" w:cs="Calibri" w:eastAsia="Calibri" w:hAnsi="Calibri"/>
          <w:sz w:val="22"/>
          <w:szCs w:val="22"/>
        </w:rPr>
        <w:t xml:space="preserve">Neither Party shall issue any press release, public statement, or social-media post regarding this Agreement without the other's prior written approval, except as required by law or securities-exchange rules, with reasonable advance notice and opportunity to comment.</w:t>
      </w:r>
    </w:p>
    <w:p>
      <w:pPr>
        <w:spacing w:after="60" w:before="40" w:line="240"/>
        <w:ind w:left="460"/>
        <w:jc w:val="both"/>
      </w:pPr>
      <w:r>
        <w:rPr>
          <w:rFonts w:ascii="Calibri" w:cs="Calibri" w:eastAsia="Calibri" w:hAnsi="Calibri"/>
          <w:b/>
          <w:bCs/>
          <w:sz w:val="22"/>
          <w:szCs w:val="22"/>
        </w:rPr>
        <w:t xml:space="preserve">7.4 </w:t>
      </w:r>
      <w:r>
        <w:rPr>
          <w:rFonts w:ascii="Calibri" w:cs="Calibri" w:eastAsia="Calibri" w:hAnsi="Calibri"/>
          <w:sz w:val="22"/>
          <w:szCs w:val="22"/>
        </w:rPr>
        <w:t xml:space="preserve">Each Party shall comply with all applicable laws, including the Lanham Act, FTC Act, CAN-SPAM Act, applicable state consumer-protection statutes, and applicable data privacy laws (including GDPR, CCPA, and their implementing regulations).</w:t>
      </w:r>
    </w:p>
    <w:p>
      <w:pPr>
        <w:spacing w:after="80" w:before="200" w:line="240"/>
        <w:jc w:val="left"/>
      </w:pPr>
      <w:r>
        <w:rPr>
          <w:rFonts w:ascii="Calibri" w:cs="Calibri" w:eastAsia="Calibri" w:hAnsi="Calibri"/>
          <w:b/>
          <w:bCs/>
          <w:color w:val="1a1a2e"/>
          <w:sz w:val="23"/>
          <w:szCs w:val="23"/>
        </w:rPr>
        <w:t xml:space="preserve">8. WARRANTIES AND INDEMNITY</w:t>
      </w:r>
    </w:p>
    <w:p>
      <w:pPr>
        <w:spacing w:after="60" w:before="40" w:line="240"/>
        <w:ind w:left="460"/>
        <w:jc w:val="both"/>
      </w:pPr>
      <w:r>
        <w:rPr>
          <w:rFonts w:ascii="Calibri" w:cs="Calibri" w:eastAsia="Calibri" w:hAnsi="Calibri"/>
          <w:b/>
          <w:bCs/>
          <w:sz w:val="22"/>
          <w:szCs w:val="22"/>
        </w:rPr>
        <w:t xml:space="preserve">8.1 </w:t>
      </w:r>
      <w:r>
        <w:rPr>
          <w:rFonts w:ascii="Calibri" w:cs="Calibri" w:eastAsia="Calibri" w:hAnsi="Calibri"/>
          <w:sz w:val="22"/>
          <w:szCs w:val="22"/>
        </w:rPr>
        <w:t xml:space="preserve">Each Party represents and warrants that: (a) it has full power and authority to enter into this Agreement and grant the licenses herein; (b) performance will not violate any existing obligation; (c) it owns or is authorized to license its Marks and, to its knowledge, such Marks do not infringe third-party rights; and (d) it shall comply with all applicable laws.</w:t>
      </w:r>
    </w:p>
    <w:p>
      <w:pPr>
        <w:spacing w:after="60" w:before="40" w:line="240"/>
        <w:ind w:left="460"/>
        <w:jc w:val="both"/>
      </w:pPr>
      <w:r>
        <w:rPr>
          <w:rFonts w:ascii="Calibri" w:cs="Calibri" w:eastAsia="Calibri" w:hAnsi="Calibri"/>
          <w:b/>
          <w:bCs/>
          <w:sz w:val="22"/>
          <w:szCs w:val="22"/>
        </w:rPr>
        <w:t xml:space="preserve">8.2 </w:t>
      </w:r>
      <w:r>
        <w:rPr>
          <w:rFonts w:ascii="Calibri" w:cs="Calibri" w:eastAsia="Calibri" w:hAnsi="Calibri"/>
          <w:sz w:val="22"/>
          <w:szCs w:val="22"/>
        </w:rPr>
        <w:t xml:space="preserve">Each Party (as "Indemnifying Party") shall defend, indemnify, and hold harmless the other Party, its affiliates, and their respective officers, directors, employees, agents, successors, and assigns from and against all claims, losses, damages, liabilities, costs, and expenses (including reasonable attorneys' fees) arising from: (a) breach of the Indemnifying Party's representations, warranties, or obligations; (b) claims that its Marks infringe third-party IP rights; (c) defects in its products or services; (d) its negligent or wrongful acts or omissions; or (e) its unauthorized use of the other Party's Marks.</w:t>
      </w:r>
    </w:p>
    <w:p>
      <w:pPr>
        <w:spacing w:after="60" w:before="40" w:line="240"/>
        <w:ind w:left="460"/>
        <w:jc w:val="both"/>
      </w:pPr>
      <w:r>
        <w:rPr>
          <w:rFonts w:ascii="Calibri" w:cs="Calibri" w:eastAsia="Calibri" w:hAnsi="Calibri"/>
          <w:b/>
          <w:bCs/>
          <w:sz w:val="22"/>
          <w:szCs w:val="22"/>
        </w:rPr>
        <w:t xml:space="preserve">8.3 </w:t>
      </w:r>
      <w:r>
        <w:rPr>
          <w:rFonts w:ascii="Calibri" w:cs="Calibri" w:eastAsia="Calibri" w:hAnsi="Calibri"/>
          <w:sz w:val="22"/>
          <w:szCs w:val="22"/>
        </w:rPr>
        <w:t xml:space="preserve">The indemnifying Party shall control the defense using counsel reasonably acceptable to the indemnified Party. The indemnified Party shall: (a) provide prompt written notice (failure not relieving obligations except to the extent of material prejudice); (b) cooperate at the indemnifying Party's cost; and (c) not settle without the indemnifying Party's consent. The indemnified Party may participate with its own counsel at its own expense.</w:t>
      </w:r>
    </w:p>
    <w:p>
      <w:pPr>
        <w:spacing w:after="80" w:before="200" w:line="240"/>
        <w:jc w:val="left"/>
      </w:pPr>
      <w:r>
        <w:rPr>
          <w:rFonts w:ascii="Calibri" w:cs="Calibri" w:eastAsia="Calibri" w:hAnsi="Calibri"/>
          <w:b/>
          <w:bCs/>
          <w:color w:val="1a1a2e"/>
          <w:sz w:val="23"/>
          <w:szCs w:val="23"/>
        </w:rPr>
        <w:t xml:space="preserve">9. LIABILITY</w:t>
      </w:r>
    </w:p>
    <w:p>
      <w:pPr>
        <w:spacing w:after="60" w:before="40" w:line="240"/>
        <w:ind w:left="460"/>
        <w:jc w:val="both"/>
      </w:pPr>
      <w:r>
        <w:rPr>
          <w:rFonts w:ascii="Calibri" w:cs="Calibri" w:eastAsia="Calibri" w:hAnsi="Calibri"/>
          <w:b/>
          <w:bCs/>
          <w:sz w:val="22"/>
          <w:szCs w:val="22"/>
        </w:rPr>
        <w:t xml:space="preserve">9.1 </w:t>
      </w:r>
      <w:r>
        <w:rPr>
          <w:rFonts w:ascii="Calibri" w:cs="Calibri" w:eastAsia="Calibri" w:hAnsi="Calibri"/>
          <w:sz w:val="22"/>
          <w:szCs w:val="22"/>
        </w:rPr>
        <w:t xml:space="preserve">TO THE MAXIMUM EXTENT PERMITTED BY LAW, NEITHER PARTY SHALL BE LIABLE FOR ANY INDIRECT, INCIDENTAL, SPECIAL, CONSEQUENTIAL, PUNITIVE, OR EXEMPLARY DAMAGES, INCLUDING LOSS OF PROFITS, REVENUE, GOODWILL, OR DATA, REGARDLESS OF THEORY OF LIABILITY OR WHETHER ADVISED OF THE POSSIBILITY OF SUCH DAMAGES.</w:t>
      </w:r>
    </w:p>
    <w:p>
      <w:pPr>
        <w:spacing w:after="60" w:before="40" w:line="240"/>
        <w:ind w:left="460"/>
        <w:jc w:val="both"/>
      </w:pPr>
      <w:r>
        <w:rPr>
          <w:rFonts w:ascii="Calibri" w:cs="Calibri" w:eastAsia="Calibri" w:hAnsi="Calibri"/>
          <w:b/>
          <w:bCs/>
          <w:sz w:val="22"/>
          <w:szCs w:val="22"/>
        </w:rPr>
        <w:t xml:space="preserve">9.2 </w:t>
      </w:r>
      <w:r>
        <w:rPr>
          <w:rFonts w:ascii="Calibri" w:cs="Calibri" w:eastAsia="Calibri" w:hAnsi="Calibri"/>
          <w:sz w:val="22"/>
          <w:szCs w:val="22"/>
        </w:rPr>
        <w:t xml:space="preserve">EACH PARTY'S TOTAL AGGREGATE LIABILITY SHALL NOT EXCEED [AMOUNT/FEES PAID OR PAYABLE DURING THE TWELVE (12) MONTHS PRECEDING THE CLAIM].</w:t>
      </w:r>
    </w:p>
    <w:p>
      <w:pPr>
        <w:spacing w:after="60" w:before="40" w:line="240"/>
        <w:ind w:left="460"/>
        <w:jc w:val="both"/>
      </w:pPr>
      <w:r>
        <w:rPr>
          <w:rFonts w:ascii="Calibri" w:cs="Calibri" w:eastAsia="Calibri" w:hAnsi="Calibri"/>
          <w:b/>
          <w:bCs/>
          <w:sz w:val="22"/>
          <w:szCs w:val="22"/>
        </w:rPr>
        <w:t xml:space="preserve">9.3 </w:t>
      </w:r>
      <w:r>
        <w:rPr>
          <w:rFonts w:ascii="Calibri" w:cs="Calibri" w:eastAsia="Calibri" w:hAnsi="Calibri"/>
          <w:sz w:val="22"/>
          <w:szCs w:val="22"/>
        </w:rPr>
        <w:t xml:space="preserve">Sections 9.1 and 9.2 shall not apply to: (a) unauthorized Mark use outside the license scope; (b) breach of confidentiality obligations under Section 11.2; (c) indemnification obligations under Section 8; or (d) gross negligence, willful misconduct, or fraud.</w:t>
      </w:r>
    </w:p>
    <w:p>
      <w:pPr>
        <w:spacing w:after="80" w:before="200" w:line="240"/>
        <w:jc w:val="left"/>
      </w:pPr>
      <w:r>
        <w:rPr>
          <w:rFonts w:ascii="Calibri" w:cs="Calibri" w:eastAsia="Calibri" w:hAnsi="Calibri"/>
          <w:b/>
          <w:bCs/>
          <w:color w:val="1a1a2e"/>
          <w:sz w:val="23"/>
          <w:szCs w:val="23"/>
        </w:rPr>
        <w:t xml:space="preserve">10. TERMINATION AND WIND-DOWN</w:t>
      </w:r>
    </w:p>
    <w:p>
      <w:pPr>
        <w:spacing w:after="60" w:before="40" w:line="240"/>
        <w:ind w:left="460"/>
        <w:jc w:val="both"/>
      </w:pPr>
      <w:r>
        <w:rPr>
          <w:rFonts w:ascii="Calibri" w:cs="Calibri" w:eastAsia="Calibri" w:hAnsi="Calibri"/>
          <w:b/>
          <w:bCs/>
          <w:sz w:val="22"/>
          <w:szCs w:val="22"/>
        </w:rPr>
        <w:t xml:space="preserve">10.1 </w:t>
      </w:r>
      <w:r>
        <w:rPr>
          <w:rFonts w:ascii="Calibri" w:cs="Calibri" w:eastAsia="Calibri" w:hAnsi="Calibri"/>
          <w:sz w:val="22"/>
          <w:szCs w:val="22"/>
        </w:rPr>
        <w:t xml:space="preserve">This Agreement commences on the Effective Date and continues for [TERM, e.g., ONE (1) YEAR] (the "Term"), automatically renewing for successive [RENEWAL PERIOD] periods unless either Party provides written notice of non-renewal at least [SIXTY (60)] days prior to expiration.</w:t>
      </w:r>
    </w:p>
    <w:p>
      <w:pPr>
        <w:spacing w:after="60" w:before="40" w:line="240"/>
        <w:ind w:left="460"/>
        <w:jc w:val="both"/>
      </w:pPr>
      <w:r>
        <w:rPr>
          <w:rFonts w:ascii="Calibri" w:cs="Calibri" w:eastAsia="Calibri" w:hAnsi="Calibri"/>
          <w:b/>
          <w:bCs/>
          <w:sz w:val="22"/>
          <w:szCs w:val="22"/>
        </w:rPr>
        <w:t xml:space="preserve">10.2 </w:t>
      </w:r>
      <w:r>
        <w:rPr>
          <w:rFonts w:ascii="Calibri" w:cs="Calibri" w:eastAsia="Calibri" w:hAnsi="Calibri"/>
          <w:sz w:val="22"/>
          <w:szCs w:val="22"/>
        </w:rPr>
        <w:t xml:space="preserve">Either Party may terminate upon written notice if the other materially breaches and fails to cure within [TEN (10)] days after receipt of written notice specifying the breach.</w:t>
      </w:r>
    </w:p>
    <w:p>
      <w:pPr>
        <w:spacing w:after="60" w:before="40" w:line="240"/>
        <w:ind w:left="460"/>
        <w:jc w:val="both"/>
      </w:pPr>
      <w:r>
        <w:rPr>
          <w:rFonts w:ascii="Calibri" w:cs="Calibri" w:eastAsia="Calibri" w:hAnsi="Calibri"/>
          <w:b/>
          <w:bCs/>
          <w:sz w:val="22"/>
          <w:szCs w:val="22"/>
        </w:rPr>
        <w:t xml:space="preserve">10.3 </w:t>
      </w:r>
      <w:r>
        <w:rPr>
          <w:rFonts w:ascii="Calibri" w:cs="Calibri" w:eastAsia="Calibri" w:hAnsi="Calibri"/>
          <w:sz w:val="22"/>
          <w:szCs w:val="22"/>
        </w:rPr>
        <w:t xml:space="preserve">Either Party may terminate immediately upon written notice if: (a) the other commits a material quality-control breach; (b) Mark use poses imminent safety risk; (c) the other becomes subject to bankruptcy, receivership, or insolvency proceedings; (d) a governmental order prohibits or materially restricts the Co-Branded Offering; or (e) Mark use poses imminent, material reputational harm not addressable through Section 5.3 suspension.</w:t>
      </w:r>
    </w:p>
    <w:p>
      <w:pPr>
        <w:spacing w:after="60" w:before="40" w:line="240"/>
        <w:ind w:left="460"/>
        <w:jc w:val="both"/>
      </w:pPr>
      <w:r>
        <w:rPr>
          <w:rFonts w:ascii="Calibri" w:cs="Calibri" w:eastAsia="Calibri" w:hAnsi="Calibri"/>
          <w:b/>
          <w:bCs/>
          <w:sz w:val="22"/>
          <w:szCs w:val="22"/>
        </w:rPr>
        <w:t xml:space="preserve">10.4 </w:t>
      </w:r>
      <w:r>
        <w:rPr>
          <w:rFonts w:ascii="Calibri" w:cs="Calibri" w:eastAsia="Calibri" w:hAnsi="Calibri"/>
          <w:sz w:val="22"/>
          <w:szCs w:val="22"/>
        </w:rPr>
        <w:t xml:space="preserve">Upon expiration or termination: (a) all licenses immediately terminate and each Party shall cease all use of the other's Marks; (b) each Party shall remove all digital materials bearing the other's Marks from all platforms within [FIVE (5)] Business Days and certify completion in writing; (c) physical inventory bearing the other's Marks shall be [DESTROYED / SOLD OFF WITHIN [SELL-OFF PERIOD] DAYS / RETURNED], as directed by the Mark owner; and (d) domain names, social-media handles, or accounts incorporating the other's Marks shall be transferred to the Mark owner or disabled within [TEN (10)] Business Days.</w:t>
      </w:r>
    </w:p>
    <w:p>
      <w:pPr>
        <w:spacing w:after="60" w:before="40" w:line="240"/>
        <w:ind w:left="460"/>
        <w:jc w:val="both"/>
      </w:pPr>
      <w:r>
        <w:rPr>
          <w:rFonts w:ascii="Calibri" w:cs="Calibri" w:eastAsia="Calibri" w:hAnsi="Calibri"/>
          <w:b/>
          <w:bCs/>
          <w:sz w:val="22"/>
          <w:szCs w:val="22"/>
        </w:rPr>
        <w:t xml:space="preserve">10.5 </w:t>
      </w:r>
      <w:r>
        <w:rPr>
          <w:rFonts w:ascii="Calibri" w:cs="Calibri" w:eastAsia="Calibri" w:hAnsi="Calibri"/>
          <w:sz w:val="22"/>
          <w:szCs w:val="22"/>
        </w:rPr>
        <w:t xml:space="preserve">Sections 3, 8, 9, 10.4, 10.5, and 11 survive expiration or termination, together with any provisions that by their nature are intended to survive.</w:t>
      </w:r>
    </w:p>
    <w:p>
      <w:pPr>
        <w:spacing w:after="80" w:before="200" w:line="240"/>
        <w:jc w:val="left"/>
      </w:pPr>
      <w:r>
        <w:rPr>
          <w:rFonts w:ascii="Calibri" w:cs="Calibri" w:eastAsia="Calibri" w:hAnsi="Calibri"/>
          <w:b/>
          <w:bCs/>
          <w:color w:val="1a1a2e"/>
          <w:sz w:val="23"/>
          <w:szCs w:val="23"/>
        </w:rPr>
        <w:t xml:space="preserve">11. GENERAL PROVISIONS</w:t>
      </w:r>
    </w:p>
    <w:p>
      <w:pPr>
        <w:spacing w:after="60" w:before="40" w:line="240"/>
        <w:ind w:left="460"/>
        <w:jc w:val="both"/>
      </w:pPr>
      <w:r>
        <w:rPr>
          <w:rFonts w:ascii="Calibri" w:cs="Calibri" w:eastAsia="Calibri" w:hAnsi="Calibri"/>
          <w:b/>
          <w:bCs/>
          <w:sz w:val="22"/>
          <w:szCs w:val="22"/>
        </w:rPr>
        <w:t xml:space="preserve">11.1 </w:t>
      </w:r>
      <w:r>
        <w:rPr>
          <w:rFonts w:ascii="Calibri" w:cs="Calibri" w:eastAsia="Calibri" w:hAnsi="Calibri"/>
          <w:sz w:val="22"/>
          <w:szCs w:val="22"/>
        </w:rPr>
        <w:t xml:space="preserve">Independent Contractors; No Franchise. The Parties are independent contractors. Nothing herein creates a partnership, joint venture, agency, employment, or franchise relationship. The licenses granted do not constitute a "franchise" under any applicable law.</w:t>
      </w:r>
    </w:p>
    <w:p>
      <w:pPr>
        <w:spacing w:after="60" w:before="40" w:line="240"/>
        <w:ind w:left="460"/>
        <w:jc w:val="both"/>
      </w:pPr>
      <w:r>
        <w:rPr>
          <w:rFonts w:ascii="Calibri" w:cs="Calibri" w:eastAsia="Calibri" w:hAnsi="Calibri"/>
          <w:b/>
          <w:bCs/>
          <w:sz w:val="22"/>
          <w:szCs w:val="22"/>
        </w:rPr>
        <w:t xml:space="preserve">11.2 </w:t>
      </w:r>
      <w:r>
        <w:rPr>
          <w:rFonts w:ascii="Calibri" w:cs="Calibri" w:eastAsia="Calibri" w:hAnsi="Calibri"/>
          <w:sz w:val="22"/>
          <w:szCs w:val="22"/>
        </w:rPr>
        <w:t xml:space="preserve">Confidentiality. Each Party shall maintain in confidence all non-public information received from the other in connection with this Agreement ("Confidential Information"), disclosing only to officers, directors, employees, agents, and professional advisors with a need to know. Exclusions: (a) publicly available information; (b) previously known information; (c) independently developed information; (d) information received from a third party without restriction.</w:t>
      </w:r>
    </w:p>
    <w:p>
      <w:pPr>
        <w:spacing w:after="60" w:before="40" w:line="240"/>
        <w:ind w:left="460"/>
        <w:jc w:val="both"/>
      </w:pPr>
      <w:r>
        <w:rPr>
          <w:rFonts w:ascii="Calibri" w:cs="Calibri" w:eastAsia="Calibri" w:hAnsi="Calibri"/>
          <w:b/>
          <w:bCs/>
          <w:sz w:val="22"/>
          <w:szCs w:val="22"/>
        </w:rPr>
        <w:t xml:space="preserve">11.3 </w:t>
      </w:r>
      <w:r>
        <w:rPr>
          <w:rFonts w:ascii="Calibri" w:cs="Calibri" w:eastAsia="Calibri" w:hAnsi="Calibri"/>
          <w:sz w:val="22"/>
          <w:szCs w:val="22"/>
        </w:rPr>
        <w:t xml:space="preserve">Assignment. Neither Party may assign this Agreement without the other's prior written consent, except to an affiliate or in connection with a merger, acquisition, or sale of substantially all assets, provided the assignee agrees in writing to be bound by these terms.</w:t>
      </w:r>
    </w:p>
    <w:p>
      <w:pPr>
        <w:spacing w:after="60" w:before="40" w:line="240"/>
        <w:ind w:left="460"/>
        <w:jc w:val="both"/>
      </w:pPr>
      <w:r>
        <w:rPr>
          <w:rFonts w:ascii="Calibri" w:cs="Calibri" w:eastAsia="Calibri" w:hAnsi="Calibri"/>
          <w:b/>
          <w:bCs/>
          <w:sz w:val="22"/>
          <w:szCs w:val="22"/>
        </w:rPr>
        <w:t xml:space="preserve">11.4 </w:t>
      </w:r>
      <w:r>
        <w:rPr>
          <w:rFonts w:ascii="Calibri" w:cs="Calibri" w:eastAsia="Calibri" w:hAnsi="Calibri"/>
          <w:sz w:val="22"/>
          <w:szCs w:val="22"/>
        </w:rPr>
        <w:t xml:space="preserve">Notices. All notices shall be in writing, deemed given when: (a) delivered personally; (b) sent by confirmed email; (c) sent by nationally recognized overnight courier; or (d) sent by certified mail, return receipt requested, to the addresses in the preamble or as updated by written notice.</w:t>
      </w:r>
    </w:p>
    <w:p>
      <w:pPr>
        <w:spacing w:after="60" w:before="40" w:line="240"/>
        <w:ind w:left="460"/>
        <w:jc w:val="both"/>
      </w:pPr>
      <w:r>
        <w:rPr>
          <w:rFonts w:ascii="Calibri" w:cs="Calibri" w:eastAsia="Calibri" w:hAnsi="Calibri"/>
          <w:b/>
          <w:bCs/>
          <w:sz w:val="22"/>
          <w:szCs w:val="22"/>
        </w:rPr>
        <w:t xml:space="preserve">11.5 </w:t>
      </w:r>
      <w:r>
        <w:rPr>
          <w:rFonts w:ascii="Calibri" w:cs="Calibri" w:eastAsia="Calibri" w:hAnsi="Calibri"/>
          <w:sz w:val="22"/>
          <w:szCs w:val="22"/>
        </w:rPr>
        <w:t xml:space="preserve">Amendment; Waiver. This Agreement may be amended only by written instrument executed by both Parties. No waiver is effective unless in writing; no failure to exercise any right operates as a waiver.</w:t>
      </w:r>
    </w:p>
    <w:p>
      <w:pPr>
        <w:spacing w:after="60" w:before="40" w:line="240"/>
        <w:ind w:left="460"/>
        <w:jc w:val="both"/>
      </w:pPr>
      <w:r>
        <w:rPr>
          <w:rFonts w:ascii="Calibri" w:cs="Calibri" w:eastAsia="Calibri" w:hAnsi="Calibri"/>
          <w:b/>
          <w:bCs/>
          <w:sz w:val="22"/>
          <w:szCs w:val="22"/>
        </w:rPr>
        <w:t xml:space="preserve">11.6 </w:t>
      </w:r>
      <w:r>
        <w:rPr>
          <w:rFonts w:ascii="Calibri" w:cs="Calibri" w:eastAsia="Calibri" w:hAnsi="Calibri"/>
          <w:sz w:val="22"/>
          <w:szCs w:val="22"/>
        </w:rPr>
        <w:t xml:space="preserve">Severability. If any provision is held invalid, illegal, or unenforceable, it shall be modified to the minimum extent necessary to make it enforceable while preserving original intent; remaining provisions remain in full force.</w:t>
      </w:r>
    </w:p>
    <w:p>
      <w:pPr>
        <w:spacing w:after="60" w:before="40" w:line="240"/>
        <w:ind w:left="460"/>
        <w:jc w:val="both"/>
      </w:pPr>
      <w:r>
        <w:rPr>
          <w:rFonts w:ascii="Calibri" w:cs="Calibri" w:eastAsia="Calibri" w:hAnsi="Calibri"/>
          <w:b/>
          <w:bCs/>
          <w:sz w:val="22"/>
          <w:szCs w:val="22"/>
        </w:rPr>
        <w:t xml:space="preserve">11.7 </w:t>
      </w:r>
      <w:r>
        <w:rPr>
          <w:rFonts w:ascii="Calibri" w:cs="Calibri" w:eastAsia="Calibri" w:hAnsi="Calibri"/>
          <w:sz w:val="22"/>
          <w:szCs w:val="22"/>
        </w:rPr>
        <w:t xml:space="preserve">Entire Agreement. This Agreement (including all Exhibits) constitutes the entire agreement between the Parties regarding its subject matter and supersedes all prior agreements, understandings, and discussions, oral or written.</w:t>
      </w:r>
    </w:p>
    <w:p>
      <w:pPr>
        <w:spacing w:after="60" w:before="40" w:line="240"/>
        <w:ind w:left="460"/>
        <w:jc w:val="both"/>
      </w:pPr>
      <w:r>
        <w:rPr>
          <w:rFonts w:ascii="Calibri" w:cs="Calibri" w:eastAsia="Calibri" w:hAnsi="Calibri"/>
          <w:b/>
          <w:bCs/>
          <w:sz w:val="22"/>
          <w:szCs w:val="22"/>
        </w:rPr>
        <w:t xml:space="preserve">11.8 </w:t>
      </w:r>
      <w:r>
        <w:rPr>
          <w:rFonts w:ascii="Calibri" w:cs="Calibri" w:eastAsia="Calibri" w:hAnsi="Calibri"/>
          <w:sz w:val="22"/>
          <w:szCs w:val="22"/>
        </w:rPr>
        <w:t xml:space="preserve">Equitable Relief. Each Party acknowledges that breach of Sections 2, 3, 4, 5, or 11.2 may cause irreparable harm for which monetary damages would be inadequate, and each shall be entitled to seek injunctive relief and specific performance without proving actual damages or posting bond.</w:t>
      </w:r>
    </w:p>
    <w:p>
      <w:pPr>
        <w:spacing w:after="60" w:before="40" w:line="240"/>
        <w:ind w:left="460"/>
        <w:jc w:val="both"/>
      </w:pPr>
      <w:r>
        <w:rPr>
          <w:rFonts w:ascii="Calibri" w:cs="Calibri" w:eastAsia="Calibri" w:hAnsi="Calibri"/>
          <w:b/>
          <w:bCs/>
          <w:sz w:val="22"/>
          <w:szCs w:val="22"/>
        </w:rPr>
        <w:t xml:space="preserve">11.9 </w:t>
      </w:r>
      <w:r>
        <w:rPr>
          <w:rFonts w:ascii="Calibri" w:cs="Calibri" w:eastAsia="Calibri" w:hAnsi="Calibri"/>
          <w:sz w:val="22"/>
          <w:szCs w:val="22"/>
        </w:rPr>
        <w:t xml:space="preserve">Governing Law; Forum. This Agreement shall be governed by the laws of the State of [GOVERNING LAW STATE] without regard to conflict-of-law principles. Any action shall be brought exclusively in the state or federal courts in [COUNTY], [STATE]; each Party consents to jurisdiction and venue and waives objections on grounds of inconvenient forum.</w:t>
      </w:r>
    </w:p>
    <w:p>
      <w:pPr>
        <w:spacing w:after="60" w:before="40" w:line="240"/>
        <w:ind w:left="460"/>
        <w:jc w:val="both"/>
      </w:pPr>
      <w:r>
        <w:rPr>
          <w:rFonts w:ascii="Calibri" w:cs="Calibri" w:eastAsia="Calibri" w:hAnsi="Calibri"/>
          <w:b/>
          <w:bCs/>
          <w:sz w:val="22"/>
          <w:szCs w:val="22"/>
        </w:rPr>
        <w:t xml:space="preserve">11.10 </w:t>
      </w:r>
      <w:r>
        <w:rPr>
          <w:rFonts w:ascii="Calibri" w:cs="Calibri" w:eastAsia="Calibri" w:hAnsi="Calibri"/>
          <w:sz w:val="22"/>
          <w:szCs w:val="22"/>
        </w:rPr>
        <w:t xml:space="preserve">Counterparts. This Agreement may be executed in counterparts, each an original and all together one instrument. Electronic delivery (including PDF or electronic signature) is equally effective as manual delivery.</w:t>
      </w:r>
    </w:p>
    <w:p>
      <w:pPr>
        <w:spacing w:after="240" w:before="300" w:line="240"/>
      </w:pPr>
      <w:r>
        <w:rPr>
          <w:rFonts w:ascii="Calibri" w:cs="Calibri" w:eastAsia="Calibri" w:hAnsi="Calibri"/>
          <w:b/>
          <w:bCs/>
          <w:i/>
          <w:iCs/>
          <w:color w:val="1a1a2e"/>
          <w:sz w:val="23"/>
          <w:szCs w:val="23"/>
        </w:rPr>
        <w:t xml:space="preserve">IN WITNESS WHEREOF</w:t>
      </w:r>
      <w:r>
        <w:rPr>
          <w:rFonts w:ascii="Calibri" w:cs="Calibri" w:eastAsia="Calibri" w:hAnsi="Calibri"/>
          <w:sz w:val="22"/>
          <w:szCs w:val="22"/>
        </w:rPr>
        <w:t xml:space="preserve">, the Parties have executed this Co-Branding Trademark Cross-License Agreement as of the date first written above.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960"/>
        <w:gridCol w:w="4200"/>
      </w:tblGrid>
      <w:tr>
        <w:tc>
          <w:tcPr>
            <w:tcW w:type="dxa" w:w="4200"/>
            <w:tcBorders>
              <w:top w:val="none" w:color="ffffff" w:sz="0"/>
              <w:left w:val="none" w:color="ffffff" w:sz="0"/>
              <w:bottom w:val="none" w:color="ffffff" w:sz="0"/>
              <w:right w:val="none" w:color="ffffff" w:sz="0"/>
            </w:tcBorders>
          </w:tcPr>
          <w:p>
            <w:pPr>
              <w:spacing w:after="10" w:before="0" w:line="240"/>
              <w:jc w:val="both"/>
            </w:pPr>
            <w:r>
              <w:rPr>
                <w:rFonts w:ascii="Calibri" w:cs="Calibri" w:eastAsia="Calibri" w:hAnsi="Calibri"/>
                <w:b/>
                <w:bCs/>
                <w:sz w:val="22"/>
                <w:szCs w:val="22"/>
              </w:rPr>
              <w:t xml:space="preserve">PARTY A:</w:t>
            </w:r>
          </w:p>
          <w:p>
            <w:pPr>
              <w:spacing w:after="10" w:before="0" w:line="240"/>
              <w:jc w:val="both"/>
            </w:pPr>
            <w:r>
              <w:rPr>
                <w:rFonts w:ascii="Calibri" w:cs="Calibri" w:eastAsia="Calibri" w:hAnsi="Calibri"/>
                <w:b/>
                <w:bCs/>
                <w:sz w:val="22"/>
                <w:szCs w:val="22"/>
              </w:rPr>
              <w:t xml:space="preserve">[PARTY A LEGAL NAME]</w:t>
            </w:r>
          </w:p>
        </w:tc>
        <w:tc>
          <w:tcPr>
            <w:tcW w:type="dxa" w:w="960"/>
            <w:tcBorders>
              <w:top w:val="none" w:color="ffffff" w:sz="0"/>
              <w:left w:val="none" w:color="ffffff" w:sz="0"/>
              <w:bottom w:val="none" w:color="ffffff" w:sz="0"/>
              <w:right w:val="none" w:color="ffffff" w:sz="0"/>
            </w:tcBorders>
          </w:tcPr>
          <w:p>
            <w:pPr>
              <w:spacing w:after="80" w:before="0" w:line="240"/>
              <w:jc w:val="both"/>
            </w:pPr>
            <w:r>
              <w:rPr>
                <w:rFonts w:ascii="Calibri" w:cs="Calibri" w:eastAsia="Calibri" w:hAnsi="Calibri"/>
                <w:sz w:val="22"/>
                <w:szCs w:val="22"/>
              </w:rPr>
              <w:t xml:space="preserve"/>
            </w:r>
          </w:p>
        </w:tc>
        <w:tc>
          <w:tcPr>
            <w:tcW w:type="dxa" w:w="4200"/>
            <w:tcBorders>
              <w:top w:val="none" w:color="ffffff" w:sz="0"/>
              <w:left w:val="none" w:color="ffffff" w:sz="0"/>
              <w:bottom w:val="none" w:color="ffffff" w:sz="0"/>
              <w:right w:val="none" w:color="ffffff" w:sz="0"/>
            </w:tcBorders>
          </w:tcPr>
          <w:p>
            <w:pPr>
              <w:spacing w:after="10" w:before="0" w:line="240"/>
              <w:jc w:val="both"/>
            </w:pPr>
            <w:r>
              <w:rPr>
                <w:rFonts w:ascii="Calibri" w:cs="Calibri" w:eastAsia="Calibri" w:hAnsi="Calibri"/>
                <w:b/>
                <w:bCs/>
                <w:sz w:val="22"/>
                <w:szCs w:val="22"/>
              </w:rPr>
              <w:t xml:space="preserve">PARTY B:</w:t>
            </w:r>
          </w:p>
          <w:p>
            <w:pPr>
              <w:spacing w:after="10" w:before="0" w:line="240"/>
              <w:jc w:val="both"/>
            </w:pPr>
            <w:r>
              <w:rPr>
                <w:rFonts w:ascii="Calibri" w:cs="Calibri" w:eastAsia="Calibri" w:hAnsi="Calibri"/>
                <w:b/>
                <w:bCs/>
                <w:sz w:val="22"/>
                <w:szCs w:val="22"/>
              </w:rPr>
              <w:t xml:space="preserve">[PARTY B LEGAL NAME]</w:t>
            </w:r>
          </w:p>
        </w:tc>
      </w:tr>
      <w:tr>
        <w:tc>
          <w:tcPr>
            <w:tcW w:type="dxa" w:w="4200"/>
            <w:tcBorders>
              <w:top w:val="none" w:color="ffffff" w:sz="0"/>
              <w:left w:val="none" w:color="ffffff" w:sz="0"/>
              <w:bottom w:val="none" w:color="ffffff" w:sz="0"/>
              <w:right w:val="none" w:color="ffffff" w:sz="0"/>
            </w:tcBorders>
          </w:tcPr>
          <w:p>
            <w:pPr>
              <w:spacing w:after="400" w:before="0" w:line="240"/>
              <w:jc w:val="both"/>
            </w:pPr>
            <w:r>
              <w:rPr>
                <w:rFonts w:ascii="Calibri" w:cs="Calibri" w:eastAsia="Calibri" w:hAnsi="Calibri"/>
                <w:sz w:val="22"/>
                <w:szCs w:val="22"/>
              </w:rPr>
              <w:t xml:space="preserve"/>
            </w:r>
          </w:p>
          <w:p>
            <w:pPr>
              <w:pBdr>
                <w:bottom w:val="single" w:color="000000" w:sz="1" w:space="1"/>
              </w:pBdr>
              <w:spacing w:after="0"/>
            </w:pPr>
          </w:p>
          <w:p>
            <w:pPr>
              <w:spacing w:after="120" w:before="0" w:line="240"/>
              <w:jc w:val="both"/>
            </w:pPr>
            <w:r>
              <w:rPr>
                <w:rFonts w:ascii="Calibri" w:cs="Calibri" w:eastAsia="Calibri" w:hAnsi="Calibri"/>
                <w:i/>
                <w:iCs/>
                <w:color w:val="999999"/>
                <w:sz w:val="18"/>
                <w:szCs w:val="18"/>
              </w:rPr>
              <w:t xml:space="preserve">Signature</w:t>
            </w:r>
          </w:p>
          <w:p>
            <w:pPr>
              <w:pBdr>
                <w:bottom w:val="single" w:color="000000" w:sz="1" w:space="1"/>
              </w:pBdr>
              <w:spacing w:after="0"/>
            </w:pPr>
          </w:p>
          <w:p>
            <w:pPr>
              <w:spacing w:after="120" w:before="0" w:line="240"/>
              <w:jc w:val="both"/>
            </w:pPr>
            <w:r>
              <w:rPr>
                <w:rFonts w:ascii="Calibri" w:cs="Calibri" w:eastAsia="Calibri" w:hAnsi="Calibri"/>
                <w:i/>
                <w:iCs/>
                <w:color w:val="999999"/>
                <w:sz w:val="18"/>
                <w:szCs w:val="18"/>
              </w:rPr>
              <w:t xml:space="preserve">Print Name</w:t>
            </w:r>
          </w:p>
          <w:p>
            <w:pPr>
              <w:pBdr>
                <w:bottom w:val="single" w:color="000000" w:sz="1" w:space="1"/>
              </w:pBdr>
              <w:spacing w:after="0"/>
            </w:pPr>
          </w:p>
          <w:p>
            <w:pPr>
              <w:spacing w:after="120" w:before="0" w:line="240"/>
              <w:jc w:val="both"/>
            </w:pPr>
            <w:r>
              <w:rPr>
                <w:rFonts w:ascii="Calibri" w:cs="Calibri" w:eastAsia="Calibri" w:hAnsi="Calibri"/>
                <w:i/>
                <w:iCs/>
                <w:color w:val="999999"/>
                <w:sz w:val="18"/>
                <w:szCs w:val="18"/>
              </w:rPr>
              <w:t xml:space="preserve">Title</w:t>
            </w:r>
          </w:p>
          <w:p>
            <w:pPr>
              <w:pBdr>
                <w:bottom w:val="single" w:color="000000" w:sz="1" w:space="1"/>
              </w:pBdr>
              <w:spacing w:after="0"/>
            </w:pPr>
          </w:p>
          <w:p>
            <w:pPr>
              <w:spacing w:after="40" w:before="0" w:line="240"/>
              <w:jc w:val="both"/>
            </w:pPr>
            <w:r>
              <w:rPr>
                <w:rFonts w:ascii="Calibri" w:cs="Calibri" w:eastAsia="Calibri" w:hAnsi="Calibri"/>
                <w:i/>
                <w:iCs/>
                <w:color w:val="999999"/>
                <w:sz w:val="18"/>
                <w:szCs w:val="18"/>
              </w:rPr>
              <w:t xml:space="preserve">Date</w:t>
            </w:r>
          </w:p>
        </w:tc>
        <w:tc>
          <w:tcPr>
            <w:tcW w:type="dxa" w:w="960"/>
            <w:tcBorders>
              <w:top w:val="none" w:color="ffffff" w:sz="0"/>
              <w:left w:val="none" w:color="ffffff" w:sz="0"/>
              <w:bottom w:val="none" w:color="ffffff" w:sz="0"/>
              <w:right w:val="none" w:color="ffffff" w:sz="0"/>
            </w:tcBorders>
          </w:tcPr>
          <w:p>
            <w:pPr>
              <w:spacing w:after="80" w:before="0" w:line="240"/>
              <w:jc w:val="both"/>
            </w:pPr>
            <w:r>
              <w:rPr>
                <w:rFonts w:ascii="Calibri" w:cs="Calibri" w:eastAsia="Calibri" w:hAnsi="Calibri"/>
                <w:sz w:val="22"/>
                <w:szCs w:val="22"/>
              </w:rPr>
              <w:t xml:space="preserve"/>
            </w:r>
          </w:p>
        </w:tc>
        <w:tc>
          <w:tcPr>
            <w:tcW w:type="dxa" w:w="4200"/>
            <w:tcBorders>
              <w:top w:val="none" w:color="ffffff" w:sz="0"/>
              <w:left w:val="none" w:color="ffffff" w:sz="0"/>
              <w:bottom w:val="none" w:color="ffffff" w:sz="0"/>
              <w:right w:val="none" w:color="ffffff" w:sz="0"/>
            </w:tcBorders>
          </w:tcPr>
          <w:p>
            <w:pPr>
              <w:spacing w:after="400" w:before="0" w:line="240"/>
              <w:jc w:val="both"/>
            </w:pPr>
            <w:r>
              <w:rPr>
                <w:rFonts w:ascii="Calibri" w:cs="Calibri" w:eastAsia="Calibri" w:hAnsi="Calibri"/>
                <w:sz w:val="22"/>
                <w:szCs w:val="22"/>
              </w:rPr>
              <w:t xml:space="preserve"/>
            </w:r>
          </w:p>
          <w:p>
            <w:pPr>
              <w:pBdr>
                <w:bottom w:val="single" w:color="000000" w:sz="1" w:space="1"/>
              </w:pBdr>
              <w:spacing w:after="0"/>
            </w:pPr>
          </w:p>
          <w:p>
            <w:pPr>
              <w:spacing w:after="120" w:before="0" w:line="240"/>
              <w:jc w:val="both"/>
            </w:pPr>
            <w:r>
              <w:rPr>
                <w:rFonts w:ascii="Calibri" w:cs="Calibri" w:eastAsia="Calibri" w:hAnsi="Calibri"/>
                <w:i/>
                <w:iCs/>
                <w:color w:val="999999"/>
                <w:sz w:val="18"/>
                <w:szCs w:val="18"/>
              </w:rPr>
              <w:t xml:space="preserve">Signature</w:t>
            </w:r>
          </w:p>
          <w:p>
            <w:pPr>
              <w:pBdr>
                <w:bottom w:val="single" w:color="000000" w:sz="1" w:space="1"/>
              </w:pBdr>
              <w:spacing w:after="0"/>
            </w:pPr>
          </w:p>
          <w:p>
            <w:pPr>
              <w:spacing w:after="120" w:before="0" w:line="240"/>
              <w:jc w:val="both"/>
            </w:pPr>
            <w:r>
              <w:rPr>
                <w:rFonts w:ascii="Calibri" w:cs="Calibri" w:eastAsia="Calibri" w:hAnsi="Calibri"/>
                <w:i/>
                <w:iCs/>
                <w:color w:val="999999"/>
                <w:sz w:val="18"/>
                <w:szCs w:val="18"/>
              </w:rPr>
              <w:t xml:space="preserve">Print Name</w:t>
            </w:r>
          </w:p>
          <w:p>
            <w:pPr>
              <w:pBdr>
                <w:bottom w:val="single" w:color="000000" w:sz="1" w:space="1"/>
              </w:pBdr>
              <w:spacing w:after="0"/>
            </w:pPr>
          </w:p>
          <w:p>
            <w:pPr>
              <w:spacing w:after="120" w:before="0" w:line="240"/>
              <w:jc w:val="both"/>
            </w:pPr>
            <w:r>
              <w:rPr>
                <w:rFonts w:ascii="Calibri" w:cs="Calibri" w:eastAsia="Calibri" w:hAnsi="Calibri"/>
                <w:i/>
                <w:iCs/>
                <w:color w:val="999999"/>
                <w:sz w:val="18"/>
                <w:szCs w:val="18"/>
              </w:rPr>
              <w:t xml:space="preserve">Title</w:t>
            </w:r>
          </w:p>
          <w:p>
            <w:pPr>
              <w:pBdr>
                <w:bottom w:val="single" w:color="000000" w:sz="1" w:space="1"/>
              </w:pBdr>
              <w:spacing w:after="0"/>
            </w:pPr>
          </w:p>
          <w:p>
            <w:pPr>
              <w:spacing w:after="40" w:before="0" w:line="240"/>
              <w:jc w:val="both"/>
            </w:pPr>
            <w:r>
              <w:rPr>
                <w:rFonts w:ascii="Calibri" w:cs="Calibri" w:eastAsia="Calibri" w:hAnsi="Calibri"/>
                <w:i/>
                <w:iCs/>
                <w:color w:val="999999"/>
                <w:sz w:val="18"/>
                <w:szCs w:val="18"/>
              </w:rPr>
              <w:t xml:space="preserve">Date</w:t>
            </w:r>
          </w:p>
        </w:tc>
      </w:tr>
    </w:tbl>
    <w:p>
      <w:r>
        <w:br w:type="page"/>
      </w:r>
    </w:p>
    <w:p>
      <w:pPr>
        <w:spacing w:after="40" w:before="300" w:line="240"/>
        <w:jc w:val="center"/>
      </w:pPr>
      <w:r>
        <w:rPr>
          <w:rFonts w:ascii="Calibri" w:cs="Calibri" w:eastAsia="Calibri" w:hAnsi="Calibri"/>
          <w:b/>
          <w:bCs/>
          <w:color w:val="1a1a2e"/>
          <w:sz w:val="26"/>
          <w:szCs w:val="26"/>
        </w:rPr>
        <w:t xml:space="preserve">EXHIBIT A</w:t>
      </w:r>
    </w:p>
    <w:p>
      <w:pPr>
        <w:spacing w:after="120" w:line="240"/>
        <w:jc w:val="center"/>
      </w:pPr>
      <w:r>
        <w:rPr>
          <w:rFonts w:ascii="Calibri" w:cs="Calibri" w:eastAsia="Calibri" w:hAnsi="Calibri"/>
          <w:b/>
          <w:bCs/>
          <w:color w:val="1a1a2e"/>
          <w:sz w:val="22"/>
          <w:szCs w:val="22"/>
        </w:rPr>
        <w:t xml:space="preserve">Mark Schedule</w:t>
      </w:r>
    </w:p>
    <w:p>
      <w:pPr>
        <w:spacing w:after="60" w:before="0" w:line="240"/>
        <w:jc w:val="both"/>
      </w:pPr>
      <w:r>
        <w:rPr>
          <w:rFonts w:ascii="Calibri" w:cs="Calibri" w:eastAsia="Calibri" w:hAnsi="Calibri"/>
          <w:sz w:val="22"/>
          <w:szCs w:val="22"/>
        </w:rPr>
        <w:t xml:space="preserve">The following table sets forth each Mark licensed hereunder, its owner, registration details, approved forms, territory, and restrictions.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200"/>
        <w:gridCol w:w="1560"/>
        <w:gridCol w:w="1800"/>
        <w:gridCol w:w="1500"/>
        <w:gridCol w:w="1500"/>
      </w:tblGrid>
      <w:tr>
        <w:tc>
          <w:tcPr>
            <w:tcW w:type="dxa" w:w="180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Mark</w:t>
            </w:r>
          </w:p>
        </w:tc>
        <w:tc>
          <w:tcPr>
            <w:tcW w:type="dxa" w:w="120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Owner</w:t>
            </w:r>
          </w:p>
        </w:tc>
        <w:tc>
          <w:tcPr>
            <w:tcW w:type="dxa" w:w="156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Reg. #</w:t>
            </w:r>
          </w:p>
        </w:tc>
        <w:tc>
          <w:tcPr>
            <w:tcW w:type="dxa" w:w="180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Approved Form</w:t>
            </w:r>
          </w:p>
        </w:tc>
        <w:tc>
          <w:tcPr>
            <w:tcW w:type="dxa" w:w="150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Territory</w:t>
            </w:r>
          </w:p>
        </w:tc>
        <w:tc>
          <w:tcPr>
            <w:tcW w:type="dxa" w:w="150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Notes</w:t>
            </w:r>
          </w:p>
        </w:tc>
      </w:tr>
      <w:tr>
        <w:tc>
          <w:tcPr>
            <w:tcW w:type="dxa" w:w="18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[MARK]</w:t>
            </w:r>
          </w:p>
        </w:tc>
        <w:tc>
          <w:tcPr>
            <w:tcW w:type="dxa" w:w="12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Party A</w:t>
            </w:r>
          </w:p>
        </w:tc>
        <w:tc>
          <w:tcPr>
            <w:tcW w:type="dxa" w:w="156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[REG. NO.]</w:t>
            </w:r>
          </w:p>
        </w:tc>
        <w:tc>
          <w:tcPr>
            <w:tcW w:type="dxa" w:w="18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[WORD/LOGO]</w:t>
            </w:r>
          </w:p>
        </w:tc>
        <w:tc>
          <w:tcPr>
            <w:tcW w:type="dxa" w:w="15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[TERRITORY]</w:t>
            </w:r>
          </w:p>
        </w:tc>
        <w:tc>
          <w:tcPr>
            <w:tcW w:type="dxa" w:w="15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[NOTES]</w:t>
            </w:r>
          </w:p>
        </w:tc>
      </w:tr>
      <w:tr>
        <w:tc>
          <w:tcPr>
            <w:tcW w:type="dxa" w:w="180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[MARK]</w:t>
            </w:r>
          </w:p>
        </w:tc>
        <w:tc>
          <w:tcPr>
            <w:tcW w:type="dxa" w:w="120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Party B</w:t>
            </w:r>
          </w:p>
        </w:tc>
        <w:tc>
          <w:tcPr>
            <w:tcW w:type="dxa" w:w="156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[REG. NO.]</w:t>
            </w:r>
          </w:p>
        </w:tc>
        <w:tc>
          <w:tcPr>
            <w:tcW w:type="dxa" w:w="180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[WORD/LOGO]</w:t>
            </w:r>
          </w:p>
        </w:tc>
        <w:tc>
          <w:tcPr>
            <w:tcW w:type="dxa" w:w="150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[TERRITORY]</w:t>
            </w:r>
          </w:p>
        </w:tc>
        <w:tc>
          <w:tcPr>
            <w:tcW w:type="dxa" w:w="150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[NOTES]</w:t>
            </w:r>
          </w:p>
        </w:tc>
      </w:tr>
      <w:tr>
        <w:tc>
          <w:tcPr>
            <w:tcW w:type="dxa" w:w="18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[COMBINED]</w:t>
            </w:r>
          </w:p>
        </w:tc>
        <w:tc>
          <w:tcPr>
            <w:tcW w:type="dxa" w:w="12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Joint</w:t>
            </w:r>
          </w:p>
        </w:tc>
        <w:tc>
          <w:tcPr>
            <w:tcW w:type="dxa" w:w="156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[PENDING]</w:t>
            </w:r>
          </w:p>
        </w:tc>
        <w:tc>
          <w:tcPr>
            <w:tcW w:type="dxa" w:w="18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[COMBINED]</w:t>
            </w:r>
          </w:p>
        </w:tc>
        <w:tc>
          <w:tcPr>
            <w:tcW w:type="dxa" w:w="15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[TERRITORY]</w:t>
            </w:r>
          </w:p>
        </w:tc>
        <w:tc>
          <w:tcPr>
            <w:tcW w:type="dxa" w:w="15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See §3.5</w:t>
            </w:r>
          </w:p>
        </w:tc>
      </w:tr>
    </w:tbl>
    <w:p>
      <w:pPr>
        <w:spacing w:after="60" w:before="80" w:line="240"/>
        <w:jc w:val="both"/>
      </w:pPr>
      <w:r>
        <w:rPr>
          <w:rFonts w:ascii="Calibri" w:cs="Calibri" w:eastAsia="Calibri" w:hAnsi="Calibri"/>
          <w:sz w:val="22"/>
          <w:szCs w:val="22"/>
        </w:rPr>
        <w:t xml:space="preserve">Approved Channels: [LIST APPROVED DISTRIBUTION AND MARKETING CHANNELS, e.g., e-commerce, retail, social media, print, trade shows].</w:t>
      </w:r>
    </w:p>
    <w:p>
      <w:pPr>
        <w:spacing w:after="40" w:before="300" w:line="240"/>
        <w:jc w:val="center"/>
      </w:pPr>
      <w:r>
        <w:rPr>
          <w:rFonts w:ascii="Calibri" w:cs="Calibri" w:eastAsia="Calibri" w:hAnsi="Calibri"/>
          <w:b/>
          <w:bCs/>
          <w:color w:val="1a1a2e"/>
          <w:sz w:val="26"/>
          <w:szCs w:val="26"/>
        </w:rPr>
        <w:t xml:space="preserve">EXHIBIT B</w:t>
      </w:r>
    </w:p>
    <w:p>
      <w:pPr>
        <w:spacing w:after="120" w:line="240"/>
        <w:jc w:val="center"/>
      </w:pPr>
      <w:r>
        <w:rPr>
          <w:rFonts w:ascii="Calibri" w:cs="Calibri" w:eastAsia="Calibri" w:hAnsi="Calibri"/>
          <w:b/>
          <w:bCs/>
          <w:color w:val="1a1a2e"/>
          <w:sz w:val="22"/>
          <w:szCs w:val="22"/>
        </w:rPr>
        <w:t xml:space="preserve">Creative Asset Register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1560"/>
        <w:gridCol w:w="2340"/>
        <w:gridCol w:w="3120"/>
      </w:tblGrid>
      <w:tr>
        <w:tc>
          <w:tcPr>
            <w:tcW w:type="dxa" w:w="234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Asset</w:t>
            </w:r>
          </w:p>
        </w:tc>
        <w:tc>
          <w:tcPr>
            <w:tcW w:type="dxa" w:w="156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Owner</w:t>
            </w:r>
          </w:p>
        </w:tc>
        <w:tc>
          <w:tcPr>
            <w:tcW w:type="dxa" w:w="234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Copyright</w:t>
            </w:r>
          </w:p>
        </w:tc>
        <w:tc>
          <w:tcPr>
            <w:tcW w:type="dxa" w:w="312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License Terms</w:t>
            </w:r>
          </w:p>
        </w:tc>
      </w:tr>
      <w:tr>
        <w:tc>
          <w:tcPr>
            <w:tcW w:type="dxa" w:w="234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[DESCRIPTION]</w:t>
            </w:r>
          </w:p>
        </w:tc>
        <w:tc>
          <w:tcPr>
            <w:tcW w:type="dxa" w:w="156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[OWNER]</w:t>
            </w:r>
          </w:p>
        </w:tc>
        <w:tc>
          <w:tcPr>
            <w:tcW w:type="dxa" w:w="234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[NOTICE]</w:t>
            </w:r>
          </w:p>
        </w:tc>
        <w:tc>
          <w:tcPr>
            <w:tcW w:type="dxa" w:w="312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[EXCLUSIVE/NON-EXCL.; TERRITORY; DURATION]</w:t>
            </w:r>
          </w:p>
        </w:tc>
      </w:tr>
      <w:tr>
        <w:tc>
          <w:tcPr>
            <w:tcW w:type="dxa" w:w="234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[DESCRIPTION]</w:t>
            </w:r>
          </w:p>
        </w:tc>
        <w:tc>
          <w:tcPr>
            <w:tcW w:type="dxa" w:w="156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[OWNER]</w:t>
            </w:r>
          </w:p>
        </w:tc>
        <w:tc>
          <w:tcPr>
            <w:tcW w:type="dxa" w:w="234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[NOTICE]</w:t>
            </w:r>
          </w:p>
        </w:tc>
        <w:tc>
          <w:tcPr>
            <w:tcW w:type="dxa" w:w="312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[EXCLUSIVE/NON-EXCL.; TERRITORY; DURATION]</w:t>
            </w:r>
          </w:p>
        </w:tc>
      </w:tr>
    </w:tbl>
    <w:p>
      <w:pPr>
        <w:spacing w:after="60" w:before="60" w:line="240"/>
        <w:jc w:val="both"/>
      </w:pPr>
      <w:r>
        <w:rPr>
          <w:rFonts w:ascii="Calibri" w:cs="Calibri" w:eastAsia="Calibri" w:hAnsi="Calibri"/>
          <w:sz w:val="22"/>
          <w:szCs w:val="22"/>
        </w:rPr>
        <w:t xml:space="preserve">Note: Copyright ownership of a creative asset does not transfer trademark ownership in the Marks depicted. See Section 3.4.</w:t>
      </w:r>
    </w:p>
    <w:p>
      <w:pPr>
        <w:spacing w:after="40" w:before="300" w:line="240"/>
        <w:jc w:val="center"/>
      </w:pPr>
      <w:r>
        <w:rPr>
          <w:rFonts w:ascii="Calibri" w:cs="Calibri" w:eastAsia="Calibri" w:hAnsi="Calibri"/>
          <w:b/>
          <w:bCs/>
          <w:color w:val="1a1a2e"/>
          <w:sz w:val="26"/>
          <w:szCs w:val="26"/>
        </w:rPr>
        <w:t xml:space="preserve">EXHIBIT C</w:t>
      </w:r>
    </w:p>
    <w:p>
      <w:pPr>
        <w:spacing w:after="120" w:line="240"/>
        <w:jc w:val="center"/>
      </w:pPr>
      <w:r>
        <w:rPr>
          <w:rFonts w:ascii="Calibri" w:cs="Calibri" w:eastAsia="Calibri" w:hAnsi="Calibri"/>
          <w:b/>
          <w:bCs/>
          <w:color w:val="1a1a2e"/>
          <w:sz w:val="22"/>
          <w:szCs w:val="22"/>
        </w:rPr>
        <w:t xml:space="preserve">Brand Guidelines Summary</w:t>
      </w:r>
    </w:p>
    <w:p>
      <w:pPr>
        <w:spacing w:after="60" w:before="0" w:line="240"/>
        <w:jc w:val="both"/>
      </w:pPr>
      <w:r>
        <w:rPr>
          <w:rFonts w:ascii="Calibri" w:cs="Calibri" w:eastAsia="Calibri" w:hAnsi="Calibri"/>
          <w:sz w:val="22"/>
          <w:szCs w:val="22"/>
        </w:rPr>
        <w:t xml:space="preserve">This Exhibit provides a summary of each Party's brand guidelines for the Co-Branded Offering. Full guidelines are maintained by each Party and incorporated by reference. Each Party shall provide current guidelines upon execution and promptly upon material revision.</w:t>
      </w:r>
    </w:p>
    <w:p>
      <w:pPr>
        <w:spacing w:after="60" w:before="120" w:line="240"/>
        <w:ind w:left="360"/>
        <w:jc w:val="left"/>
      </w:pPr>
      <w:r>
        <w:rPr>
          <w:rFonts w:ascii="Calibri" w:cs="Calibri" w:eastAsia="Calibri" w:hAnsi="Calibri"/>
          <w:b/>
          <w:bCs/>
          <w:color w:val="1a1a2e"/>
          <w:sz w:val="22"/>
          <w:szCs w:val="22"/>
        </w:rPr>
        <w:t xml:space="preserve">C.1 Party A Brand Guidelines</w:t>
      </w:r>
    </w:p>
    <w:p>
      <w:pPr>
        <w:spacing w:after="60" w:before="0" w:line="240"/>
        <w:ind w:left="360"/>
        <w:jc w:val="both"/>
      </w:pPr>
      <w:r>
        <w:rPr>
          <w:rFonts w:ascii="Calibri" w:cs="Calibri" w:eastAsia="Calibri" w:hAnsi="Calibri"/>
          <w:sz w:val="22"/>
          <w:szCs w:val="22"/>
        </w:rPr>
        <w:t xml:space="preserve">Primary Logo: [DESCRIPTION]; minimum size: [SIZE]; clear space: [MEASUREMENT]. Color palette: Primary [PANTONE/HEX]; Secondary [PANTONE/HEX]. Typography: Primary [TYPEFACE]; Secondary [TYPEFACE]. Prohibited uses: [LIST]. All uses shall include the appropriate trademark symbol (™ or ®) and attribution: "[MARK] is a [registered] trademark of [PARTY A LEGAL NAME]."</w:t>
      </w:r>
    </w:p>
    <w:p>
      <w:pPr>
        <w:spacing w:after="60" w:before="120" w:line="240"/>
        <w:ind w:left="360"/>
        <w:jc w:val="left"/>
      </w:pPr>
      <w:r>
        <w:rPr>
          <w:rFonts w:ascii="Calibri" w:cs="Calibri" w:eastAsia="Calibri" w:hAnsi="Calibri"/>
          <w:b/>
          <w:bCs/>
          <w:color w:val="1a1a2e"/>
          <w:sz w:val="22"/>
          <w:szCs w:val="22"/>
        </w:rPr>
        <w:t xml:space="preserve">C.2 Party B Brand Guidelines</w:t>
      </w:r>
    </w:p>
    <w:p>
      <w:pPr>
        <w:spacing w:after="60" w:before="0" w:line="240"/>
        <w:ind w:left="360"/>
        <w:jc w:val="both"/>
      </w:pPr>
      <w:r>
        <w:rPr>
          <w:rFonts w:ascii="Calibri" w:cs="Calibri" w:eastAsia="Calibri" w:hAnsi="Calibri"/>
          <w:sz w:val="22"/>
          <w:szCs w:val="22"/>
        </w:rPr>
        <w:t xml:space="preserve">Primary Logo: [DESCRIPTION]; minimum size: [SIZE]; clear space: [MEASUREMENT]. Color palette: Primary [PANTONE/HEX]; Secondary [PANTONE/HEX]. Typography: Primary [TYPEFACE]; Secondary [TYPEFACE]. Prohibited uses: [LIST]. All uses shall include the appropriate trademark symbol (™ or ®) and attribution: "[MARK] is a [registered] trademark of [PARTY B LEGAL NAME]."</w:t>
      </w:r>
    </w:p>
    <w:p>
      <w:pPr>
        <w:spacing w:after="60" w:before="120" w:line="240"/>
        <w:ind w:left="360"/>
        <w:jc w:val="left"/>
      </w:pPr>
      <w:r>
        <w:rPr>
          <w:rFonts w:ascii="Calibri" w:cs="Calibri" w:eastAsia="Calibri" w:hAnsi="Calibri"/>
          <w:b/>
          <w:bCs/>
          <w:color w:val="1a1a2e"/>
          <w:sz w:val="22"/>
          <w:szCs w:val="22"/>
        </w:rPr>
        <w:t xml:space="preserve">C.3 Combined Mark Guidelines</w:t>
      </w:r>
    </w:p>
    <w:p>
      <w:pPr>
        <w:spacing w:after="60" w:before="0" w:line="240"/>
        <w:ind w:left="360"/>
        <w:jc w:val="both"/>
      </w:pPr>
      <w:r>
        <w:rPr>
          <w:rFonts w:ascii="Calibri" w:cs="Calibri" w:eastAsia="Calibri" w:hAnsi="Calibri"/>
          <w:sz w:val="22"/>
          <w:szCs w:val="22"/>
        </w:rPr>
        <w:t xml:space="preserve">If a Combined Mark is developed per Section 1.3, the Parties shall jointly prepare and approve guidelines addressing: approved lock-up configurations, relative sizing/placement, color specifications, minimum size, clear space, and required attribution language.</w:t>
      </w:r>
    </w:p>
    <w:p>
      <w:pPr>
        <w:spacing w:after="40" w:before="300" w:line="240"/>
        <w:jc w:val="center"/>
      </w:pPr>
      <w:r>
        <w:rPr>
          <w:rFonts w:ascii="Calibri" w:cs="Calibri" w:eastAsia="Calibri" w:hAnsi="Calibri"/>
          <w:b/>
          <w:bCs/>
          <w:color w:val="1a1a2e"/>
          <w:sz w:val="26"/>
          <w:szCs w:val="26"/>
        </w:rPr>
        <w:t xml:space="preserve">EXHIBIT D</w:t>
      </w:r>
    </w:p>
    <w:p>
      <w:pPr>
        <w:spacing w:after="120" w:line="240"/>
        <w:jc w:val="center"/>
      </w:pPr>
      <w:r>
        <w:rPr>
          <w:rFonts w:ascii="Calibri" w:cs="Calibri" w:eastAsia="Calibri" w:hAnsi="Calibri"/>
          <w:b/>
          <w:bCs/>
          <w:color w:val="1a1a2e"/>
          <w:sz w:val="22"/>
          <w:szCs w:val="22"/>
        </w:rPr>
        <w:t xml:space="preserve">Quality Standards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000"/>
        <w:gridCol w:w="2160"/>
      </w:tblGrid>
      <w:tr>
        <w:tc>
          <w:tcPr>
            <w:tcW w:type="dxa" w:w="220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Category</w:t>
            </w:r>
          </w:p>
        </w:tc>
        <w:tc>
          <w:tcPr>
            <w:tcW w:type="dxa" w:w="500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Standard</w:t>
            </w:r>
          </w:p>
        </w:tc>
        <w:tc>
          <w:tcPr>
            <w:tcW w:type="dxa" w:w="2160"/>
            <w:tcBorders>
              <w:top w:val="single" w:color="cccccc" w:sz="1"/>
              <w:left w:val="single" w:color="cccccc" w:sz="1"/>
              <w:bottom w:val="single" w:color="cccccc" w:sz="1"/>
              <w:right w:val="single" w:color="cccccc" w:sz="1"/>
            </w:tcBorders>
            <w:shd w:fill="1a1a2e" w:val="clear"/>
            <w:vAlign w:val="center"/>
          </w:tcPr>
          <w:p>
            <w:pPr>
              <w:spacing w:after="20" w:before="0" w:line="240"/>
              <w:jc w:val="center"/>
            </w:pPr>
            <w:r>
              <w:rPr>
                <w:rFonts w:ascii="Calibri" w:cs="Calibri" w:eastAsia="Calibri" w:hAnsi="Calibri"/>
                <w:b/>
                <w:bCs/>
                <w:color w:val="ffffff"/>
                <w:sz w:val="18"/>
                <w:szCs w:val="18"/>
              </w:rPr>
              <w:t xml:space="preserve">Review Freq.</w:t>
            </w:r>
          </w:p>
        </w:tc>
      </w:tr>
      <w:tr>
        <w:tc>
          <w:tcPr>
            <w:tcW w:type="dxa" w:w="22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Product Quality</w:t>
            </w:r>
          </w:p>
        </w:tc>
        <w:tc>
          <w:tcPr>
            <w:tcW w:type="dxa" w:w="50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All co-branded products shall comply with applicable safety, labeling, and regulatory standards and be manufactured consistent with the Mark owner's existing product lines.</w:t>
            </w:r>
          </w:p>
        </w:tc>
        <w:tc>
          <w:tcPr>
            <w:tcW w:type="dxa" w:w="216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[QUARTERLY]</w:t>
            </w:r>
          </w:p>
        </w:tc>
      </w:tr>
      <w:tr>
        <w:tc>
          <w:tcPr>
            <w:tcW w:type="dxa" w:w="220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Advertising</w:t>
            </w:r>
          </w:p>
        </w:tc>
        <w:tc>
          <w:tcPr>
            <w:tcW w:type="dxa" w:w="500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All advertising shall be truthful, non-deceptive, compliant with FTC guidelines and state consumer-protection laws, with claims substantiated prior to publication.</w:t>
            </w:r>
          </w:p>
        </w:tc>
        <w:tc>
          <w:tcPr>
            <w:tcW w:type="dxa" w:w="216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[PER CAMPAIGN]</w:t>
            </w:r>
          </w:p>
        </w:tc>
      </w:tr>
      <w:tr>
        <w:tc>
          <w:tcPr>
            <w:tcW w:type="dxa" w:w="22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Digital/Social</w:t>
            </w:r>
          </w:p>
        </w:tc>
        <w:tc>
          <w:tcPr>
            <w:tcW w:type="dxa" w:w="50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All digital content shall comply with platform terms, applicable data-privacy laws, and Exhibit C guidelines. UGC campaigns require appropriate disclosures.</w:t>
            </w:r>
          </w:p>
        </w:tc>
        <w:tc>
          <w:tcPr>
            <w:tcW w:type="dxa" w:w="216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[MONTHLY]</w:t>
            </w:r>
          </w:p>
        </w:tc>
      </w:tr>
      <w:tr>
        <w:tc>
          <w:tcPr>
            <w:tcW w:type="dxa" w:w="220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Customer Support</w:t>
            </w:r>
          </w:p>
        </w:tc>
        <w:tc>
          <w:tcPr>
            <w:tcW w:type="dxa" w:w="500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Each Party shall maintain a designated contact for consumer inquiries and respond to complaints within [NUMBER] Business Days.</w:t>
            </w:r>
          </w:p>
        </w:tc>
        <w:tc>
          <w:tcPr>
            <w:tcW w:type="dxa" w:w="2160"/>
            <w:tcBorders>
              <w:top w:val="single" w:color="cccccc" w:sz="1"/>
              <w:left w:val="single" w:color="cccccc" w:sz="1"/>
              <w:bottom w:val="single" w:color="cccccc" w:sz="1"/>
              <w:right w:val="single" w:color="cccccc" w:sz="1"/>
            </w:tcBorders>
            <w:shd w:fill="f0f0f5" w:val="clear"/>
            <w:vAlign w:val="center"/>
          </w:tcPr>
          <w:p>
            <w:pPr>
              <w:spacing w:after="20" w:before="0" w:line="240"/>
              <w:jc w:val="left"/>
            </w:pPr>
            <w:r>
              <w:rPr>
                <w:rFonts w:ascii="Calibri" w:cs="Calibri" w:eastAsia="Calibri" w:hAnsi="Calibri"/>
                <w:sz w:val="18"/>
                <w:szCs w:val="18"/>
              </w:rPr>
              <w:t xml:space="preserve">[MONTHLY]</w:t>
            </w:r>
          </w:p>
        </w:tc>
      </w:tr>
      <w:tr>
        <w:tc>
          <w:tcPr>
            <w:tcW w:type="dxa" w:w="22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Packaging</w:t>
            </w:r>
          </w:p>
        </w:tc>
        <w:tc>
          <w:tcPr>
            <w:tcW w:type="dxa" w:w="500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All packaging shall comply with regulatory requirements and include proper trademark notices, disclaimers, and origin markings.</w:t>
            </w:r>
          </w:p>
        </w:tc>
        <w:tc>
          <w:tcPr>
            <w:tcW w:type="dxa" w:w="2160"/>
            <w:tcBorders>
              <w:top w:val="single" w:color="cccccc" w:sz="1"/>
              <w:left w:val="single" w:color="cccccc" w:sz="1"/>
              <w:bottom w:val="single" w:color="cccccc" w:sz="1"/>
              <w:right w:val="single" w:color="cccccc" w:sz="1"/>
            </w:tcBorders>
            <w:vAlign w:val="center"/>
          </w:tcPr>
          <w:p>
            <w:pPr>
              <w:spacing w:after="20" w:before="0" w:line="240"/>
              <w:jc w:val="left"/>
            </w:pPr>
            <w:r>
              <w:rPr>
                <w:rFonts w:ascii="Calibri" w:cs="Calibri" w:eastAsia="Calibri" w:hAnsi="Calibri"/>
                <w:sz w:val="18"/>
                <w:szCs w:val="18"/>
              </w:rPr>
              <w:t xml:space="preserve">[PER RUN]</w:t>
            </w:r>
          </w:p>
        </w:tc>
      </w:tr>
    </w:tbl>
    <w:p>
      <w:pPr>
        <w:spacing w:after="40" w:before="300" w:line="240"/>
        <w:jc w:val="center"/>
      </w:pPr>
      <w:r>
        <w:rPr>
          <w:rFonts w:ascii="Calibri" w:cs="Calibri" w:eastAsia="Calibri" w:hAnsi="Calibri"/>
          <w:b/>
          <w:bCs/>
          <w:color w:val="1a1a2e"/>
          <w:sz w:val="26"/>
          <w:szCs w:val="26"/>
        </w:rPr>
        <w:t xml:space="preserve">EXHIBIT E</w:t>
      </w:r>
    </w:p>
    <w:p>
      <w:pPr>
        <w:spacing w:after="120" w:line="240"/>
        <w:jc w:val="center"/>
      </w:pPr>
      <w:r>
        <w:rPr>
          <w:rFonts w:ascii="Calibri" w:cs="Calibri" w:eastAsia="Calibri" w:hAnsi="Calibri"/>
          <w:b/>
          <w:bCs/>
          <w:color w:val="1a1a2e"/>
          <w:sz w:val="22"/>
          <w:szCs w:val="22"/>
        </w:rPr>
        <w:t xml:space="preserve">Enforcement Procedures</w:t>
      </w:r>
    </w:p>
    <w:p>
      <w:pPr>
        <w:spacing w:after="60" w:before="0" w:line="240"/>
        <w:jc w:val="both"/>
      </w:pPr>
      <w:r>
        <w:rPr>
          <w:rFonts w:ascii="Calibri" w:cs="Calibri" w:eastAsia="Calibri" w:hAnsi="Calibri"/>
          <w:sz w:val="22"/>
          <w:szCs w:val="22"/>
        </w:rPr>
        <w:t xml:space="preserve">This Exhibit sets forth the procedures for enforcement of the Marks as contemplated by Section 6.</w:t>
      </w:r>
    </w:p>
    <w:p>
      <w:pPr>
        <w:spacing w:after="60" w:before="120" w:line="240"/>
        <w:ind w:left="360"/>
        <w:jc w:val="left"/>
      </w:pPr>
      <w:r>
        <w:rPr>
          <w:rFonts w:ascii="Calibri" w:cs="Calibri" w:eastAsia="Calibri" w:hAnsi="Calibri"/>
          <w:b/>
          <w:bCs/>
          <w:color w:val="1a1a2e"/>
          <w:sz w:val="22"/>
          <w:szCs w:val="22"/>
        </w:rPr>
        <w:t xml:space="preserve">E.1 Monitoring</w:t>
      </w:r>
    </w:p>
    <w:p>
      <w:pPr>
        <w:spacing w:after="60" w:before="0" w:line="240"/>
        <w:ind w:left="360"/>
        <w:jc w:val="both"/>
      </w:pPr>
      <w:r>
        <w:rPr>
          <w:rFonts w:ascii="Calibri" w:cs="Calibri" w:eastAsia="Calibri" w:hAnsi="Calibri"/>
          <w:sz w:val="22"/>
          <w:szCs w:val="22"/>
        </w:rPr>
        <w:t xml:space="preserve">Each Party shall implement commercially reasonable monitoring procedures to detect potential infringement, including online brand monitoring, marketplace surveillance, customs recordation, and trademark-watch reports.</w:t>
      </w:r>
    </w:p>
    <w:p>
      <w:pPr>
        <w:spacing w:after="60" w:before="120" w:line="240"/>
        <w:ind w:left="360"/>
        <w:jc w:val="left"/>
      </w:pPr>
      <w:r>
        <w:rPr>
          <w:rFonts w:ascii="Calibri" w:cs="Calibri" w:eastAsia="Calibri" w:hAnsi="Calibri"/>
          <w:b/>
          <w:bCs/>
          <w:color w:val="1a1a2e"/>
          <w:sz w:val="22"/>
          <w:szCs w:val="22"/>
        </w:rPr>
        <w:t xml:space="preserve">E.2 Notification</w:t>
      </w:r>
    </w:p>
    <w:p>
      <w:pPr>
        <w:spacing w:after="60" w:before="0" w:line="240"/>
        <w:ind w:left="360"/>
        <w:jc w:val="both"/>
      </w:pPr>
      <w:r>
        <w:rPr>
          <w:rFonts w:ascii="Calibri" w:cs="Calibri" w:eastAsia="Calibri" w:hAnsi="Calibri"/>
          <w:sz w:val="22"/>
          <w:szCs w:val="22"/>
        </w:rPr>
        <w:t xml:space="preserve">Upon discovery of suspected infringement, the discovering Party shall notify the Mark owner within [FIVE (5)] Business Days, providing: (a) description of the activity; (b) identity of the suspected infringer; (c) jurisdictions involved; (d) evidence obtained; and (e) preliminary severity assessment.</w:t>
      </w:r>
    </w:p>
    <w:p>
      <w:pPr>
        <w:spacing w:after="60" w:before="120" w:line="240"/>
        <w:ind w:left="360"/>
        <w:jc w:val="left"/>
      </w:pPr>
      <w:r>
        <w:rPr>
          <w:rFonts w:ascii="Calibri" w:cs="Calibri" w:eastAsia="Calibri" w:hAnsi="Calibri"/>
          <w:b/>
          <w:bCs/>
          <w:color w:val="1a1a2e"/>
          <w:sz w:val="22"/>
          <w:szCs w:val="22"/>
        </w:rPr>
        <w:t xml:space="preserve">E.3 Enforcement Decision and Cost Allocation</w:t>
      </w:r>
    </w:p>
    <w:p>
      <w:pPr>
        <w:spacing w:after="80" w:before="0" w:line="240"/>
        <w:ind w:left="360"/>
        <w:jc w:val="both"/>
      </w:pPr>
      <w:r>
        <w:rPr>
          <w:rFonts w:ascii="Calibri" w:cs="Calibri" w:eastAsia="Calibri" w:hAnsi="Calibri"/>
          <w:sz w:val="22"/>
          <w:szCs w:val="22"/>
        </w:rPr>
        <w:t xml:space="preserve">Within [TEN (10)] Business Days of notification, the Mark owner shall inform the other Party whether it intends to pursue enforcement. The Mark owner has sole discretion over strategy (cease-and-desist, UDRP, litigation, law enforcement referral). The Mark owner bears all costs for its own Marks; Combined Mark enforcement costs shall be equitably allocated. If the Parties disagree, designated legal contacts shall meet within [FIVE (5)] Business Days to resolve the disagreement in good faith.</w:t>
      </w:r>
    </w:p>
    <w:sectPr>
      <w:headerReference w:type="default" r:id="rId7"/>
      <w:headerReference w:type="first" r:id="rId8"/>
      <w:footerReference w:type="default" r:id="rId9"/>
      <w:footerReference w:type="first" r:id="rId10"/>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rPr>
      <w:t xml:space="preserve">Montague Law  |  montague.law  |  Page </w:t>
    </w:r>
    <w:r>
      <w:rPr>
        <w:rFonts w:ascii="Calibri" w:cs="Calibri" w:eastAsia="Calibri" w:hAnsi="Calibri"/>
        <w:color w:val="999999"/>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rPr>
      <w:t xml:space="preserve">Montague Law  |  montague.law  |  Page </w:t>
    </w:r>
    <w:r>
      <w:rPr>
        <w:rFonts w:ascii="Calibri" w:cs="Calibri" w:eastAsia="Calibri" w:hAnsi="Calibri"/>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999999"/>
        <w:sz w:val="18"/>
        <w:szCs w:val="18"/>
      </w:rPr>
      <w:t xml:space="preserve">Co-Branding Trademark Cross-License 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pPr>
        <w:spacing w:after="80" w:line="24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2026-08-22T21:34:09.461Z</dcterms:created>
  <dcterms:modified xsi:type="dcterms:W3CDTF">2026-08-22T21:34:09.461Z</dcterms:modified>
</cp:coreProperties>
</file>

<file path=docProps/custom.xml><?xml version="1.0" encoding="utf-8"?>
<Properties xmlns="http://schemas.openxmlformats.org/officeDocument/2006/custom-properties" xmlns:vt="http://schemas.openxmlformats.org/officeDocument/2006/docPropsVTypes"/>
</file>